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8AD" w:rsidRDefault="00AE28AD" w:rsidP="00AE28AD">
      <w:pPr>
        <w:widowControl w:val="0"/>
        <w:spacing w:before="60" w:after="60"/>
        <w:jc w:val="center"/>
        <w:rPr>
          <w:rFonts w:ascii="Titillium" w:hAnsi="Titillium"/>
          <w:b/>
          <w:sz w:val="36"/>
          <w:szCs w:val="36"/>
          <w:lang w:eastAsia="it-IT"/>
        </w:rPr>
      </w:pPr>
    </w:p>
    <w:p w:rsidR="00AE28AD" w:rsidRPr="00CA2C41" w:rsidRDefault="00AE28AD" w:rsidP="00AE28AD">
      <w:pPr>
        <w:widowControl w:val="0"/>
        <w:spacing w:before="60" w:after="60"/>
        <w:jc w:val="center"/>
        <w:rPr>
          <w:rFonts w:ascii="Titillium" w:hAnsi="Titillium"/>
          <w:b/>
          <w:sz w:val="36"/>
          <w:szCs w:val="36"/>
          <w:lang w:eastAsia="it-IT"/>
        </w:rPr>
      </w:pPr>
    </w:p>
    <w:p w:rsidR="00AE28AD" w:rsidRPr="00AF481C" w:rsidRDefault="00AE28AD" w:rsidP="00AE28AD">
      <w:pPr>
        <w:widowControl w:val="0"/>
        <w:spacing w:line="23" w:lineRule="atLeast"/>
        <w:ind w:left="567"/>
        <w:jc w:val="center"/>
        <w:rPr>
          <w:rFonts w:ascii="Titillium" w:hAnsi="Titillium"/>
          <w:b/>
          <w:szCs w:val="24"/>
          <w:lang w:eastAsia="it-IT"/>
        </w:rPr>
      </w:pPr>
      <w:r w:rsidRPr="00AF481C">
        <w:rPr>
          <w:rFonts w:ascii="Titillium" w:hAnsi="Titillium"/>
          <w:b/>
          <w:szCs w:val="24"/>
          <w:lang w:eastAsia="it-IT"/>
        </w:rPr>
        <w:t>Bando tipo n. 1/2023</w:t>
      </w:r>
      <w:r w:rsidR="00A61923" w:rsidRPr="00AF481C">
        <w:rPr>
          <w:rFonts w:ascii="Titillium" w:hAnsi="Titillium"/>
          <w:b/>
          <w:szCs w:val="24"/>
          <w:lang w:eastAsia="it-IT"/>
        </w:rPr>
        <w:t xml:space="preserve"> aggiornato al decreto legislativo 31 dicembre 2024 n. 209</w:t>
      </w: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line="23" w:lineRule="atLeast"/>
        <w:ind w:left="567"/>
        <w:jc w:val="center"/>
        <w:rPr>
          <w:rFonts w:ascii="Titillium" w:hAnsi="Titillium"/>
          <w:b/>
          <w:szCs w:val="24"/>
          <w:lang w:eastAsia="it-IT"/>
        </w:rPr>
      </w:pPr>
      <w:r w:rsidRPr="00AF481C">
        <w:rPr>
          <w:rFonts w:ascii="Titillium" w:hAnsi="Titillium"/>
          <w:b/>
          <w:szCs w:val="24"/>
          <w:lang w:eastAsia="it-IT"/>
        </w:rPr>
        <w:t>Schema di disciplinare di gara</w:t>
      </w:r>
    </w:p>
    <w:p w:rsidR="00AE28AD" w:rsidRPr="00AF481C" w:rsidRDefault="00AE28AD" w:rsidP="00AE28AD">
      <w:pPr>
        <w:widowControl w:val="0"/>
        <w:spacing w:line="23" w:lineRule="atLeast"/>
        <w:ind w:left="567"/>
        <w:rPr>
          <w:rFonts w:ascii="Titillium" w:hAnsi="Titillium"/>
          <w:b/>
          <w:szCs w:val="24"/>
          <w:lang w:eastAsia="it-IT"/>
        </w:rPr>
      </w:pPr>
    </w:p>
    <w:p w:rsidR="00AE28AD" w:rsidRPr="00AF481C" w:rsidRDefault="00AE28AD" w:rsidP="00AE28AD">
      <w:pPr>
        <w:widowControl w:val="0"/>
        <w:spacing w:line="23" w:lineRule="atLeast"/>
        <w:ind w:left="567"/>
        <w:rPr>
          <w:rFonts w:ascii="Titillium" w:hAnsi="Titillium"/>
          <w:b/>
          <w:szCs w:val="24"/>
          <w:lang w:eastAsia="it-IT"/>
        </w:rPr>
      </w:pPr>
    </w:p>
    <w:p w:rsidR="00AE28AD" w:rsidRPr="00AF481C" w:rsidRDefault="00AE28AD" w:rsidP="00AE28AD">
      <w:pPr>
        <w:widowControl w:val="0"/>
        <w:spacing w:line="23" w:lineRule="atLeast"/>
        <w:ind w:left="567"/>
        <w:rPr>
          <w:rFonts w:ascii="Titillium" w:hAnsi="Titillium"/>
          <w:b/>
          <w:szCs w:val="24"/>
          <w:lang w:eastAsia="it-IT"/>
        </w:rPr>
      </w:pPr>
    </w:p>
    <w:p w:rsidR="00AE28AD" w:rsidRPr="00AF481C" w:rsidRDefault="0094020E" w:rsidP="00AE28AD">
      <w:pPr>
        <w:widowControl w:val="0"/>
        <w:spacing w:line="23" w:lineRule="atLeast"/>
        <w:ind w:left="567"/>
        <w:rPr>
          <w:rFonts w:ascii="Titillium" w:hAnsi="Titillium"/>
          <w:b/>
          <w:szCs w:val="24"/>
          <w:lang w:eastAsia="it-IT"/>
        </w:rPr>
      </w:pPr>
      <w:r w:rsidRPr="0094020E">
        <w:rPr>
          <w:rFonts w:ascii="Times New Roman" w:hAnsi="Times New Roman"/>
          <w:b/>
          <w:szCs w:val="24"/>
          <w:lang w:eastAsia="it-IT"/>
        </w:rPr>
        <w:t>PROCEDURA APERTA  PER  L’AFFIDAMENTO DEL SERVIZIO DI  RECUPERO  STRAGIUDIZIALE ALL’ESTERO ED IN ITALIA DEI CREDITI RELATIVI ALLE PRESTAZIONI SANITARIE  EROGATE DALL’AUSL BO, DALL’AZIENDA OSPEDALIERA UNIVERSITARIA IRCCS SANT’ORSOLA DI BOLOGNA (AOU BO), DALL’ISTITUTO ORTOP</w:t>
      </w:r>
      <w:r w:rsidR="00F35AEF">
        <w:rPr>
          <w:rFonts w:ascii="Times New Roman" w:hAnsi="Times New Roman"/>
          <w:b/>
          <w:szCs w:val="24"/>
          <w:lang w:eastAsia="it-IT"/>
        </w:rPr>
        <w:t xml:space="preserve">EDICO RIZZOLI DI BOLOGNA ( IOR), </w:t>
      </w:r>
      <w:r w:rsidRPr="0094020E">
        <w:rPr>
          <w:rFonts w:ascii="Times New Roman" w:hAnsi="Times New Roman"/>
          <w:b/>
          <w:szCs w:val="24"/>
          <w:lang w:eastAsia="it-IT"/>
        </w:rPr>
        <w:t xml:space="preserve">DALL’AUSL DI IMOLA </w:t>
      </w:r>
      <w:r w:rsidR="00F35AEF">
        <w:rPr>
          <w:rFonts w:ascii="Times New Roman" w:hAnsi="Times New Roman"/>
          <w:b/>
          <w:szCs w:val="24"/>
          <w:lang w:eastAsia="it-IT"/>
        </w:rPr>
        <w:t xml:space="preserve">E DALL’AZIENDA </w:t>
      </w:r>
      <w:r w:rsidR="00B2186C">
        <w:rPr>
          <w:rFonts w:ascii="Times New Roman" w:hAnsi="Times New Roman"/>
          <w:b/>
          <w:szCs w:val="24"/>
          <w:lang w:eastAsia="it-IT"/>
        </w:rPr>
        <w:t>OSPEDALIERA</w:t>
      </w:r>
      <w:r w:rsidR="00F35AEF">
        <w:rPr>
          <w:rFonts w:ascii="Times New Roman" w:hAnsi="Times New Roman"/>
          <w:b/>
          <w:szCs w:val="24"/>
          <w:lang w:eastAsia="it-IT"/>
        </w:rPr>
        <w:t xml:space="preserve"> DI FERRARA </w:t>
      </w:r>
      <w:r w:rsidRPr="0094020E">
        <w:rPr>
          <w:rFonts w:ascii="Times New Roman" w:hAnsi="Times New Roman"/>
          <w:b/>
          <w:szCs w:val="24"/>
          <w:lang w:eastAsia="it-IT"/>
        </w:rPr>
        <w:t>A CITTADINI STRANIERI RESIDENTI IN ITALIA O ALL’ESTERO E A CITTADINI ITALIANI RESIDENTI ALL’ESTERO</w:t>
      </w:r>
    </w:p>
    <w:p w:rsidR="00AE28AD" w:rsidRPr="00AF481C" w:rsidRDefault="00AE28AD" w:rsidP="00AE28AD">
      <w:pPr>
        <w:widowControl w:val="0"/>
        <w:spacing w:line="23" w:lineRule="atLeast"/>
        <w:ind w:left="567"/>
        <w:rPr>
          <w:rFonts w:ascii="Titillium" w:hAnsi="Titillium"/>
          <w:b/>
          <w:szCs w:val="24"/>
          <w:lang w:eastAsia="it-IT"/>
        </w:rPr>
      </w:pPr>
    </w:p>
    <w:p w:rsidR="00AE28AD" w:rsidRPr="00AF481C" w:rsidRDefault="00AE28AD" w:rsidP="00AE28AD">
      <w:pPr>
        <w:widowControl w:val="0"/>
        <w:spacing w:before="60" w:after="60"/>
        <w:ind w:left="567"/>
        <w:rPr>
          <w:rFonts w:ascii="Titillium" w:hAnsi="Titillium"/>
          <w:b/>
          <w:sz w:val="36"/>
          <w:szCs w:val="36"/>
          <w:lang w:eastAsia="it-IT"/>
        </w:rPr>
      </w:pP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before="60" w:after="60"/>
        <w:rPr>
          <w:rFonts w:ascii="Titillium" w:hAnsi="Titillium"/>
          <w:b/>
          <w:sz w:val="36"/>
          <w:szCs w:val="36"/>
          <w:lang w:eastAsia="it-IT"/>
        </w:rPr>
      </w:pPr>
    </w:p>
    <w:p w:rsidR="00AE28AD" w:rsidRPr="00AF481C" w:rsidRDefault="00AE28AD" w:rsidP="00AE28AD">
      <w:pPr>
        <w:widowControl w:val="0"/>
        <w:spacing w:before="60" w:after="60"/>
        <w:ind w:firstLine="567"/>
        <w:jc w:val="left"/>
        <w:rPr>
          <w:rFonts w:ascii="Titillium" w:hAnsi="Titillium"/>
          <w:sz w:val="18"/>
          <w:szCs w:val="18"/>
          <w:lang w:eastAsia="it-IT"/>
        </w:rPr>
      </w:pPr>
      <w:r w:rsidRPr="00AF481C">
        <w:rPr>
          <w:rFonts w:ascii="Titillium" w:hAnsi="Titillium"/>
          <w:sz w:val="18"/>
          <w:szCs w:val="18"/>
          <w:lang w:eastAsia="it-IT"/>
        </w:rPr>
        <w:t xml:space="preserve">Approvato dal Consiglio dell’Autorità </w:t>
      </w:r>
      <w:r w:rsidR="001D3B0D" w:rsidRPr="00AF481C">
        <w:rPr>
          <w:rFonts w:ascii="Titillium" w:hAnsi="Titillium"/>
          <w:sz w:val="18"/>
          <w:szCs w:val="18"/>
          <w:lang w:eastAsia="it-IT"/>
        </w:rPr>
        <w:t>con delibera</w:t>
      </w:r>
      <w:r w:rsidR="00522674">
        <w:rPr>
          <w:rFonts w:ascii="Titillium" w:hAnsi="Titillium"/>
          <w:sz w:val="18"/>
          <w:szCs w:val="18"/>
          <w:lang w:eastAsia="it-IT"/>
        </w:rPr>
        <w:t xml:space="preserve"> </w:t>
      </w:r>
      <w:r w:rsidR="006E2BC3">
        <w:rPr>
          <w:rFonts w:ascii="Titillium" w:hAnsi="Titillium"/>
          <w:sz w:val="18"/>
          <w:szCs w:val="18"/>
          <w:lang w:eastAsia="it-IT"/>
        </w:rPr>
        <w:t xml:space="preserve">n. </w:t>
      </w:r>
      <w:r w:rsidR="00912D15">
        <w:rPr>
          <w:rFonts w:ascii="Titillium" w:hAnsi="Titillium"/>
          <w:sz w:val="18"/>
          <w:szCs w:val="18"/>
          <w:lang w:eastAsia="it-IT"/>
        </w:rPr>
        <w:t>365 del 16 settembre 2025</w:t>
      </w:r>
    </w:p>
    <w:p w:rsidR="00AE28AD" w:rsidRPr="00AF481C" w:rsidRDefault="00AE28AD" w:rsidP="00AE28AD">
      <w:pPr>
        <w:widowControl w:val="0"/>
        <w:spacing w:before="60" w:after="60"/>
        <w:jc w:val="left"/>
        <w:rPr>
          <w:rFonts w:ascii="Titillium" w:hAnsi="Titillium"/>
          <w:b/>
          <w:w w:val="66"/>
          <w:szCs w:val="24"/>
          <w:lang w:eastAsia="it-IT"/>
        </w:rPr>
      </w:pPr>
      <w:r w:rsidRPr="00AF481C">
        <w:br w:type="page"/>
      </w:r>
    </w:p>
    <w:p w:rsidR="00AE28AD" w:rsidRPr="00AF481C" w:rsidRDefault="00AE28AD" w:rsidP="00AE28AD">
      <w:pPr>
        <w:spacing w:line="240" w:lineRule="auto"/>
        <w:jc w:val="left"/>
        <w:rPr>
          <w:rFonts w:ascii="Titillium" w:hAnsi="Titillium"/>
          <w:b/>
          <w:w w:val="66"/>
          <w:szCs w:val="24"/>
          <w:lang w:eastAsia="it-IT"/>
        </w:rPr>
      </w:pPr>
    </w:p>
    <w:sdt>
      <w:sdtPr>
        <w:rPr>
          <w:b/>
          <w:bCs/>
          <w:smallCaps w:val="0"/>
        </w:rPr>
        <w:id w:val="150880778"/>
        <w:docPartObj>
          <w:docPartGallery w:val="Table of Contents"/>
          <w:docPartUnique/>
        </w:docPartObj>
      </w:sdtPr>
      <w:sdtEndPr>
        <w:rPr>
          <w:b w:val="0"/>
          <w:bCs w:val="0"/>
          <w:smallCaps/>
        </w:rPr>
      </w:sdtEndPr>
      <w:sdtContent>
        <w:p w:rsidR="008A7055" w:rsidRDefault="00CB00FF">
          <w:pPr>
            <w:pStyle w:val="Sommario2"/>
            <w:rPr>
              <w:rFonts w:asciiTheme="minorHAnsi" w:eastAsiaTheme="minorEastAsia" w:hAnsiTheme="minorHAnsi" w:cstheme="minorBidi"/>
              <w:smallCaps w:val="0"/>
              <w:noProof/>
              <w:sz w:val="22"/>
              <w:szCs w:val="22"/>
              <w:lang w:eastAsia="it-IT"/>
            </w:rPr>
          </w:pPr>
          <w:r w:rsidRPr="00CB00FF">
            <w:rPr>
              <w:b/>
              <w:bCs/>
              <w:smallCaps w:val="0"/>
            </w:rPr>
            <w:fldChar w:fldCharType="begin"/>
          </w:r>
          <w:r w:rsidR="00AE28AD" w:rsidRPr="00AF481C">
            <w:rPr>
              <w:rStyle w:val="Saltoaindice"/>
              <w:rFonts w:ascii="Titillium" w:hAnsi="Titillium"/>
              <w:sz w:val="18"/>
              <w:szCs w:val="18"/>
            </w:rPr>
            <w:instrText>TOC \o "1-3" \h</w:instrText>
          </w:r>
          <w:r w:rsidRPr="00CB00FF">
            <w:rPr>
              <w:rStyle w:val="Saltoaindice"/>
              <w:rFonts w:ascii="Titillium" w:hAnsi="Titillium"/>
              <w:b/>
              <w:bCs/>
              <w:smallCaps w:val="0"/>
              <w:sz w:val="18"/>
              <w:szCs w:val="18"/>
            </w:rPr>
            <w:fldChar w:fldCharType="separate"/>
          </w:r>
          <w:hyperlink w:anchor="_Toc223087456" w:history="1">
            <w:r w:rsidR="008A7055" w:rsidRPr="003F2C1D">
              <w:rPr>
                <w:rStyle w:val="Collegamentoipertestuale"/>
                <w:noProof/>
              </w:rPr>
              <w:t>PREMESSE</w:t>
            </w:r>
            <w:r w:rsidR="008A7055">
              <w:rPr>
                <w:noProof/>
              </w:rPr>
              <w:tab/>
            </w:r>
            <w:r>
              <w:rPr>
                <w:noProof/>
              </w:rPr>
              <w:fldChar w:fldCharType="begin"/>
            </w:r>
            <w:r w:rsidR="008A7055">
              <w:rPr>
                <w:noProof/>
              </w:rPr>
              <w:instrText xml:space="preserve"> PAGEREF _Toc223087456 \h </w:instrText>
            </w:r>
            <w:r>
              <w:rPr>
                <w:noProof/>
              </w:rPr>
            </w:r>
            <w:r>
              <w:rPr>
                <w:noProof/>
              </w:rPr>
              <w:fldChar w:fldCharType="separate"/>
            </w:r>
            <w:r w:rsidR="00CA44F6">
              <w:rPr>
                <w:noProof/>
              </w:rPr>
              <w:t>4</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57" w:history="1">
            <w:r w:rsidR="008A7055" w:rsidRPr="003F2C1D">
              <w:rPr>
                <w:rStyle w:val="Collegamentoipertestuale"/>
                <w:b/>
                <w:caps/>
                <w:noProof/>
              </w:rPr>
              <w:t>1.</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PIATTAFORMA</w:t>
            </w:r>
            <w:r w:rsidR="008A7055">
              <w:rPr>
                <w:noProof/>
              </w:rPr>
              <w:tab/>
            </w:r>
            <w:r>
              <w:rPr>
                <w:noProof/>
              </w:rPr>
              <w:fldChar w:fldCharType="begin"/>
            </w:r>
            <w:r w:rsidR="008A7055">
              <w:rPr>
                <w:noProof/>
              </w:rPr>
              <w:instrText xml:space="preserve"> PAGEREF _Toc223087457 \h </w:instrText>
            </w:r>
            <w:r>
              <w:rPr>
                <w:noProof/>
              </w:rPr>
            </w:r>
            <w:r>
              <w:rPr>
                <w:noProof/>
              </w:rPr>
              <w:fldChar w:fldCharType="separate"/>
            </w:r>
            <w:r w:rsidR="00CA44F6">
              <w:rPr>
                <w:noProof/>
              </w:rPr>
              <w:t>4</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58" w:history="1">
            <w:r w:rsidR="008A7055" w:rsidRPr="003F2C1D">
              <w:rPr>
                <w:rStyle w:val="Collegamentoipertestuale"/>
                <w:rFonts w:ascii="Titillium" w:hAnsi="Titillium"/>
                <w:caps/>
                <w:noProof/>
              </w:rPr>
              <w:t>1.1.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LA PIATTAFORMA DI APPROVVIGIONAMENTO DIGITALE (PAD)</w:t>
            </w:r>
            <w:r w:rsidR="008A7055">
              <w:rPr>
                <w:noProof/>
              </w:rPr>
              <w:tab/>
            </w:r>
            <w:r>
              <w:rPr>
                <w:noProof/>
              </w:rPr>
              <w:fldChar w:fldCharType="begin"/>
            </w:r>
            <w:r w:rsidR="008A7055">
              <w:rPr>
                <w:noProof/>
              </w:rPr>
              <w:instrText xml:space="preserve"> PAGEREF _Toc223087458 \h </w:instrText>
            </w:r>
            <w:r>
              <w:rPr>
                <w:noProof/>
              </w:rPr>
            </w:r>
            <w:r>
              <w:rPr>
                <w:noProof/>
              </w:rPr>
              <w:fldChar w:fldCharType="separate"/>
            </w:r>
            <w:r w:rsidR="00CA44F6">
              <w:rPr>
                <w:noProof/>
              </w:rPr>
              <w:t>4</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59" w:history="1">
            <w:r w:rsidR="008A7055" w:rsidRPr="003F2C1D">
              <w:rPr>
                <w:rStyle w:val="Collegamentoipertestuale"/>
                <w:rFonts w:ascii="Titillium" w:hAnsi="Titillium"/>
                <w:caps/>
                <w:noProof/>
              </w:rPr>
              <w:t>1.2.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DOTAZIONI TECNICHE</w:t>
            </w:r>
            <w:r w:rsidR="008A7055">
              <w:rPr>
                <w:noProof/>
              </w:rPr>
              <w:tab/>
            </w:r>
            <w:r>
              <w:rPr>
                <w:noProof/>
              </w:rPr>
              <w:fldChar w:fldCharType="begin"/>
            </w:r>
            <w:r w:rsidR="008A7055">
              <w:rPr>
                <w:noProof/>
              </w:rPr>
              <w:instrText xml:space="preserve"> PAGEREF _Toc223087459 \h </w:instrText>
            </w:r>
            <w:r>
              <w:rPr>
                <w:noProof/>
              </w:rPr>
            </w:r>
            <w:r>
              <w:rPr>
                <w:noProof/>
              </w:rPr>
              <w:fldChar w:fldCharType="separate"/>
            </w:r>
            <w:r w:rsidR="00CA44F6">
              <w:rPr>
                <w:noProof/>
              </w:rPr>
              <w:t>5</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0" w:history="1">
            <w:r w:rsidR="008A7055" w:rsidRPr="003F2C1D">
              <w:rPr>
                <w:rStyle w:val="Collegamentoipertestuale"/>
                <w:rFonts w:ascii="Titillium" w:hAnsi="Titillium"/>
                <w:caps/>
                <w:noProof/>
              </w:rPr>
              <w:t>1.3.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IDENTIFICAZIONE</w:t>
            </w:r>
            <w:r w:rsidR="008A7055">
              <w:rPr>
                <w:noProof/>
              </w:rPr>
              <w:tab/>
            </w:r>
            <w:r>
              <w:rPr>
                <w:noProof/>
              </w:rPr>
              <w:fldChar w:fldCharType="begin"/>
            </w:r>
            <w:r w:rsidR="008A7055">
              <w:rPr>
                <w:noProof/>
              </w:rPr>
              <w:instrText xml:space="preserve"> PAGEREF _Toc223087460 \h </w:instrText>
            </w:r>
            <w:r>
              <w:rPr>
                <w:noProof/>
              </w:rPr>
            </w:r>
            <w:r>
              <w:rPr>
                <w:noProof/>
              </w:rPr>
              <w:fldChar w:fldCharType="separate"/>
            </w:r>
            <w:r w:rsidR="00CA44F6">
              <w:rPr>
                <w:noProof/>
              </w:rPr>
              <w:t>6</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61" w:history="1">
            <w:r w:rsidR="008A7055" w:rsidRPr="003F2C1D">
              <w:rPr>
                <w:rStyle w:val="Collegamentoipertestuale"/>
                <w:b/>
                <w:caps/>
                <w:noProof/>
              </w:rPr>
              <w:t>2.</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DOCUMENTAZIONE DI GARA, CHIARIMENTI E COMUNICAZIONI</w:t>
            </w:r>
            <w:r w:rsidR="008A7055">
              <w:rPr>
                <w:noProof/>
              </w:rPr>
              <w:tab/>
            </w:r>
            <w:r>
              <w:rPr>
                <w:noProof/>
              </w:rPr>
              <w:fldChar w:fldCharType="begin"/>
            </w:r>
            <w:r w:rsidR="008A7055">
              <w:rPr>
                <w:noProof/>
              </w:rPr>
              <w:instrText xml:space="preserve"> PAGEREF _Toc223087461 \h </w:instrText>
            </w:r>
            <w:r>
              <w:rPr>
                <w:noProof/>
              </w:rPr>
            </w:r>
            <w:r>
              <w:rPr>
                <w:noProof/>
              </w:rPr>
              <w:fldChar w:fldCharType="separate"/>
            </w:r>
            <w:r w:rsidR="00CA44F6">
              <w:rPr>
                <w:noProof/>
              </w:rPr>
              <w:t>7</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2" w:history="1">
            <w:r w:rsidR="008A7055" w:rsidRPr="003F2C1D">
              <w:rPr>
                <w:rStyle w:val="Collegamentoipertestuale"/>
                <w:rFonts w:ascii="Titillium" w:hAnsi="Titillium"/>
                <w:noProof/>
              </w:rPr>
              <w:t>2.1.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DOCUMENTI DI GARA</w:t>
            </w:r>
            <w:r w:rsidR="008A7055">
              <w:rPr>
                <w:noProof/>
              </w:rPr>
              <w:tab/>
            </w:r>
            <w:r>
              <w:rPr>
                <w:noProof/>
              </w:rPr>
              <w:fldChar w:fldCharType="begin"/>
            </w:r>
            <w:r w:rsidR="008A7055">
              <w:rPr>
                <w:noProof/>
              </w:rPr>
              <w:instrText xml:space="preserve"> PAGEREF _Toc223087462 \h </w:instrText>
            </w:r>
            <w:r>
              <w:rPr>
                <w:noProof/>
              </w:rPr>
            </w:r>
            <w:r>
              <w:rPr>
                <w:noProof/>
              </w:rPr>
              <w:fldChar w:fldCharType="separate"/>
            </w:r>
            <w:r w:rsidR="00CA44F6">
              <w:rPr>
                <w:noProof/>
              </w:rPr>
              <w:t>7</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3" w:history="1">
            <w:r w:rsidR="008A7055" w:rsidRPr="003F2C1D">
              <w:rPr>
                <w:rStyle w:val="Collegamentoipertestuale"/>
                <w:rFonts w:ascii="Titillium" w:hAnsi="Titillium"/>
                <w:noProof/>
              </w:rPr>
              <w:t>2.2.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CHIARIMENTI</w:t>
            </w:r>
            <w:r w:rsidR="008A7055">
              <w:rPr>
                <w:noProof/>
              </w:rPr>
              <w:tab/>
            </w:r>
            <w:r>
              <w:rPr>
                <w:noProof/>
              </w:rPr>
              <w:fldChar w:fldCharType="begin"/>
            </w:r>
            <w:r w:rsidR="008A7055">
              <w:rPr>
                <w:noProof/>
              </w:rPr>
              <w:instrText xml:space="preserve"> PAGEREF _Toc223087463 \h </w:instrText>
            </w:r>
            <w:r>
              <w:rPr>
                <w:noProof/>
              </w:rPr>
            </w:r>
            <w:r>
              <w:rPr>
                <w:noProof/>
              </w:rPr>
              <w:fldChar w:fldCharType="separate"/>
            </w:r>
            <w:r w:rsidR="00CA44F6">
              <w:rPr>
                <w:noProof/>
              </w:rPr>
              <w:t>7</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4" w:history="1">
            <w:r w:rsidR="008A7055" w:rsidRPr="003F2C1D">
              <w:rPr>
                <w:rStyle w:val="Collegamentoipertestuale"/>
                <w:rFonts w:ascii="Titillium" w:hAnsi="Titillium"/>
                <w:caps/>
                <w:noProof/>
              </w:rPr>
              <w:t>2.3.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COMUNICAZIONI</w:t>
            </w:r>
            <w:r w:rsidR="008A7055">
              <w:rPr>
                <w:noProof/>
              </w:rPr>
              <w:tab/>
            </w:r>
            <w:r>
              <w:rPr>
                <w:noProof/>
              </w:rPr>
              <w:fldChar w:fldCharType="begin"/>
            </w:r>
            <w:r w:rsidR="008A7055">
              <w:rPr>
                <w:noProof/>
              </w:rPr>
              <w:instrText xml:space="preserve"> PAGEREF _Toc223087464 \h </w:instrText>
            </w:r>
            <w:r>
              <w:rPr>
                <w:noProof/>
              </w:rPr>
            </w:r>
            <w:r>
              <w:rPr>
                <w:noProof/>
              </w:rPr>
              <w:fldChar w:fldCharType="separate"/>
            </w:r>
            <w:r w:rsidR="00CA44F6">
              <w:rPr>
                <w:noProof/>
              </w:rPr>
              <w:t>8</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65" w:history="1">
            <w:r w:rsidR="008A7055" w:rsidRPr="003F2C1D">
              <w:rPr>
                <w:rStyle w:val="Collegamentoipertestuale"/>
                <w:b/>
                <w:noProof/>
              </w:rPr>
              <w:t>3.</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OGGETTO DELL’APPALTO, IMPORTO E SUDDIVISIONE IN LOTTI</w:t>
            </w:r>
            <w:r w:rsidR="008A7055">
              <w:rPr>
                <w:noProof/>
              </w:rPr>
              <w:tab/>
            </w:r>
            <w:r>
              <w:rPr>
                <w:noProof/>
              </w:rPr>
              <w:fldChar w:fldCharType="begin"/>
            </w:r>
            <w:r w:rsidR="008A7055">
              <w:rPr>
                <w:noProof/>
              </w:rPr>
              <w:instrText xml:space="preserve"> PAGEREF _Toc223087465 \h </w:instrText>
            </w:r>
            <w:r>
              <w:rPr>
                <w:noProof/>
              </w:rPr>
            </w:r>
            <w:r>
              <w:rPr>
                <w:noProof/>
              </w:rPr>
              <w:fldChar w:fldCharType="separate"/>
            </w:r>
            <w:r w:rsidR="00CA44F6">
              <w:rPr>
                <w:noProof/>
              </w:rPr>
              <w:t>8</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6" w:history="1">
            <w:r w:rsidR="008A7055" w:rsidRPr="003F2C1D">
              <w:rPr>
                <w:rStyle w:val="Collegamentoipertestuale"/>
                <w:rFonts w:ascii="Titillium" w:hAnsi="Titillium"/>
                <w:noProof/>
              </w:rPr>
              <w:t>3.1.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DURATA</w:t>
            </w:r>
            <w:r w:rsidR="008A7055">
              <w:rPr>
                <w:noProof/>
              </w:rPr>
              <w:tab/>
            </w:r>
            <w:r>
              <w:rPr>
                <w:noProof/>
              </w:rPr>
              <w:fldChar w:fldCharType="begin"/>
            </w:r>
            <w:r w:rsidR="008A7055">
              <w:rPr>
                <w:noProof/>
              </w:rPr>
              <w:instrText xml:space="preserve"> PAGEREF _Toc223087466 \h </w:instrText>
            </w:r>
            <w:r>
              <w:rPr>
                <w:noProof/>
              </w:rPr>
            </w:r>
            <w:r>
              <w:rPr>
                <w:noProof/>
              </w:rPr>
              <w:fldChar w:fldCharType="separate"/>
            </w:r>
            <w:r w:rsidR="00CA44F6">
              <w:rPr>
                <w:noProof/>
              </w:rPr>
              <w:t>9</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7" w:history="1">
            <w:r w:rsidR="008A7055" w:rsidRPr="003F2C1D">
              <w:rPr>
                <w:rStyle w:val="Collegamentoipertestuale"/>
                <w:rFonts w:ascii="Titillium" w:hAnsi="Titillium"/>
                <w:b/>
                <w:bCs/>
                <w:noProof/>
              </w:rPr>
              <w:t>3.2.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REVISIONE PREZZI</w:t>
            </w:r>
            <w:r w:rsidR="008A7055">
              <w:rPr>
                <w:noProof/>
              </w:rPr>
              <w:tab/>
            </w:r>
            <w:r>
              <w:rPr>
                <w:noProof/>
              </w:rPr>
              <w:fldChar w:fldCharType="begin"/>
            </w:r>
            <w:r w:rsidR="008A7055">
              <w:rPr>
                <w:noProof/>
              </w:rPr>
              <w:instrText xml:space="preserve"> PAGEREF _Toc223087467 \h </w:instrText>
            </w:r>
            <w:r>
              <w:rPr>
                <w:noProof/>
              </w:rPr>
            </w:r>
            <w:r>
              <w:rPr>
                <w:noProof/>
              </w:rPr>
              <w:fldChar w:fldCharType="separate"/>
            </w:r>
            <w:r w:rsidR="00CA44F6">
              <w:rPr>
                <w:noProof/>
              </w:rPr>
              <w:t>9</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68" w:history="1">
            <w:r w:rsidR="008A7055" w:rsidRPr="003F2C1D">
              <w:rPr>
                <w:rStyle w:val="Collegamentoipertestuale"/>
                <w:rFonts w:ascii="Titillium" w:hAnsi="Titillium"/>
                <w:noProof/>
              </w:rPr>
              <w:t>3.3.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MODIFICA DEL CONTRATTO IN FASE DI ESECUZIONE</w:t>
            </w:r>
            <w:r w:rsidR="008A7055">
              <w:rPr>
                <w:noProof/>
              </w:rPr>
              <w:tab/>
            </w:r>
            <w:r>
              <w:rPr>
                <w:noProof/>
              </w:rPr>
              <w:fldChar w:fldCharType="begin"/>
            </w:r>
            <w:r w:rsidR="008A7055">
              <w:rPr>
                <w:noProof/>
              </w:rPr>
              <w:instrText xml:space="preserve"> PAGEREF _Toc223087468 \h </w:instrText>
            </w:r>
            <w:r>
              <w:rPr>
                <w:noProof/>
              </w:rPr>
            </w:r>
            <w:r>
              <w:rPr>
                <w:noProof/>
              </w:rPr>
              <w:fldChar w:fldCharType="separate"/>
            </w:r>
            <w:r w:rsidR="00CA44F6">
              <w:rPr>
                <w:noProof/>
              </w:rPr>
              <w:t>9</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69" w:history="1">
            <w:r w:rsidR="008A7055" w:rsidRPr="003F2C1D">
              <w:rPr>
                <w:rStyle w:val="Collegamentoipertestuale"/>
                <w:b/>
                <w:iCs/>
                <w:noProof/>
              </w:rPr>
              <w:t>4.</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SOGGETTI AMMESSI IN FORMA SINGOLA E ASSOCIATA E CONDIZIONI DI PARTECIPAZIONE</w:t>
            </w:r>
            <w:r w:rsidR="008A7055">
              <w:rPr>
                <w:noProof/>
              </w:rPr>
              <w:tab/>
            </w:r>
            <w:r>
              <w:rPr>
                <w:noProof/>
              </w:rPr>
              <w:fldChar w:fldCharType="begin"/>
            </w:r>
            <w:r w:rsidR="008A7055">
              <w:rPr>
                <w:noProof/>
              </w:rPr>
              <w:instrText xml:space="preserve"> PAGEREF _Toc223087469 \h </w:instrText>
            </w:r>
            <w:r>
              <w:rPr>
                <w:noProof/>
              </w:rPr>
            </w:r>
            <w:r>
              <w:rPr>
                <w:noProof/>
              </w:rPr>
              <w:fldChar w:fldCharType="separate"/>
            </w:r>
            <w:r w:rsidR="00CA44F6">
              <w:rPr>
                <w:noProof/>
              </w:rPr>
              <w:t>10</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70" w:history="1">
            <w:r w:rsidR="008A7055" w:rsidRPr="003F2C1D">
              <w:rPr>
                <w:rStyle w:val="Collegamentoipertestuale"/>
                <w:b/>
                <w:noProof/>
              </w:rPr>
              <w:t>5.</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REQUISITI DI ORDINE GENERALE E ALTRE CAUSE DI ESCLUSIONE</w:t>
            </w:r>
            <w:r w:rsidR="008A7055">
              <w:rPr>
                <w:noProof/>
              </w:rPr>
              <w:tab/>
            </w:r>
            <w:r>
              <w:rPr>
                <w:noProof/>
              </w:rPr>
              <w:fldChar w:fldCharType="begin"/>
            </w:r>
            <w:r w:rsidR="008A7055">
              <w:rPr>
                <w:noProof/>
              </w:rPr>
              <w:instrText xml:space="preserve"> PAGEREF _Toc223087470 \h </w:instrText>
            </w:r>
            <w:r>
              <w:rPr>
                <w:noProof/>
              </w:rPr>
            </w:r>
            <w:r>
              <w:rPr>
                <w:noProof/>
              </w:rPr>
              <w:fldChar w:fldCharType="separate"/>
            </w:r>
            <w:r w:rsidR="00CA44F6">
              <w:rPr>
                <w:noProof/>
              </w:rPr>
              <w:t>11</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71" w:history="1">
            <w:r w:rsidR="008A7055" w:rsidRPr="003F2C1D">
              <w:rPr>
                <w:rStyle w:val="Collegamentoipertestuale"/>
                <w:b/>
                <w:noProof/>
              </w:rPr>
              <w:t>6.</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REQUISITI DI ORDINE SPECIALE E MEZZI DI PROVA</w:t>
            </w:r>
            <w:r w:rsidR="008A7055">
              <w:rPr>
                <w:noProof/>
              </w:rPr>
              <w:tab/>
            </w:r>
            <w:r>
              <w:rPr>
                <w:noProof/>
              </w:rPr>
              <w:fldChar w:fldCharType="begin"/>
            </w:r>
            <w:r w:rsidR="008A7055">
              <w:rPr>
                <w:noProof/>
              </w:rPr>
              <w:instrText xml:space="preserve"> PAGEREF _Toc223087471 \h </w:instrText>
            </w:r>
            <w:r>
              <w:rPr>
                <w:noProof/>
              </w:rPr>
            </w:r>
            <w:r>
              <w:rPr>
                <w:noProof/>
              </w:rPr>
              <w:fldChar w:fldCharType="separate"/>
            </w:r>
            <w:r w:rsidR="00CA44F6">
              <w:rPr>
                <w:noProof/>
              </w:rPr>
              <w:t>12</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72" w:history="1">
            <w:r w:rsidR="008A7055" w:rsidRPr="003F2C1D">
              <w:rPr>
                <w:rStyle w:val="Collegamentoipertestuale"/>
                <w:rFonts w:ascii="Titillium" w:hAnsi="Titillium"/>
                <w:noProof/>
              </w:rPr>
              <w:t>6.1.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REQUISITI DI IDONEITÀ PROFESSIONALE</w:t>
            </w:r>
            <w:r w:rsidR="008A7055">
              <w:rPr>
                <w:noProof/>
              </w:rPr>
              <w:tab/>
            </w:r>
            <w:r>
              <w:rPr>
                <w:noProof/>
              </w:rPr>
              <w:fldChar w:fldCharType="begin"/>
            </w:r>
            <w:r w:rsidR="008A7055">
              <w:rPr>
                <w:noProof/>
              </w:rPr>
              <w:instrText xml:space="preserve"> PAGEREF _Toc223087472 \h </w:instrText>
            </w:r>
            <w:r>
              <w:rPr>
                <w:noProof/>
              </w:rPr>
            </w:r>
            <w:r>
              <w:rPr>
                <w:noProof/>
              </w:rPr>
              <w:fldChar w:fldCharType="separate"/>
            </w:r>
            <w:r w:rsidR="00CA44F6">
              <w:rPr>
                <w:noProof/>
              </w:rPr>
              <w:t>12</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73" w:history="1">
            <w:r w:rsidR="008A7055" w:rsidRPr="003F2C1D">
              <w:rPr>
                <w:rStyle w:val="Collegamentoipertestuale"/>
                <w:rFonts w:ascii="Titillium" w:hAnsi="Titillium"/>
                <w:noProof/>
              </w:rPr>
              <w:t>6.2.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REQUISITI DI CAPACITÀ ECONOMICA E FINANZIARIA</w:t>
            </w:r>
            <w:r w:rsidR="008A7055">
              <w:rPr>
                <w:noProof/>
              </w:rPr>
              <w:tab/>
            </w:r>
            <w:r>
              <w:rPr>
                <w:noProof/>
              </w:rPr>
              <w:fldChar w:fldCharType="begin"/>
            </w:r>
            <w:r w:rsidR="008A7055">
              <w:rPr>
                <w:noProof/>
              </w:rPr>
              <w:instrText xml:space="preserve"> PAGEREF _Toc223087473 \h </w:instrText>
            </w:r>
            <w:r>
              <w:rPr>
                <w:noProof/>
              </w:rPr>
            </w:r>
            <w:r>
              <w:rPr>
                <w:noProof/>
              </w:rPr>
              <w:fldChar w:fldCharType="separate"/>
            </w:r>
            <w:r w:rsidR="00CA44F6">
              <w:rPr>
                <w:noProof/>
              </w:rPr>
              <w:t>13</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74" w:history="1">
            <w:r w:rsidR="008A7055" w:rsidRPr="003F2C1D">
              <w:rPr>
                <w:rStyle w:val="Collegamentoipertestuale"/>
                <w:rFonts w:ascii="Titillium" w:hAnsi="Titillium"/>
                <w:noProof/>
              </w:rPr>
              <w:t>6.3.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REQUISITI DI CAPACITÀ TECNICA E PROFESSIONALE</w:t>
            </w:r>
            <w:r w:rsidR="008A7055">
              <w:rPr>
                <w:noProof/>
              </w:rPr>
              <w:tab/>
            </w:r>
            <w:r>
              <w:rPr>
                <w:noProof/>
              </w:rPr>
              <w:fldChar w:fldCharType="begin"/>
            </w:r>
            <w:r w:rsidR="008A7055">
              <w:rPr>
                <w:noProof/>
              </w:rPr>
              <w:instrText xml:space="preserve"> PAGEREF _Toc223087474 \h </w:instrText>
            </w:r>
            <w:r>
              <w:rPr>
                <w:noProof/>
              </w:rPr>
            </w:r>
            <w:r>
              <w:rPr>
                <w:noProof/>
              </w:rPr>
              <w:fldChar w:fldCharType="separate"/>
            </w:r>
            <w:r w:rsidR="00CA44F6">
              <w:rPr>
                <w:noProof/>
              </w:rPr>
              <w:t>13</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75" w:history="1">
            <w:r w:rsidR="008A7055" w:rsidRPr="003F2C1D">
              <w:rPr>
                <w:rStyle w:val="Collegamentoipertestuale"/>
                <w:rFonts w:ascii="Titillium" w:hAnsi="Titillium"/>
                <w:caps/>
                <w:noProof/>
              </w:rPr>
              <w:t>6.4.</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INDICAZIONI SUI REQUISITI SPECIALI NEI RAGGRUPPAMENTI TEMPORANEI, CONSORZI ORDINARI, AGGREGAZIONI DI IMPRESE DI RETE, GEIE</w:t>
            </w:r>
            <w:r w:rsidR="008A7055">
              <w:rPr>
                <w:noProof/>
              </w:rPr>
              <w:tab/>
            </w:r>
            <w:r>
              <w:rPr>
                <w:noProof/>
              </w:rPr>
              <w:fldChar w:fldCharType="begin"/>
            </w:r>
            <w:r w:rsidR="008A7055">
              <w:rPr>
                <w:noProof/>
              </w:rPr>
              <w:instrText xml:space="preserve"> PAGEREF _Toc223087475 \h </w:instrText>
            </w:r>
            <w:r>
              <w:rPr>
                <w:noProof/>
              </w:rPr>
            </w:r>
            <w:r>
              <w:rPr>
                <w:noProof/>
              </w:rPr>
              <w:fldChar w:fldCharType="separate"/>
            </w:r>
            <w:r w:rsidR="00CA44F6">
              <w:rPr>
                <w:noProof/>
              </w:rPr>
              <w:t>13</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76" w:history="1">
            <w:r w:rsidR="008A7055" w:rsidRPr="003F2C1D">
              <w:rPr>
                <w:rStyle w:val="Collegamentoipertestuale"/>
                <w:rFonts w:ascii="Titillium" w:hAnsi="Titillium"/>
                <w:caps/>
                <w:noProof/>
              </w:rPr>
              <w:t>6.5.</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INDICAZIONI SUI REQUISITI SPECIALI NEI CONSORZI DI COOPERATIVE, CONSORZI DI IMPRESE ARTIGIANE, CONSORZI STABILI</w:t>
            </w:r>
            <w:r w:rsidR="008A7055">
              <w:rPr>
                <w:noProof/>
              </w:rPr>
              <w:tab/>
            </w:r>
            <w:r>
              <w:rPr>
                <w:noProof/>
              </w:rPr>
              <w:fldChar w:fldCharType="begin"/>
            </w:r>
            <w:r w:rsidR="008A7055">
              <w:rPr>
                <w:noProof/>
              </w:rPr>
              <w:instrText xml:space="preserve"> PAGEREF _Toc223087476 \h </w:instrText>
            </w:r>
            <w:r>
              <w:rPr>
                <w:noProof/>
              </w:rPr>
            </w:r>
            <w:r>
              <w:rPr>
                <w:noProof/>
              </w:rPr>
              <w:fldChar w:fldCharType="separate"/>
            </w:r>
            <w:r w:rsidR="00CA44F6">
              <w:rPr>
                <w:noProof/>
              </w:rPr>
              <w:t>14</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77" w:history="1">
            <w:r w:rsidR="008A7055" w:rsidRPr="003F2C1D">
              <w:rPr>
                <w:rStyle w:val="Collegamentoipertestuale"/>
                <w:b/>
                <w:noProof/>
              </w:rPr>
              <w:t>7.</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AVVALIMENTO</w:t>
            </w:r>
            <w:r w:rsidR="008A7055">
              <w:rPr>
                <w:noProof/>
              </w:rPr>
              <w:tab/>
            </w:r>
            <w:r>
              <w:rPr>
                <w:noProof/>
              </w:rPr>
              <w:fldChar w:fldCharType="begin"/>
            </w:r>
            <w:r w:rsidR="008A7055">
              <w:rPr>
                <w:noProof/>
              </w:rPr>
              <w:instrText xml:space="preserve"> PAGEREF _Toc223087477 \h </w:instrText>
            </w:r>
            <w:r>
              <w:rPr>
                <w:noProof/>
              </w:rPr>
            </w:r>
            <w:r>
              <w:rPr>
                <w:noProof/>
              </w:rPr>
              <w:fldChar w:fldCharType="separate"/>
            </w:r>
            <w:r w:rsidR="00CA44F6">
              <w:rPr>
                <w:noProof/>
              </w:rPr>
              <w:t>14</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78" w:history="1">
            <w:r w:rsidR="008A7055" w:rsidRPr="003F2C1D">
              <w:rPr>
                <w:rStyle w:val="Collegamentoipertestuale"/>
                <w:b/>
                <w:noProof/>
              </w:rPr>
              <w:t>8.</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SUBAPPALTO</w:t>
            </w:r>
            <w:r w:rsidR="008A7055">
              <w:rPr>
                <w:noProof/>
              </w:rPr>
              <w:tab/>
            </w:r>
            <w:r>
              <w:rPr>
                <w:noProof/>
              </w:rPr>
              <w:fldChar w:fldCharType="begin"/>
            </w:r>
            <w:r w:rsidR="008A7055">
              <w:rPr>
                <w:noProof/>
              </w:rPr>
              <w:instrText xml:space="preserve"> PAGEREF _Toc223087478 \h </w:instrText>
            </w:r>
            <w:r>
              <w:rPr>
                <w:noProof/>
              </w:rPr>
            </w:r>
            <w:r>
              <w:rPr>
                <w:noProof/>
              </w:rPr>
              <w:fldChar w:fldCharType="separate"/>
            </w:r>
            <w:r w:rsidR="00CA44F6">
              <w:rPr>
                <w:noProof/>
              </w:rPr>
              <w:t>15</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79" w:history="1">
            <w:r w:rsidR="008A7055" w:rsidRPr="003F2C1D">
              <w:rPr>
                <w:rStyle w:val="Collegamentoipertestuale"/>
                <w:rFonts w:cs="Calibri"/>
                <w:b/>
                <w:noProof/>
              </w:rPr>
              <w:t>9.</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REQUISITI DI PARTECIPAZIONE E/O CONDIZIONI DI ESECUZIONE</w:t>
            </w:r>
            <w:r w:rsidR="008A7055">
              <w:rPr>
                <w:noProof/>
              </w:rPr>
              <w:tab/>
            </w:r>
            <w:r>
              <w:rPr>
                <w:noProof/>
              </w:rPr>
              <w:fldChar w:fldCharType="begin"/>
            </w:r>
            <w:r w:rsidR="008A7055">
              <w:rPr>
                <w:noProof/>
              </w:rPr>
              <w:instrText xml:space="preserve"> PAGEREF _Toc223087479 \h </w:instrText>
            </w:r>
            <w:r>
              <w:rPr>
                <w:noProof/>
              </w:rPr>
            </w:r>
            <w:r>
              <w:rPr>
                <w:noProof/>
              </w:rPr>
              <w:fldChar w:fldCharType="separate"/>
            </w:r>
            <w:r w:rsidR="00CA44F6">
              <w:rPr>
                <w:noProof/>
              </w:rPr>
              <w:t>16</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80" w:history="1">
            <w:r w:rsidR="008A7055" w:rsidRPr="003F2C1D">
              <w:rPr>
                <w:rStyle w:val="Collegamentoipertestuale"/>
                <w:rFonts w:ascii="Titillium" w:hAnsi="Titillium"/>
                <w:noProof/>
              </w:rPr>
              <w:t>9.1.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SOVVENZIONI ESTERE DISTORSIVE – ( non applicabile)</w:t>
            </w:r>
            <w:r w:rsidR="008A7055">
              <w:rPr>
                <w:noProof/>
              </w:rPr>
              <w:tab/>
            </w:r>
            <w:r>
              <w:rPr>
                <w:noProof/>
              </w:rPr>
              <w:fldChar w:fldCharType="begin"/>
            </w:r>
            <w:r w:rsidR="008A7055">
              <w:rPr>
                <w:noProof/>
              </w:rPr>
              <w:instrText xml:space="preserve"> PAGEREF _Toc223087480 \h </w:instrText>
            </w:r>
            <w:r>
              <w:rPr>
                <w:noProof/>
              </w:rPr>
            </w:r>
            <w:r>
              <w:rPr>
                <w:noProof/>
              </w:rPr>
              <w:fldChar w:fldCharType="separate"/>
            </w:r>
            <w:r w:rsidR="00CA44F6">
              <w:rPr>
                <w:noProof/>
              </w:rPr>
              <w:t>16</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1" w:history="1">
            <w:r w:rsidR="008A7055" w:rsidRPr="003F2C1D">
              <w:rPr>
                <w:rStyle w:val="Collegamentoipertestuale"/>
                <w:b/>
                <w:noProof/>
              </w:rPr>
              <w:t>10.</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GARANZIA PROVVISORIA</w:t>
            </w:r>
            <w:r w:rsidR="008A7055">
              <w:rPr>
                <w:noProof/>
              </w:rPr>
              <w:tab/>
            </w:r>
            <w:r>
              <w:rPr>
                <w:noProof/>
              </w:rPr>
              <w:fldChar w:fldCharType="begin"/>
            </w:r>
            <w:r w:rsidR="008A7055">
              <w:rPr>
                <w:noProof/>
              </w:rPr>
              <w:instrText xml:space="preserve"> PAGEREF _Toc223087481 \h </w:instrText>
            </w:r>
            <w:r>
              <w:rPr>
                <w:noProof/>
              </w:rPr>
            </w:r>
            <w:r>
              <w:rPr>
                <w:noProof/>
              </w:rPr>
              <w:fldChar w:fldCharType="separate"/>
            </w:r>
            <w:r w:rsidR="00CA44F6">
              <w:rPr>
                <w:noProof/>
              </w:rPr>
              <w:t>16</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2" w:history="1">
            <w:r w:rsidR="008A7055" w:rsidRPr="003F2C1D">
              <w:rPr>
                <w:rStyle w:val="Collegamentoipertestuale"/>
                <w:b/>
                <w:noProof/>
              </w:rPr>
              <w:t>11.</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SOPRALLUOGO</w:t>
            </w:r>
            <w:r w:rsidR="008A7055">
              <w:rPr>
                <w:noProof/>
              </w:rPr>
              <w:tab/>
            </w:r>
            <w:r>
              <w:rPr>
                <w:noProof/>
              </w:rPr>
              <w:fldChar w:fldCharType="begin"/>
            </w:r>
            <w:r w:rsidR="008A7055">
              <w:rPr>
                <w:noProof/>
              </w:rPr>
              <w:instrText xml:space="preserve"> PAGEREF _Toc223087482 \h </w:instrText>
            </w:r>
            <w:r>
              <w:rPr>
                <w:noProof/>
              </w:rPr>
            </w:r>
            <w:r>
              <w:rPr>
                <w:noProof/>
              </w:rPr>
              <w:fldChar w:fldCharType="separate"/>
            </w:r>
            <w:r w:rsidR="00CA44F6">
              <w:rPr>
                <w:noProof/>
              </w:rPr>
              <w:t>18</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3" w:history="1">
            <w:r w:rsidR="008A7055" w:rsidRPr="003F2C1D">
              <w:rPr>
                <w:rStyle w:val="Collegamentoipertestuale"/>
                <w:b/>
                <w:noProof/>
              </w:rPr>
              <w:t>12.</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PAGAMENTO DEL CONTRIBUTO A FAVORE DELL’</w:t>
            </w:r>
            <w:r w:rsidR="008A7055" w:rsidRPr="003F2C1D">
              <w:rPr>
                <w:rStyle w:val="Collegamentoipertestuale"/>
                <w:rFonts w:cs="Calibri"/>
                <w:noProof/>
              </w:rPr>
              <w:t>ANAC</w:t>
            </w:r>
            <w:r w:rsidR="008A7055">
              <w:rPr>
                <w:noProof/>
              </w:rPr>
              <w:tab/>
            </w:r>
            <w:r>
              <w:rPr>
                <w:noProof/>
              </w:rPr>
              <w:fldChar w:fldCharType="begin"/>
            </w:r>
            <w:r w:rsidR="008A7055">
              <w:rPr>
                <w:noProof/>
              </w:rPr>
              <w:instrText xml:space="preserve"> PAGEREF _Toc223087483 \h </w:instrText>
            </w:r>
            <w:r>
              <w:rPr>
                <w:noProof/>
              </w:rPr>
            </w:r>
            <w:r>
              <w:rPr>
                <w:noProof/>
              </w:rPr>
              <w:fldChar w:fldCharType="separate"/>
            </w:r>
            <w:r w:rsidR="00CA44F6">
              <w:rPr>
                <w:noProof/>
              </w:rPr>
              <w:t>18</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4" w:history="1">
            <w:r w:rsidR="008A7055" w:rsidRPr="003F2C1D">
              <w:rPr>
                <w:rStyle w:val="Collegamentoipertestuale"/>
                <w:b/>
                <w:noProof/>
              </w:rPr>
              <w:t>13.</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MODALITÀ DI PRESENTAZIONE DELL’OFFERTA E SOTTOSCRIZIONE DEI DOCUMENTI DI GARA</w:t>
            </w:r>
            <w:r w:rsidR="008A7055">
              <w:rPr>
                <w:noProof/>
              </w:rPr>
              <w:tab/>
            </w:r>
            <w:r>
              <w:rPr>
                <w:noProof/>
              </w:rPr>
              <w:fldChar w:fldCharType="begin"/>
            </w:r>
            <w:r w:rsidR="008A7055">
              <w:rPr>
                <w:noProof/>
              </w:rPr>
              <w:instrText xml:space="preserve"> PAGEREF _Toc223087484 \h </w:instrText>
            </w:r>
            <w:r>
              <w:rPr>
                <w:noProof/>
              </w:rPr>
            </w:r>
            <w:r>
              <w:rPr>
                <w:noProof/>
              </w:rPr>
              <w:fldChar w:fldCharType="separate"/>
            </w:r>
            <w:r w:rsidR="00CA44F6">
              <w:rPr>
                <w:noProof/>
              </w:rPr>
              <w:t>19</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85" w:history="1">
            <w:r w:rsidR="008A7055" w:rsidRPr="003F2C1D">
              <w:rPr>
                <w:rStyle w:val="Collegamentoipertestuale"/>
                <w:rFonts w:ascii="Titillium" w:hAnsi="Titillium"/>
                <w:noProof/>
              </w:rPr>
              <w:t>13.1.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REGOLE PER LA PRESENTAZIONE DELL’OFFERTA</w:t>
            </w:r>
            <w:r w:rsidR="008A7055">
              <w:rPr>
                <w:noProof/>
              </w:rPr>
              <w:tab/>
            </w:r>
            <w:r>
              <w:rPr>
                <w:noProof/>
              </w:rPr>
              <w:fldChar w:fldCharType="begin"/>
            </w:r>
            <w:r w:rsidR="008A7055">
              <w:rPr>
                <w:noProof/>
              </w:rPr>
              <w:instrText xml:space="preserve"> PAGEREF _Toc223087485 \h </w:instrText>
            </w:r>
            <w:r>
              <w:rPr>
                <w:noProof/>
              </w:rPr>
            </w:r>
            <w:r>
              <w:rPr>
                <w:noProof/>
              </w:rPr>
              <w:fldChar w:fldCharType="separate"/>
            </w:r>
            <w:r w:rsidR="00CA44F6">
              <w:rPr>
                <w:noProof/>
              </w:rPr>
              <w:t>19</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6" w:history="1">
            <w:r w:rsidR="008A7055" w:rsidRPr="003F2C1D">
              <w:rPr>
                <w:rStyle w:val="Collegamentoipertestuale"/>
                <w:b/>
                <w:noProof/>
              </w:rPr>
              <w:t>14.</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SOCCORSO ISTRUTTORIO</w:t>
            </w:r>
            <w:r w:rsidR="008A7055">
              <w:rPr>
                <w:noProof/>
              </w:rPr>
              <w:tab/>
            </w:r>
            <w:r>
              <w:rPr>
                <w:noProof/>
              </w:rPr>
              <w:fldChar w:fldCharType="begin"/>
            </w:r>
            <w:r w:rsidR="008A7055">
              <w:rPr>
                <w:noProof/>
              </w:rPr>
              <w:instrText xml:space="preserve"> PAGEREF _Toc223087486 \h </w:instrText>
            </w:r>
            <w:r>
              <w:rPr>
                <w:noProof/>
              </w:rPr>
            </w:r>
            <w:r>
              <w:rPr>
                <w:noProof/>
              </w:rPr>
              <w:fldChar w:fldCharType="separate"/>
            </w:r>
            <w:r w:rsidR="00CA44F6">
              <w:rPr>
                <w:noProof/>
              </w:rPr>
              <w:t>20</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87" w:history="1">
            <w:r w:rsidR="008A7055" w:rsidRPr="003F2C1D">
              <w:rPr>
                <w:rStyle w:val="Collegamentoipertestuale"/>
                <w:b/>
                <w:noProof/>
              </w:rPr>
              <w:t>15.</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DOMANDA DI PARTECIPAZIONE E DOCUMENTAZIONE AMMINISTRATIVA</w:t>
            </w:r>
            <w:r w:rsidR="008A7055">
              <w:rPr>
                <w:noProof/>
              </w:rPr>
              <w:tab/>
            </w:r>
            <w:r>
              <w:rPr>
                <w:noProof/>
              </w:rPr>
              <w:fldChar w:fldCharType="begin"/>
            </w:r>
            <w:r w:rsidR="008A7055">
              <w:rPr>
                <w:noProof/>
              </w:rPr>
              <w:instrText xml:space="preserve"> PAGEREF _Toc223087487 \h </w:instrText>
            </w:r>
            <w:r>
              <w:rPr>
                <w:noProof/>
              </w:rPr>
            </w:r>
            <w:r>
              <w:rPr>
                <w:noProof/>
              </w:rPr>
              <w:fldChar w:fldCharType="separate"/>
            </w:r>
            <w:r w:rsidR="00CA44F6">
              <w:rPr>
                <w:noProof/>
              </w:rPr>
              <w:t>21</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88" w:history="1">
            <w:r w:rsidR="008A7055" w:rsidRPr="003F2C1D">
              <w:rPr>
                <w:rStyle w:val="Collegamentoipertestuale"/>
                <w:rFonts w:ascii="Titillium" w:hAnsi="Titillium"/>
                <w:noProof/>
              </w:rPr>
              <w:t>15.1.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DOMANDA DI PARTECIPAZIONE ED EVENTUALE PROCURA</w:t>
            </w:r>
            <w:r w:rsidR="008A7055">
              <w:rPr>
                <w:noProof/>
              </w:rPr>
              <w:tab/>
            </w:r>
            <w:r>
              <w:rPr>
                <w:noProof/>
              </w:rPr>
              <w:fldChar w:fldCharType="begin"/>
            </w:r>
            <w:r w:rsidR="008A7055">
              <w:rPr>
                <w:noProof/>
              </w:rPr>
              <w:instrText xml:space="preserve"> PAGEREF _Toc223087488 \h </w:instrText>
            </w:r>
            <w:r>
              <w:rPr>
                <w:noProof/>
              </w:rPr>
            </w:r>
            <w:r>
              <w:rPr>
                <w:noProof/>
              </w:rPr>
              <w:fldChar w:fldCharType="separate"/>
            </w:r>
            <w:r w:rsidR="00CA44F6">
              <w:rPr>
                <w:noProof/>
              </w:rPr>
              <w:t>22</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89" w:history="1">
            <w:r w:rsidR="008A7055" w:rsidRPr="003F2C1D">
              <w:rPr>
                <w:rStyle w:val="Collegamentoipertestuale"/>
                <w:rFonts w:ascii="Titillium" w:hAnsi="Titillium"/>
                <w:noProof/>
              </w:rPr>
              <w:t>15.2.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DICHIARAZIONI DA RENDERE A CURA DEGLI OPERATORI ECONOMICI AMMESSI AL CONCORDATO PREVENTIVO CON CONTINUITÀ AZIENDALE DI CUI ALL’ARTICOLO 372 del DECRETO LEGISLATIVO 12 GENNAIO 2019, n. 14</w:t>
            </w:r>
            <w:r w:rsidR="008A7055">
              <w:rPr>
                <w:noProof/>
              </w:rPr>
              <w:tab/>
            </w:r>
            <w:r>
              <w:rPr>
                <w:noProof/>
              </w:rPr>
              <w:fldChar w:fldCharType="begin"/>
            </w:r>
            <w:r w:rsidR="008A7055">
              <w:rPr>
                <w:noProof/>
              </w:rPr>
              <w:instrText xml:space="preserve"> PAGEREF _Toc223087489 \h </w:instrText>
            </w:r>
            <w:r>
              <w:rPr>
                <w:noProof/>
              </w:rPr>
            </w:r>
            <w:r>
              <w:rPr>
                <w:noProof/>
              </w:rPr>
              <w:fldChar w:fldCharType="separate"/>
            </w:r>
            <w:r w:rsidR="00CA44F6">
              <w:rPr>
                <w:noProof/>
              </w:rPr>
              <w:t>23</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0" w:history="1">
            <w:r w:rsidR="008A7055" w:rsidRPr="003F2C1D">
              <w:rPr>
                <w:rStyle w:val="Collegamentoipertestuale"/>
                <w:rFonts w:ascii="Titillium" w:hAnsi="Titillium"/>
                <w:noProof/>
              </w:rPr>
              <w:t>15.3.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DICHIARAZIONI DA RENDERE NEL DGUE</w:t>
            </w:r>
            <w:r w:rsidR="008A7055">
              <w:rPr>
                <w:noProof/>
              </w:rPr>
              <w:tab/>
            </w:r>
            <w:r>
              <w:rPr>
                <w:noProof/>
              </w:rPr>
              <w:fldChar w:fldCharType="begin"/>
            </w:r>
            <w:r w:rsidR="008A7055">
              <w:rPr>
                <w:noProof/>
              </w:rPr>
              <w:instrText xml:space="preserve"> PAGEREF _Toc223087490 \h </w:instrText>
            </w:r>
            <w:r>
              <w:rPr>
                <w:noProof/>
              </w:rPr>
            </w:r>
            <w:r>
              <w:rPr>
                <w:noProof/>
              </w:rPr>
              <w:fldChar w:fldCharType="separate"/>
            </w:r>
            <w:r w:rsidR="00CA44F6">
              <w:rPr>
                <w:noProof/>
              </w:rPr>
              <w:t>23</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1" w:history="1">
            <w:r w:rsidR="008A7055" w:rsidRPr="003F2C1D">
              <w:rPr>
                <w:rStyle w:val="Collegamentoipertestuale"/>
                <w:rFonts w:ascii="Titillium" w:hAnsi="Titillium"/>
                <w:noProof/>
              </w:rPr>
              <w:t>15.4.</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DOCUMENTAZIONE IN CASO DI AVVALIMENTO</w:t>
            </w:r>
            <w:r w:rsidR="008A7055">
              <w:rPr>
                <w:noProof/>
              </w:rPr>
              <w:tab/>
            </w:r>
            <w:r>
              <w:rPr>
                <w:noProof/>
              </w:rPr>
              <w:fldChar w:fldCharType="begin"/>
            </w:r>
            <w:r w:rsidR="008A7055">
              <w:rPr>
                <w:noProof/>
              </w:rPr>
              <w:instrText xml:space="preserve"> PAGEREF _Toc223087491 \h </w:instrText>
            </w:r>
            <w:r>
              <w:rPr>
                <w:noProof/>
              </w:rPr>
            </w:r>
            <w:r>
              <w:rPr>
                <w:noProof/>
              </w:rPr>
              <w:fldChar w:fldCharType="separate"/>
            </w:r>
            <w:r w:rsidR="00CA44F6">
              <w:rPr>
                <w:noProof/>
              </w:rPr>
              <w:t>24</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2" w:history="1">
            <w:r w:rsidR="008A7055" w:rsidRPr="003F2C1D">
              <w:rPr>
                <w:rStyle w:val="Collegamentoipertestuale"/>
                <w:rFonts w:ascii="Titillium" w:hAnsi="Titillium"/>
                <w:noProof/>
              </w:rPr>
              <w:t>15.5.</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DOCUMENTAZIONE ULTERIORE PER I SOGGETTI ASSOCIATI</w:t>
            </w:r>
            <w:r w:rsidR="008A7055">
              <w:rPr>
                <w:noProof/>
              </w:rPr>
              <w:tab/>
            </w:r>
            <w:r>
              <w:rPr>
                <w:noProof/>
              </w:rPr>
              <w:fldChar w:fldCharType="begin"/>
            </w:r>
            <w:r w:rsidR="008A7055">
              <w:rPr>
                <w:noProof/>
              </w:rPr>
              <w:instrText xml:space="preserve"> PAGEREF _Toc223087492 \h </w:instrText>
            </w:r>
            <w:r>
              <w:rPr>
                <w:noProof/>
              </w:rPr>
            </w:r>
            <w:r>
              <w:rPr>
                <w:noProof/>
              </w:rPr>
              <w:fldChar w:fldCharType="separate"/>
            </w:r>
            <w:r w:rsidR="00CA44F6">
              <w:rPr>
                <w:noProof/>
              </w:rPr>
              <w:t>24</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93" w:history="1">
            <w:r w:rsidR="008A7055" w:rsidRPr="003F2C1D">
              <w:rPr>
                <w:rStyle w:val="Collegamentoipertestuale"/>
                <w:b/>
                <w:noProof/>
              </w:rPr>
              <w:t>16.</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OFFERTA TECNICA</w:t>
            </w:r>
            <w:r w:rsidR="008A7055">
              <w:rPr>
                <w:noProof/>
              </w:rPr>
              <w:tab/>
            </w:r>
            <w:r>
              <w:rPr>
                <w:noProof/>
              </w:rPr>
              <w:fldChar w:fldCharType="begin"/>
            </w:r>
            <w:r w:rsidR="008A7055">
              <w:rPr>
                <w:noProof/>
              </w:rPr>
              <w:instrText xml:space="preserve"> PAGEREF _Toc223087493 \h </w:instrText>
            </w:r>
            <w:r>
              <w:rPr>
                <w:noProof/>
              </w:rPr>
            </w:r>
            <w:r>
              <w:rPr>
                <w:noProof/>
              </w:rPr>
              <w:fldChar w:fldCharType="separate"/>
            </w:r>
            <w:r w:rsidR="00CA44F6">
              <w:rPr>
                <w:noProof/>
              </w:rPr>
              <w:t>27</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94" w:history="1">
            <w:r w:rsidR="008A7055" w:rsidRPr="003F2C1D">
              <w:rPr>
                <w:rStyle w:val="Collegamentoipertestuale"/>
                <w:b/>
                <w:noProof/>
              </w:rPr>
              <w:t>17.</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OFFERTA ECONOMICA</w:t>
            </w:r>
            <w:r w:rsidR="008A7055">
              <w:rPr>
                <w:noProof/>
              </w:rPr>
              <w:tab/>
            </w:r>
            <w:r>
              <w:rPr>
                <w:noProof/>
              </w:rPr>
              <w:fldChar w:fldCharType="begin"/>
            </w:r>
            <w:r w:rsidR="008A7055">
              <w:rPr>
                <w:noProof/>
              </w:rPr>
              <w:instrText xml:space="preserve"> PAGEREF _Toc223087494 \h </w:instrText>
            </w:r>
            <w:r>
              <w:rPr>
                <w:noProof/>
              </w:rPr>
            </w:r>
            <w:r>
              <w:rPr>
                <w:noProof/>
              </w:rPr>
              <w:fldChar w:fldCharType="separate"/>
            </w:r>
            <w:r w:rsidR="00CA44F6">
              <w:rPr>
                <w:noProof/>
              </w:rPr>
              <w:t>27</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495" w:history="1">
            <w:r w:rsidR="008A7055" w:rsidRPr="003F2C1D">
              <w:rPr>
                <w:rStyle w:val="Collegamentoipertestuale"/>
                <w:b/>
                <w:noProof/>
              </w:rPr>
              <w:t>18.</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CRITERIO DI AGGIUDICAZIONE</w:t>
            </w:r>
            <w:r w:rsidR="008A7055">
              <w:rPr>
                <w:noProof/>
              </w:rPr>
              <w:tab/>
            </w:r>
            <w:r>
              <w:rPr>
                <w:noProof/>
              </w:rPr>
              <w:fldChar w:fldCharType="begin"/>
            </w:r>
            <w:r w:rsidR="008A7055">
              <w:rPr>
                <w:noProof/>
              </w:rPr>
              <w:instrText xml:space="preserve"> PAGEREF _Toc223087495 \h </w:instrText>
            </w:r>
            <w:r>
              <w:rPr>
                <w:noProof/>
              </w:rPr>
            </w:r>
            <w:r>
              <w:rPr>
                <w:noProof/>
              </w:rPr>
              <w:fldChar w:fldCharType="separate"/>
            </w:r>
            <w:r w:rsidR="00CA44F6">
              <w:rPr>
                <w:noProof/>
              </w:rPr>
              <w:t>28</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6" w:history="1">
            <w:r w:rsidR="008A7055" w:rsidRPr="003F2C1D">
              <w:rPr>
                <w:rStyle w:val="Collegamentoipertestuale"/>
                <w:rFonts w:ascii="Titillium" w:hAnsi="Titillium"/>
                <w:noProof/>
              </w:rPr>
              <w:t>18.1.</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CRITERI DI VALUTAZIONE DELL’OFFERTA TECNICA</w:t>
            </w:r>
            <w:r w:rsidR="008A7055">
              <w:rPr>
                <w:noProof/>
              </w:rPr>
              <w:tab/>
            </w:r>
            <w:r>
              <w:rPr>
                <w:noProof/>
              </w:rPr>
              <w:fldChar w:fldCharType="begin"/>
            </w:r>
            <w:r w:rsidR="008A7055">
              <w:rPr>
                <w:noProof/>
              </w:rPr>
              <w:instrText xml:space="preserve"> PAGEREF _Toc223087496 \h </w:instrText>
            </w:r>
            <w:r>
              <w:rPr>
                <w:noProof/>
              </w:rPr>
            </w:r>
            <w:r>
              <w:rPr>
                <w:noProof/>
              </w:rPr>
              <w:fldChar w:fldCharType="separate"/>
            </w:r>
            <w:r w:rsidR="00CA44F6">
              <w:rPr>
                <w:noProof/>
              </w:rPr>
              <w:t>28</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7" w:history="1">
            <w:r w:rsidR="008A7055" w:rsidRPr="003F2C1D">
              <w:rPr>
                <w:rStyle w:val="Collegamentoipertestuale"/>
                <w:rFonts w:ascii="Titillium" w:hAnsi="Titillium"/>
                <w:noProof/>
              </w:rPr>
              <w:t>18.2.</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METODO DI ATTRIBUZIONE DEL COEFFICIENTE PER IL CALCOLO DEL PUNTEGGIO DELL’OFFERTA TECNICA</w:t>
            </w:r>
            <w:r w:rsidR="008A7055">
              <w:rPr>
                <w:noProof/>
              </w:rPr>
              <w:tab/>
            </w:r>
            <w:r>
              <w:rPr>
                <w:noProof/>
              </w:rPr>
              <w:fldChar w:fldCharType="begin"/>
            </w:r>
            <w:r w:rsidR="008A7055">
              <w:rPr>
                <w:noProof/>
              </w:rPr>
              <w:instrText xml:space="preserve"> PAGEREF _Toc223087497 \h </w:instrText>
            </w:r>
            <w:r>
              <w:rPr>
                <w:noProof/>
              </w:rPr>
            </w:r>
            <w:r>
              <w:rPr>
                <w:noProof/>
              </w:rPr>
              <w:fldChar w:fldCharType="separate"/>
            </w:r>
            <w:r w:rsidR="00CA44F6">
              <w:rPr>
                <w:noProof/>
              </w:rPr>
              <w:t>29</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8" w:history="1">
            <w:r w:rsidR="008A7055" w:rsidRPr="003F2C1D">
              <w:rPr>
                <w:rStyle w:val="Collegamentoipertestuale"/>
                <w:rFonts w:ascii="Titillium" w:hAnsi="Titillium"/>
                <w:noProof/>
              </w:rPr>
              <w:t>18.3.</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METODO DI ATTRIBUZIONE DEL COEFFICIENTE PER IL CALCOLO DEL PUNTEGGIO DELL’OFFERTA ECONOMICA</w:t>
            </w:r>
            <w:r w:rsidR="008A7055">
              <w:rPr>
                <w:noProof/>
              </w:rPr>
              <w:tab/>
            </w:r>
            <w:r>
              <w:rPr>
                <w:noProof/>
              </w:rPr>
              <w:fldChar w:fldCharType="begin"/>
            </w:r>
            <w:r w:rsidR="008A7055">
              <w:rPr>
                <w:noProof/>
              </w:rPr>
              <w:instrText xml:space="preserve"> PAGEREF _Toc223087498 \h </w:instrText>
            </w:r>
            <w:r>
              <w:rPr>
                <w:noProof/>
              </w:rPr>
            </w:r>
            <w:r>
              <w:rPr>
                <w:noProof/>
              </w:rPr>
              <w:fldChar w:fldCharType="separate"/>
            </w:r>
            <w:r w:rsidR="00CA44F6">
              <w:rPr>
                <w:noProof/>
              </w:rPr>
              <w:t>29</w:t>
            </w:r>
            <w:r>
              <w:rPr>
                <w:noProof/>
              </w:rPr>
              <w:fldChar w:fldCharType="end"/>
            </w:r>
          </w:hyperlink>
        </w:p>
        <w:p w:rsidR="008A7055" w:rsidRDefault="00CB00FF">
          <w:pPr>
            <w:pStyle w:val="Sommario3"/>
            <w:rPr>
              <w:rFonts w:asciiTheme="minorHAnsi" w:eastAsiaTheme="minorEastAsia" w:hAnsiTheme="minorHAnsi" w:cstheme="minorBidi"/>
              <w:iCs w:val="0"/>
              <w:noProof/>
              <w:sz w:val="22"/>
              <w:szCs w:val="22"/>
              <w:lang w:eastAsia="it-IT"/>
            </w:rPr>
          </w:pPr>
          <w:hyperlink w:anchor="_Toc223087499" w:history="1">
            <w:r w:rsidR="008A7055" w:rsidRPr="003F2C1D">
              <w:rPr>
                <w:rStyle w:val="Collegamentoipertestuale"/>
                <w:rFonts w:ascii="Titillium" w:hAnsi="Titillium"/>
                <w:noProof/>
              </w:rPr>
              <w:t>18.4.</w:t>
            </w:r>
            <w:r w:rsidR="008A7055">
              <w:rPr>
                <w:rFonts w:asciiTheme="minorHAnsi" w:eastAsiaTheme="minorEastAsia" w:hAnsiTheme="minorHAnsi" w:cstheme="minorBidi"/>
                <w:iCs w:val="0"/>
                <w:noProof/>
                <w:sz w:val="22"/>
                <w:szCs w:val="22"/>
                <w:lang w:eastAsia="it-IT"/>
              </w:rPr>
              <w:tab/>
            </w:r>
            <w:r w:rsidR="008A7055" w:rsidRPr="003F2C1D">
              <w:rPr>
                <w:rStyle w:val="Collegamentoipertestuale"/>
                <w:rFonts w:ascii="Titillium" w:hAnsi="Titillium"/>
                <w:noProof/>
              </w:rPr>
              <w:t>METODO DI CALCOLO DEI PUNTEGGI</w:t>
            </w:r>
            <w:r w:rsidR="008A7055">
              <w:rPr>
                <w:noProof/>
              </w:rPr>
              <w:tab/>
            </w:r>
            <w:r>
              <w:rPr>
                <w:noProof/>
              </w:rPr>
              <w:fldChar w:fldCharType="begin"/>
            </w:r>
            <w:r w:rsidR="008A7055">
              <w:rPr>
                <w:noProof/>
              </w:rPr>
              <w:instrText xml:space="preserve"> PAGEREF _Toc223087499 \h </w:instrText>
            </w:r>
            <w:r>
              <w:rPr>
                <w:noProof/>
              </w:rPr>
            </w:r>
            <w:r>
              <w:rPr>
                <w:noProof/>
              </w:rPr>
              <w:fldChar w:fldCharType="separate"/>
            </w:r>
            <w:r w:rsidR="00CA44F6">
              <w:rPr>
                <w:noProof/>
              </w:rPr>
              <w:t>30</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0" w:history="1">
            <w:r w:rsidR="008A7055" w:rsidRPr="003F2C1D">
              <w:rPr>
                <w:rStyle w:val="Collegamentoipertestuale"/>
                <w:b/>
                <w:noProof/>
              </w:rPr>
              <w:t>19.</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COMMISSIONE GIUDICATRICE</w:t>
            </w:r>
            <w:r w:rsidR="008A7055">
              <w:rPr>
                <w:noProof/>
              </w:rPr>
              <w:tab/>
            </w:r>
            <w:r>
              <w:rPr>
                <w:noProof/>
              </w:rPr>
              <w:fldChar w:fldCharType="begin"/>
            </w:r>
            <w:r w:rsidR="008A7055">
              <w:rPr>
                <w:noProof/>
              </w:rPr>
              <w:instrText xml:space="preserve"> PAGEREF _Toc223087500 \h </w:instrText>
            </w:r>
            <w:r>
              <w:rPr>
                <w:noProof/>
              </w:rPr>
            </w:r>
            <w:r>
              <w:rPr>
                <w:noProof/>
              </w:rPr>
              <w:fldChar w:fldCharType="separate"/>
            </w:r>
            <w:r w:rsidR="00CA44F6">
              <w:rPr>
                <w:noProof/>
              </w:rPr>
              <w:t>30</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1" w:history="1">
            <w:r w:rsidR="008A7055" w:rsidRPr="003F2C1D">
              <w:rPr>
                <w:rStyle w:val="Collegamentoipertestuale"/>
                <w:b/>
                <w:noProof/>
              </w:rPr>
              <w:t>20.</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SVOLGIMENTO DELLE OPERAZIONI DI GARA</w:t>
            </w:r>
            <w:r w:rsidR="008A7055">
              <w:rPr>
                <w:noProof/>
              </w:rPr>
              <w:tab/>
            </w:r>
            <w:r>
              <w:rPr>
                <w:noProof/>
              </w:rPr>
              <w:fldChar w:fldCharType="begin"/>
            </w:r>
            <w:r w:rsidR="008A7055">
              <w:rPr>
                <w:noProof/>
              </w:rPr>
              <w:instrText xml:space="preserve"> PAGEREF _Toc223087501 \h </w:instrText>
            </w:r>
            <w:r>
              <w:rPr>
                <w:noProof/>
              </w:rPr>
            </w:r>
            <w:r>
              <w:rPr>
                <w:noProof/>
              </w:rPr>
              <w:fldChar w:fldCharType="separate"/>
            </w:r>
            <w:r w:rsidR="00CA44F6">
              <w:rPr>
                <w:noProof/>
              </w:rPr>
              <w:t>31</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2" w:history="1">
            <w:r w:rsidR="008A7055" w:rsidRPr="003F2C1D">
              <w:rPr>
                <w:rStyle w:val="Collegamentoipertestuale"/>
                <w:b/>
                <w:noProof/>
              </w:rPr>
              <w:t>21.</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VERIFICA DOCUMENTAZIONE AMMINISTRATIVA</w:t>
            </w:r>
            <w:r w:rsidR="008A7055">
              <w:rPr>
                <w:noProof/>
              </w:rPr>
              <w:tab/>
            </w:r>
            <w:r>
              <w:rPr>
                <w:noProof/>
              </w:rPr>
              <w:fldChar w:fldCharType="begin"/>
            </w:r>
            <w:r w:rsidR="008A7055">
              <w:rPr>
                <w:noProof/>
              </w:rPr>
              <w:instrText xml:space="preserve"> PAGEREF _Toc223087502 \h </w:instrText>
            </w:r>
            <w:r>
              <w:rPr>
                <w:noProof/>
              </w:rPr>
            </w:r>
            <w:r>
              <w:rPr>
                <w:noProof/>
              </w:rPr>
              <w:fldChar w:fldCharType="separate"/>
            </w:r>
            <w:r w:rsidR="00CA44F6">
              <w:rPr>
                <w:noProof/>
              </w:rPr>
              <w:t>31</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3" w:history="1">
            <w:r w:rsidR="008A7055" w:rsidRPr="003F2C1D">
              <w:rPr>
                <w:rStyle w:val="Collegamentoipertestuale"/>
                <w:b/>
                <w:noProof/>
              </w:rPr>
              <w:t>22.</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VALUTAZIONE DELLE OFFERTE TECNICHE ED ECONOMICHE.</w:t>
            </w:r>
            <w:r w:rsidR="008A7055">
              <w:rPr>
                <w:noProof/>
              </w:rPr>
              <w:tab/>
            </w:r>
            <w:r>
              <w:rPr>
                <w:noProof/>
              </w:rPr>
              <w:fldChar w:fldCharType="begin"/>
            </w:r>
            <w:r w:rsidR="008A7055">
              <w:rPr>
                <w:noProof/>
              </w:rPr>
              <w:instrText xml:space="preserve"> PAGEREF _Toc223087503 \h </w:instrText>
            </w:r>
            <w:r>
              <w:rPr>
                <w:noProof/>
              </w:rPr>
            </w:r>
            <w:r>
              <w:rPr>
                <w:noProof/>
              </w:rPr>
              <w:fldChar w:fldCharType="separate"/>
            </w:r>
            <w:r w:rsidR="00CA44F6">
              <w:rPr>
                <w:noProof/>
              </w:rPr>
              <w:t>31</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4" w:history="1">
            <w:r w:rsidR="008A7055" w:rsidRPr="003F2C1D">
              <w:rPr>
                <w:rStyle w:val="Collegamentoipertestuale"/>
                <w:b/>
                <w:noProof/>
              </w:rPr>
              <w:t>23.</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VERIFICA DI ANOMALIA DELLE OFFERTE</w:t>
            </w:r>
            <w:r w:rsidR="008A7055">
              <w:rPr>
                <w:noProof/>
              </w:rPr>
              <w:tab/>
            </w:r>
            <w:r>
              <w:rPr>
                <w:noProof/>
              </w:rPr>
              <w:fldChar w:fldCharType="begin"/>
            </w:r>
            <w:r w:rsidR="008A7055">
              <w:rPr>
                <w:noProof/>
              </w:rPr>
              <w:instrText xml:space="preserve"> PAGEREF _Toc223087504 \h </w:instrText>
            </w:r>
            <w:r>
              <w:rPr>
                <w:noProof/>
              </w:rPr>
            </w:r>
            <w:r>
              <w:rPr>
                <w:noProof/>
              </w:rPr>
              <w:fldChar w:fldCharType="separate"/>
            </w:r>
            <w:r w:rsidR="00CA44F6">
              <w:rPr>
                <w:noProof/>
              </w:rPr>
              <w:t>32</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5" w:history="1">
            <w:r w:rsidR="008A7055" w:rsidRPr="003F2C1D">
              <w:rPr>
                <w:rStyle w:val="Collegamentoipertestuale"/>
                <w:b/>
                <w:noProof/>
              </w:rPr>
              <w:t>24.</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AGGIUDICAZIONE DELL’APPALTO E STIPULA DEL CONTRATTO</w:t>
            </w:r>
            <w:r w:rsidR="008A7055">
              <w:rPr>
                <w:noProof/>
              </w:rPr>
              <w:tab/>
            </w:r>
            <w:r>
              <w:rPr>
                <w:noProof/>
              </w:rPr>
              <w:fldChar w:fldCharType="begin"/>
            </w:r>
            <w:r w:rsidR="008A7055">
              <w:rPr>
                <w:noProof/>
              </w:rPr>
              <w:instrText xml:space="preserve"> PAGEREF _Toc223087505 \h </w:instrText>
            </w:r>
            <w:r>
              <w:rPr>
                <w:noProof/>
              </w:rPr>
            </w:r>
            <w:r>
              <w:rPr>
                <w:noProof/>
              </w:rPr>
              <w:fldChar w:fldCharType="separate"/>
            </w:r>
            <w:r w:rsidR="00CA44F6">
              <w:rPr>
                <w:noProof/>
              </w:rPr>
              <w:t>33</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6" w:history="1">
            <w:r w:rsidR="008A7055" w:rsidRPr="003F2C1D">
              <w:rPr>
                <w:rStyle w:val="Collegamentoipertestuale"/>
                <w:b/>
                <w:noProof/>
              </w:rPr>
              <w:t>25.</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OBBLIGHI RELATIVI ALLA TRACCIABILITÀ DEI FLUSSI FINANZIARI</w:t>
            </w:r>
            <w:r w:rsidR="008A7055">
              <w:rPr>
                <w:noProof/>
              </w:rPr>
              <w:tab/>
            </w:r>
            <w:r>
              <w:rPr>
                <w:noProof/>
              </w:rPr>
              <w:fldChar w:fldCharType="begin"/>
            </w:r>
            <w:r w:rsidR="008A7055">
              <w:rPr>
                <w:noProof/>
              </w:rPr>
              <w:instrText xml:space="preserve"> PAGEREF _Toc223087506 \h </w:instrText>
            </w:r>
            <w:r>
              <w:rPr>
                <w:noProof/>
              </w:rPr>
            </w:r>
            <w:r>
              <w:rPr>
                <w:noProof/>
              </w:rPr>
              <w:fldChar w:fldCharType="separate"/>
            </w:r>
            <w:r w:rsidR="00CA44F6">
              <w:rPr>
                <w:noProof/>
              </w:rPr>
              <w:t>35</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7" w:history="1">
            <w:r w:rsidR="008A7055" w:rsidRPr="003F2C1D">
              <w:rPr>
                <w:rStyle w:val="Collegamentoipertestuale"/>
                <w:b/>
                <w:noProof/>
              </w:rPr>
              <w:t>26.</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CODICE DI COMPORTAMENTO</w:t>
            </w:r>
            <w:r w:rsidR="008A7055">
              <w:rPr>
                <w:noProof/>
              </w:rPr>
              <w:tab/>
            </w:r>
            <w:r>
              <w:rPr>
                <w:noProof/>
              </w:rPr>
              <w:fldChar w:fldCharType="begin"/>
            </w:r>
            <w:r w:rsidR="008A7055">
              <w:rPr>
                <w:noProof/>
              </w:rPr>
              <w:instrText xml:space="preserve"> PAGEREF _Toc223087507 \h </w:instrText>
            </w:r>
            <w:r>
              <w:rPr>
                <w:noProof/>
              </w:rPr>
            </w:r>
            <w:r>
              <w:rPr>
                <w:noProof/>
              </w:rPr>
              <w:fldChar w:fldCharType="separate"/>
            </w:r>
            <w:r w:rsidR="00CA44F6">
              <w:rPr>
                <w:noProof/>
              </w:rPr>
              <w:t>36</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8" w:history="1">
            <w:r w:rsidR="008A7055" w:rsidRPr="003F2C1D">
              <w:rPr>
                <w:rStyle w:val="Collegamentoipertestuale"/>
                <w:b/>
                <w:noProof/>
              </w:rPr>
              <w:t>27.</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ACCESSO AGLI ATTI</w:t>
            </w:r>
            <w:r w:rsidR="008A7055">
              <w:rPr>
                <w:noProof/>
              </w:rPr>
              <w:tab/>
            </w:r>
            <w:r>
              <w:rPr>
                <w:noProof/>
              </w:rPr>
              <w:fldChar w:fldCharType="begin"/>
            </w:r>
            <w:r w:rsidR="008A7055">
              <w:rPr>
                <w:noProof/>
              </w:rPr>
              <w:instrText xml:space="preserve"> PAGEREF _Toc223087508 \h </w:instrText>
            </w:r>
            <w:r>
              <w:rPr>
                <w:noProof/>
              </w:rPr>
            </w:r>
            <w:r>
              <w:rPr>
                <w:noProof/>
              </w:rPr>
              <w:fldChar w:fldCharType="separate"/>
            </w:r>
            <w:r w:rsidR="00CA44F6">
              <w:rPr>
                <w:noProof/>
              </w:rPr>
              <w:t>36</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09" w:history="1">
            <w:r w:rsidR="008A7055" w:rsidRPr="003F2C1D">
              <w:rPr>
                <w:rStyle w:val="Collegamentoipertestuale"/>
                <w:b/>
                <w:noProof/>
              </w:rPr>
              <w:t>28.</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DEFINIZIONE DELLE CONTROVERSIE</w:t>
            </w:r>
            <w:r w:rsidR="008A7055">
              <w:rPr>
                <w:noProof/>
              </w:rPr>
              <w:tab/>
            </w:r>
            <w:r>
              <w:rPr>
                <w:noProof/>
              </w:rPr>
              <w:fldChar w:fldCharType="begin"/>
            </w:r>
            <w:r w:rsidR="008A7055">
              <w:rPr>
                <w:noProof/>
              </w:rPr>
              <w:instrText xml:space="preserve"> PAGEREF _Toc223087509 \h </w:instrText>
            </w:r>
            <w:r>
              <w:rPr>
                <w:noProof/>
              </w:rPr>
            </w:r>
            <w:r>
              <w:rPr>
                <w:noProof/>
              </w:rPr>
              <w:fldChar w:fldCharType="separate"/>
            </w:r>
            <w:r w:rsidR="00CA44F6">
              <w:rPr>
                <w:noProof/>
              </w:rPr>
              <w:t>37</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10" w:history="1">
            <w:r w:rsidR="008A7055" w:rsidRPr="003F2C1D">
              <w:rPr>
                <w:rStyle w:val="Collegamentoipertestuale"/>
                <w:b/>
                <w:noProof/>
              </w:rPr>
              <w:t>29.</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TRATTAMENTO DEI DATI PERSONALI</w:t>
            </w:r>
            <w:r w:rsidR="008A7055">
              <w:rPr>
                <w:noProof/>
              </w:rPr>
              <w:tab/>
            </w:r>
            <w:r>
              <w:rPr>
                <w:noProof/>
              </w:rPr>
              <w:fldChar w:fldCharType="begin"/>
            </w:r>
            <w:r w:rsidR="008A7055">
              <w:rPr>
                <w:noProof/>
              </w:rPr>
              <w:instrText xml:space="preserve"> PAGEREF _Toc223087510 \h </w:instrText>
            </w:r>
            <w:r>
              <w:rPr>
                <w:noProof/>
              </w:rPr>
            </w:r>
            <w:r>
              <w:rPr>
                <w:noProof/>
              </w:rPr>
              <w:fldChar w:fldCharType="separate"/>
            </w:r>
            <w:r w:rsidR="00CA44F6">
              <w:rPr>
                <w:noProof/>
              </w:rPr>
              <w:t>37</w:t>
            </w:r>
            <w:r>
              <w:rPr>
                <w:noProof/>
              </w:rPr>
              <w:fldChar w:fldCharType="end"/>
            </w:r>
          </w:hyperlink>
        </w:p>
        <w:p w:rsidR="008A7055" w:rsidRDefault="00CB00FF">
          <w:pPr>
            <w:pStyle w:val="Sommario2"/>
            <w:rPr>
              <w:rFonts w:asciiTheme="minorHAnsi" w:eastAsiaTheme="minorEastAsia" w:hAnsiTheme="minorHAnsi" w:cstheme="minorBidi"/>
              <w:smallCaps w:val="0"/>
              <w:noProof/>
              <w:sz w:val="22"/>
              <w:szCs w:val="22"/>
              <w:lang w:eastAsia="it-IT"/>
            </w:rPr>
          </w:pPr>
          <w:hyperlink w:anchor="_Toc223087511" w:history="1">
            <w:r w:rsidR="008A7055" w:rsidRPr="003F2C1D">
              <w:rPr>
                <w:rStyle w:val="Collegamentoipertestuale"/>
                <w:b/>
                <w:noProof/>
              </w:rPr>
              <w:t>30.</w:t>
            </w:r>
            <w:r w:rsidR="008A7055">
              <w:rPr>
                <w:rFonts w:asciiTheme="minorHAnsi" w:eastAsiaTheme="minorEastAsia" w:hAnsiTheme="minorHAnsi" w:cstheme="minorBidi"/>
                <w:smallCaps w:val="0"/>
                <w:noProof/>
                <w:sz w:val="22"/>
                <w:szCs w:val="22"/>
                <w:lang w:eastAsia="it-IT"/>
              </w:rPr>
              <w:tab/>
            </w:r>
            <w:r w:rsidR="008A7055" w:rsidRPr="003F2C1D">
              <w:rPr>
                <w:rStyle w:val="Collegamentoipertestuale"/>
                <w:noProof/>
              </w:rPr>
              <w:t>DISPOSIZIONI FINALI</w:t>
            </w:r>
            <w:r w:rsidR="008A7055">
              <w:rPr>
                <w:noProof/>
              </w:rPr>
              <w:tab/>
            </w:r>
            <w:r>
              <w:rPr>
                <w:noProof/>
              </w:rPr>
              <w:fldChar w:fldCharType="begin"/>
            </w:r>
            <w:r w:rsidR="008A7055">
              <w:rPr>
                <w:noProof/>
              </w:rPr>
              <w:instrText xml:space="preserve"> PAGEREF _Toc223087511 \h </w:instrText>
            </w:r>
            <w:r>
              <w:rPr>
                <w:noProof/>
              </w:rPr>
            </w:r>
            <w:r>
              <w:rPr>
                <w:noProof/>
              </w:rPr>
              <w:fldChar w:fldCharType="separate"/>
            </w:r>
            <w:r w:rsidR="00CA44F6">
              <w:rPr>
                <w:noProof/>
              </w:rPr>
              <w:t>39</w:t>
            </w:r>
            <w:r>
              <w:rPr>
                <w:noProof/>
              </w:rPr>
              <w:fldChar w:fldCharType="end"/>
            </w:r>
          </w:hyperlink>
        </w:p>
        <w:p w:rsidR="00AE28AD" w:rsidRPr="00AF481C" w:rsidRDefault="00CB00FF" w:rsidP="00A61923">
          <w:pPr>
            <w:pStyle w:val="Sommario2"/>
            <w:rPr>
              <w:rFonts w:asciiTheme="minorHAnsi" w:eastAsiaTheme="minorEastAsia" w:hAnsiTheme="minorHAnsi" w:cstheme="minorBidi"/>
              <w:sz w:val="22"/>
              <w:szCs w:val="22"/>
              <w:lang w:eastAsia="it-IT"/>
            </w:rPr>
          </w:pPr>
          <w:r w:rsidRPr="00AF481C">
            <w:rPr>
              <w:rStyle w:val="Saltoaindice"/>
              <w:rFonts w:ascii="Titillium" w:hAnsi="Titillium"/>
              <w:sz w:val="18"/>
              <w:szCs w:val="18"/>
            </w:rPr>
            <w:fldChar w:fldCharType="end"/>
          </w:r>
        </w:p>
      </w:sdtContent>
    </w:sdt>
    <w:p w:rsidR="00AE28AD" w:rsidRPr="00AF481C" w:rsidRDefault="00AE28AD" w:rsidP="00AE28AD">
      <w:pPr>
        <w:pStyle w:val="Sommario1"/>
      </w:pPr>
    </w:p>
    <w:p w:rsidR="00AE28AD" w:rsidRPr="00AF481C" w:rsidRDefault="00AE28AD" w:rsidP="00A61923">
      <w:pPr>
        <w:pStyle w:val="Sommario2"/>
        <w:rPr>
          <w:lang w:eastAsia="it-IT"/>
        </w:rPr>
      </w:pPr>
    </w:p>
    <w:p w:rsidR="00AE28AD" w:rsidRPr="00AF481C" w:rsidRDefault="00AE28AD" w:rsidP="00A61923">
      <w:pPr>
        <w:pStyle w:val="Sommario2"/>
        <w:rPr>
          <w:lang w:eastAsia="it-IT"/>
        </w:rPr>
      </w:pPr>
    </w:p>
    <w:p w:rsidR="00AE28AD" w:rsidRPr="00AF481C" w:rsidRDefault="00AE28AD" w:rsidP="00A61923">
      <w:pPr>
        <w:pStyle w:val="Sommario2"/>
        <w:rPr>
          <w:lang w:eastAsia="it-IT"/>
        </w:rPr>
      </w:pPr>
    </w:p>
    <w:p w:rsidR="00AE28AD" w:rsidRPr="00AF481C" w:rsidRDefault="00AE28AD" w:rsidP="00A61923">
      <w:pPr>
        <w:pStyle w:val="Sommario2"/>
        <w:rPr>
          <w:lang w:eastAsia="it-IT"/>
        </w:rPr>
      </w:pPr>
    </w:p>
    <w:p w:rsidR="00AE28AD" w:rsidRPr="00AF481C" w:rsidRDefault="00AE28AD" w:rsidP="00A61923">
      <w:pPr>
        <w:pStyle w:val="Sommario2"/>
        <w:rPr>
          <w:lang w:eastAsia="it-IT"/>
        </w:rPr>
      </w:pPr>
    </w:p>
    <w:p w:rsidR="00AE28AD" w:rsidRPr="00AF481C" w:rsidRDefault="00AE28AD" w:rsidP="00AE28AD">
      <w:pPr>
        <w:widowControl w:val="0"/>
        <w:spacing w:before="60" w:after="60"/>
        <w:rPr>
          <w:rFonts w:ascii="Titillium" w:hAnsi="Titillium" w:cs="Calibri"/>
          <w:szCs w:val="24"/>
          <w:lang w:eastAsia="it-IT"/>
        </w:rPr>
      </w:pPr>
      <w:r w:rsidRPr="00AF481C">
        <w:br w:type="page"/>
      </w:r>
    </w:p>
    <w:p w:rsidR="00AE28AD" w:rsidRPr="00AF481C" w:rsidRDefault="00AE28AD" w:rsidP="00604C9A">
      <w:pPr>
        <w:pStyle w:val="Titolo1"/>
      </w:pPr>
    </w:p>
    <w:p w:rsidR="00AE28AD" w:rsidRPr="00AF481C" w:rsidRDefault="00AE28AD" w:rsidP="00604C9A">
      <w:pPr>
        <w:pStyle w:val="Titolo2"/>
      </w:pPr>
      <w:bookmarkStart w:id="0" w:name="_Toc482101906"/>
      <w:bookmarkStart w:id="1" w:name="_Toc482101812"/>
      <w:bookmarkStart w:id="2" w:name="_Toc482101719"/>
      <w:bookmarkStart w:id="3" w:name="_Toc482101544"/>
      <w:bookmarkStart w:id="4" w:name="_Toc482101429"/>
      <w:bookmarkStart w:id="5" w:name="_Toc374026426"/>
      <w:bookmarkStart w:id="6" w:name="_Toc374025981"/>
      <w:bookmarkStart w:id="7" w:name="_Toc374025928"/>
      <w:bookmarkStart w:id="8" w:name="_Toc374025834"/>
      <w:bookmarkStart w:id="9" w:name="_Toc374025745"/>
      <w:bookmarkStart w:id="10" w:name="_Toc498419717"/>
      <w:bookmarkStart w:id="11" w:name="_Toc497831525"/>
      <w:bookmarkStart w:id="12" w:name="_Toc497728131"/>
      <w:bookmarkStart w:id="13" w:name="_Toc497484933"/>
      <w:bookmarkStart w:id="14" w:name="_Toc494359015"/>
      <w:bookmarkStart w:id="15" w:name="_Toc494358966"/>
      <w:bookmarkStart w:id="16" w:name="_Toc493500868"/>
      <w:bookmarkStart w:id="17" w:name="_Toc498419716"/>
      <w:bookmarkStart w:id="18" w:name="_Toc497831524"/>
      <w:bookmarkStart w:id="19" w:name="_Toc497728130"/>
      <w:bookmarkStart w:id="20" w:name="_Toc497484932"/>
      <w:bookmarkStart w:id="21" w:name="_Toc494359014"/>
      <w:bookmarkStart w:id="22" w:name="_Toc494358965"/>
      <w:bookmarkStart w:id="23" w:name="_Toc493500867"/>
      <w:bookmarkStart w:id="24" w:name="_Toc482102096"/>
      <w:bookmarkStart w:id="25" w:name="_Toc482102001"/>
      <w:bookmarkStart w:id="26" w:name="_Toc223087456"/>
      <w:bookmarkStart w:id="27" w:name="_Toc391036046"/>
      <w:bookmarkStart w:id="28" w:name="_Toc391035973"/>
      <w:bookmarkStart w:id="29" w:name="_Toc380501861"/>
      <w:bookmarkStart w:id="30" w:name="_Toc35403817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F481C">
        <w:t>PREMESSE</w:t>
      </w:r>
      <w:bookmarkEnd w:id="26"/>
    </w:p>
    <w:p w:rsidR="00AE28AD" w:rsidRPr="00AF481C" w:rsidRDefault="00AE28AD" w:rsidP="0094020E">
      <w:pPr>
        <w:spacing w:before="60" w:after="60"/>
        <w:rPr>
          <w:rFonts w:ascii="Titillium" w:hAnsi="Titillium" w:cs="Calibri"/>
          <w:szCs w:val="24"/>
        </w:rPr>
      </w:pPr>
      <w:r w:rsidRPr="00AF481C">
        <w:rPr>
          <w:rFonts w:ascii="Titillium" w:hAnsi="Titillium" w:cs="Calibri"/>
          <w:bCs/>
          <w:iCs/>
          <w:sz w:val="18"/>
          <w:szCs w:val="18"/>
        </w:rPr>
        <w:t xml:space="preserve">Con </w:t>
      </w:r>
      <w:r w:rsidR="004F46A4">
        <w:rPr>
          <w:rFonts w:ascii="Titillium" w:hAnsi="Titillium" w:cs="Calibri"/>
          <w:bCs/>
          <w:iCs/>
          <w:sz w:val="18"/>
          <w:szCs w:val="18"/>
        </w:rPr>
        <w:t>determina a contrarre</w:t>
      </w:r>
      <w:r w:rsidRPr="00AF481C">
        <w:rPr>
          <w:rFonts w:ascii="Titillium" w:hAnsi="Titillium" w:cs="Calibri"/>
          <w:bCs/>
          <w:iCs/>
          <w:sz w:val="18"/>
          <w:szCs w:val="18"/>
        </w:rPr>
        <w:t xml:space="preserve"> n. </w:t>
      </w:r>
      <w:r w:rsidR="00EB0B77">
        <w:rPr>
          <w:rFonts w:ascii="Titillium" w:hAnsi="Titillium" w:cs="Calibri"/>
          <w:bCs/>
          <w:iCs/>
          <w:sz w:val="18"/>
          <w:szCs w:val="18"/>
        </w:rPr>
        <w:t xml:space="preserve">704 </w:t>
      </w:r>
      <w:r w:rsidRPr="00AF481C">
        <w:rPr>
          <w:rFonts w:ascii="Titillium" w:hAnsi="Titillium" w:cs="Calibri"/>
          <w:bCs/>
          <w:iCs/>
          <w:sz w:val="18"/>
          <w:szCs w:val="18"/>
        </w:rPr>
        <w:t xml:space="preserve">del </w:t>
      </w:r>
      <w:r w:rsidR="00EB0B77">
        <w:rPr>
          <w:rFonts w:ascii="Titillium" w:hAnsi="Titillium" w:cs="Calibri"/>
          <w:bCs/>
          <w:iCs/>
          <w:sz w:val="18"/>
          <w:szCs w:val="18"/>
        </w:rPr>
        <w:t>17/03/2026</w:t>
      </w:r>
      <w:r w:rsidRPr="00AF481C">
        <w:rPr>
          <w:rFonts w:ascii="Titillium" w:hAnsi="Titillium" w:cs="Calibri"/>
          <w:bCs/>
          <w:iCs/>
          <w:sz w:val="18"/>
          <w:szCs w:val="18"/>
        </w:rPr>
        <w:t>, questa Amministr</w:t>
      </w:r>
      <w:r w:rsidR="0094020E">
        <w:rPr>
          <w:rFonts w:ascii="Titillium" w:hAnsi="Titillium" w:cs="Calibri"/>
          <w:bCs/>
          <w:iCs/>
          <w:sz w:val="18"/>
          <w:szCs w:val="18"/>
        </w:rPr>
        <w:t xml:space="preserve">azione ha deciso di affidare il </w:t>
      </w:r>
      <w:r w:rsidR="00F35AEF">
        <w:rPr>
          <w:rFonts w:ascii="Titillium" w:hAnsi="Titillium" w:cs="Calibri"/>
          <w:bCs/>
          <w:iCs/>
          <w:sz w:val="18"/>
          <w:szCs w:val="18"/>
        </w:rPr>
        <w:t>Servizio di recupero stragiudiziale all’</w:t>
      </w:r>
      <w:r w:rsidR="008A7055">
        <w:rPr>
          <w:rFonts w:ascii="Titillium" w:hAnsi="Titillium" w:cs="Calibri"/>
          <w:bCs/>
          <w:iCs/>
          <w:sz w:val="18"/>
          <w:szCs w:val="18"/>
        </w:rPr>
        <w:t>e</w:t>
      </w:r>
      <w:r w:rsidR="00F35AEF">
        <w:rPr>
          <w:rFonts w:ascii="Titillium" w:hAnsi="Titillium" w:cs="Calibri"/>
          <w:bCs/>
          <w:iCs/>
          <w:sz w:val="18"/>
          <w:szCs w:val="18"/>
        </w:rPr>
        <w:t>stero ed in Italia dei crediti relativi alle prestazioni sanitarie erogate dall’AUSL BO, dall’</w:t>
      </w:r>
      <w:r w:rsidR="0094020E" w:rsidRPr="0094020E">
        <w:rPr>
          <w:rFonts w:ascii="Titillium" w:hAnsi="Titillium" w:cs="Calibri"/>
          <w:bCs/>
          <w:iCs/>
          <w:sz w:val="18"/>
          <w:szCs w:val="18"/>
        </w:rPr>
        <w:t>A</w:t>
      </w:r>
      <w:r w:rsidR="00F35AEF">
        <w:rPr>
          <w:rFonts w:ascii="Titillium" w:hAnsi="Titillium" w:cs="Calibri"/>
          <w:bCs/>
          <w:iCs/>
          <w:sz w:val="18"/>
          <w:szCs w:val="18"/>
        </w:rPr>
        <w:t>zienda</w:t>
      </w:r>
      <w:r w:rsidR="0094020E" w:rsidRPr="0094020E">
        <w:rPr>
          <w:rFonts w:ascii="Titillium" w:hAnsi="Titillium" w:cs="Calibri"/>
          <w:bCs/>
          <w:iCs/>
          <w:sz w:val="18"/>
          <w:szCs w:val="18"/>
        </w:rPr>
        <w:t xml:space="preserve"> O</w:t>
      </w:r>
      <w:r w:rsidR="00F35AEF">
        <w:rPr>
          <w:rFonts w:ascii="Titillium" w:hAnsi="Titillium" w:cs="Calibri"/>
          <w:bCs/>
          <w:iCs/>
          <w:sz w:val="18"/>
          <w:szCs w:val="18"/>
        </w:rPr>
        <w:t>spedaliera</w:t>
      </w:r>
      <w:r w:rsidR="0094020E" w:rsidRPr="0094020E">
        <w:rPr>
          <w:rFonts w:ascii="Titillium" w:hAnsi="Titillium" w:cs="Calibri"/>
          <w:bCs/>
          <w:iCs/>
          <w:sz w:val="18"/>
          <w:szCs w:val="18"/>
        </w:rPr>
        <w:t xml:space="preserve"> U</w:t>
      </w:r>
      <w:r w:rsidR="00F35AEF">
        <w:rPr>
          <w:rFonts w:ascii="Titillium" w:hAnsi="Titillium" w:cs="Calibri"/>
          <w:bCs/>
          <w:iCs/>
          <w:sz w:val="18"/>
          <w:szCs w:val="18"/>
        </w:rPr>
        <w:t>niversitaria</w:t>
      </w:r>
      <w:r w:rsidR="0094020E" w:rsidRPr="0094020E">
        <w:rPr>
          <w:rFonts w:ascii="Titillium" w:hAnsi="Titillium" w:cs="Calibri"/>
          <w:bCs/>
          <w:iCs/>
          <w:sz w:val="18"/>
          <w:szCs w:val="18"/>
        </w:rPr>
        <w:t xml:space="preserve"> IRCCS SANT’ORSOLA DI BOLOGNA (AOU BO)</w:t>
      </w:r>
      <w:r w:rsidR="00F35AEF">
        <w:rPr>
          <w:rFonts w:ascii="Titillium" w:hAnsi="Titillium" w:cs="Calibri"/>
          <w:bCs/>
          <w:iCs/>
          <w:sz w:val="18"/>
          <w:szCs w:val="18"/>
        </w:rPr>
        <w:t>, dall</w:t>
      </w:r>
      <w:r w:rsidR="0094020E" w:rsidRPr="0094020E">
        <w:rPr>
          <w:rFonts w:ascii="Titillium" w:hAnsi="Titillium" w:cs="Calibri"/>
          <w:bCs/>
          <w:iCs/>
          <w:sz w:val="18"/>
          <w:szCs w:val="18"/>
        </w:rPr>
        <w:t>’I</w:t>
      </w:r>
      <w:r w:rsidR="00F35AEF">
        <w:rPr>
          <w:rFonts w:ascii="Titillium" w:hAnsi="Titillium" w:cs="Calibri"/>
          <w:bCs/>
          <w:iCs/>
          <w:sz w:val="18"/>
          <w:szCs w:val="18"/>
        </w:rPr>
        <w:t>stituto</w:t>
      </w:r>
      <w:r w:rsidR="0094020E" w:rsidRPr="0094020E">
        <w:rPr>
          <w:rFonts w:ascii="Titillium" w:hAnsi="Titillium" w:cs="Calibri"/>
          <w:bCs/>
          <w:iCs/>
          <w:sz w:val="18"/>
          <w:szCs w:val="18"/>
        </w:rPr>
        <w:t xml:space="preserve"> O</w:t>
      </w:r>
      <w:r w:rsidR="00F35AEF">
        <w:rPr>
          <w:rFonts w:ascii="Titillium" w:hAnsi="Titillium" w:cs="Calibri"/>
          <w:bCs/>
          <w:iCs/>
          <w:sz w:val="18"/>
          <w:szCs w:val="18"/>
        </w:rPr>
        <w:t>rtopedico</w:t>
      </w:r>
      <w:r w:rsidR="0094020E" w:rsidRPr="0094020E">
        <w:rPr>
          <w:rFonts w:ascii="Titillium" w:hAnsi="Titillium" w:cs="Calibri"/>
          <w:bCs/>
          <w:iCs/>
          <w:sz w:val="18"/>
          <w:szCs w:val="18"/>
        </w:rPr>
        <w:t xml:space="preserve"> R</w:t>
      </w:r>
      <w:r w:rsidR="00F35AEF">
        <w:rPr>
          <w:rFonts w:ascii="Titillium" w:hAnsi="Titillium" w:cs="Calibri"/>
          <w:bCs/>
          <w:iCs/>
          <w:sz w:val="18"/>
          <w:szCs w:val="18"/>
        </w:rPr>
        <w:t>izzoli DI BOLOGNA ( IOR), dall</w:t>
      </w:r>
      <w:r w:rsidR="0094020E" w:rsidRPr="0094020E">
        <w:rPr>
          <w:rFonts w:ascii="Titillium" w:hAnsi="Titillium" w:cs="Calibri"/>
          <w:bCs/>
          <w:iCs/>
          <w:sz w:val="18"/>
          <w:szCs w:val="18"/>
        </w:rPr>
        <w:t>’AUSL DI IMOLA</w:t>
      </w:r>
      <w:r w:rsidR="00F35AEF">
        <w:rPr>
          <w:rFonts w:ascii="Titillium" w:hAnsi="Titillium" w:cs="Calibri"/>
          <w:bCs/>
          <w:iCs/>
          <w:sz w:val="18"/>
          <w:szCs w:val="18"/>
        </w:rPr>
        <w:t xml:space="preserve"> e dall’Aziend</w:t>
      </w:r>
      <w:r w:rsidR="00B2186C">
        <w:rPr>
          <w:rFonts w:ascii="Titillium" w:hAnsi="Titillium" w:cs="Calibri"/>
          <w:bCs/>
          <w:iCs/>
          <w:sz w:val="18"/>
          <w:szCs w:val="18"/>
        </w:rPr>
        <w:t>a Ospedaliera</w:t>
      </w:r>
      <w:r w:rsidR="00F35AEF">
        <w:rPr>
          <w:rFonts w:ascii="Titillium" w:hAnsi="Titillium" w:cs="Calibri"/>
          <w:bCs/>
          <w:iCs/>
          <w:sz w:val="18"/>
          <w:szCs w:val="18"/>
        </w:rPr>
        <w:t xml:space="preserve"> di Ferrara</w:t>
      </w:r>
      <w:r w:rsidR="00EB0B77">
        <w:rPr>
          <w:rFonts w:ascii="Titillium" w:hAnsi="Titillium" w:cs="Calibri"/>
          <w:bCs/>
          <w:iCs/>
          <w:sz w:val="18"/>
          <w:szCs w:val="18"/>
        </w:rPr>
        <w:t xml:space="preserve"> </w:t>
      </w:r>
      <w:r w:rsidR="00F35AEF">
        <w:rPr>
          <w:rFonts w:ascii="Titillium" w:hAnsi="Titillium" w:cs="Calibri"/>
          <w:bCs/>
          <w:iCs/>
          <w:sz w:val="18"/>
          <w:szCs w:val="18"/>
        </w:rPr>
        <w:t>a cittadini stranieri residenti in Italia o all’estero e a cittadini italiani residenti all’estero.</w:t>
      </w:r>
    </w:p>
    <w:p w:rsidR="00AE28AD" w:rsidRPr="00AF481C" w:rsidRDefault="00AE28AD" w:rsidP="00AE28AD">
      <w:pPr>
        <w:pStyle w:val="Testocommento"/>
        <w:spacing w:before="60" w:after="60"/>
        <w:rPr>
          <w:rFonts w:ascii="Titillium" w:hAnsi="Titillium" w:cs="Calibri"/>
          <w:bCs/>
          <w:iCs/>
          <w:sz w:val="18"/>
          <w:szCs w:val="18"/>
          <w:lang w:eastAsia="it-IT"/>
        </w:rPr>
      </w:pPr>
      <w:r w:rsidRPr="00AF481C">
        <w:rPr>
          <w:rFonts w:ascii="Titillium" w:hAnsi="Titillium" w:cs="Calibri"/>
          <w:bCs/>
          <w:iCs/>
          <w:sz w:val="18"/>
          <w:szCs w:val="18"/>
          <w:lang w:eastAsia="it-IT"/>
        </w:rPr>
        <w:t xml:space="preserve">La presente procedura è interamente svolta tramite la PAD accessibile all’indirizzo </w:t>
      </w:r>
      <w:hyperlink r:id="rId11" w:history="1">
        <w:r w:rsidR="004F46A4" w:rsidRPr="00B74857">
          <w:rPr>
            <w:rStyle w:val="Collegamentoipertestuale"/>
            <w:rFonts w:ascii="Titillium" w:hAnsi="Titillium" w:cs="Calibri"/>
            <w:bCs/>
            <w:iCs/>
            <w:sz w:val="18"/>
            <w:szCs w:val="18"/>
            <w:lang w:eastAsia="it-IT"/>
          </w:rPr>
          <w:t>http://intercent.regione.emilia-romagna.it</w:t>
        </w:r>
      </w:hyperlink>
      <w:r w:rsidR="004F46A4" w:rsidRPr="004F46A4">
        <w:rPr>
          <w:rFonts w:ascii="Titillium" w:hAnsi="Titillium" w:cs="Calibri"/>
          <w:bCs/>
          <w:iCs/>
          <w:sz w:val="18"/>
          <w:szCs w:val="18"/>
          <w:lang w:eastAsia="it-IT"/>
        </w:rPr>
        <w:t xml:space="preserve"> e conforme alle prescrizioni dell’articolo 26 del Codice e del decreto della Presidenza del Consiglio dei ministri n. 148/2021. Tramite il sito si accede alla procedura nonché alla documentazione di gara.</w:t>
      </w:r>
    </w:p>
    <w:p w:rsidR="00AE28AD" w:rsidRPr="00AF481C" w:rsidRDefault="00AE28AD" w:rsidP="00D1375D">
      <w:pPr>
        <w:pStyle w:val="Testocommento"/>
        <w:spacing w:before="60" w:after="60"/>
        <w:rPr>
          <w:rFonts w:ascii="Titillium" w:hAnsi="Titillium" w:cs="Calibri"/>
          <w:bCs/>
          <w:iCs/>
          <w:sz w:val="18"/>
          <w:szCs w:val="18"/>
          <w:lang w:eastAsia="it-IT"/>
        </w:rPr>
      </w:pPr>
      <w:r w:rsidRPr="00AF481C">
        <w:rPr>
          <w:rFonts w:ascii="Titillium" w:hAnsi="Titillium" w:cs="Calibri"/>
          <w:bCs/>
          <w:iCs/>
          <w:sz w:val="18"/>
          <w:szCs w:val="18"/>
          <w:lang w:eastAsia="it-IT"/>
        </w:rPr>
        <w:t>L’affidamento avviene mediante procedura aperta con applicazione del criterio dell’offerta economicamente più vantaggiosa individuata sulla base del miglior rapporto qualità prezzo</w:t>
      </w:r>
      <w:r w:rsidR="00922488" w:rsidRPr="00AF481C">
        <w:rPr>
          <w:rFonts w:ascii="Titillium" w:hAnsi="Titillium" w:cs="Calibri"/>
          <w:bCs/>
          <w:iCs/>
          <w:sz w:val="18"/>
          <w:szCs w:val="18"/>
          <w:lang w:eastAsia="it-IT"/>
        </w:rPr>
        <w:t>.</w:t>
      </w:r>
    </w:p>
    <w:p w:rsidR="00AE28AD" w:rsidRPr="00AF481C" w:rsidRDefault="00C769D0" w:rsidP="00AE28AD">
      <w:pPr>
        <w:pStyle w:val="Testocommento"/>
        <w:spacing w:before="60" w:after="60"/>
        <w:rPr>
          <w:i/>
        </w:rPr>
      </w:pPr>
      <w:r w:rsidRPr="00AF481C">
        <w:rPr>
          <w:rFonts w:ascii="Titillium" w:hAnsi="Titillium" w:cs="Calibri"/>
          <w:bCs/>
          <w:iCs/>
          <w:sz w:val="18"/>
          <w:szCs w:val="18"/>
          <w:lang w:eastAsia="it-IT"/>
        </w:rPr>
        <w:t xml:space="preserve">La durata del procedimento </w:t>
      </w:r>
      <w:r w:rsidR="00AE28AD" w:rsidRPr="00AF481C">
        <w:rPr>
          <w:rFonts w:ascii="Titillium" w:hAnsi="Titillium" w:cs="Calibri"/>
          <w:bCs/>
          <w:iCs/>
          <w:sz w:val="18"/>
          <w:szCs w:val="18"/>
          <w:lang w:eastAsia="it-IT"/>
        </w:rPr>
        <w:t xml:space="preserve">prevista è pari a </w:t>
      </w:r>
      <w:r w:rsidR="00A804B2">
        <w:rPr>
          <w:rFonts w:ascii="Titillium" w:hAnsi="Titillium" w:cs="Calibri"/>
          <w:bCs/>
          <w:iCs/>
          <w:sz w:val="18"/>
          <w:szCs w:val="18"/>
          <w:lang w:eastAsia="it-IT"/>
        </w:rPr>
        <w:t>9</w:t>
      </w:r>
      <w:r w:rsidR="00AE28AD" w:rsidRPr="00AF481C">
        <w:rPr>
          <w:rFonts w:ascii="Titillium" w:hAnsi="Titillium" w:cs="Calibri"/>
          <w:bCs/>
          <w:iCs/>
          <w:sz w:val="18"/>
          <w:szCs w:val="18"/>
          <w:lang w:eastAsia="it-IT"/>
        </w:rPr>
        <w:t xml:space="preserve"> mesi dalla pubblicazione del bando</w:t>
      </w:r>
      <w:r w:rsidR="00092777">
        <w:rPr>
          <w:rFonts w:ascii="Titillium" w:hAnsi="Titillium" w:cs="Calibri"/>
          <w:bCs/>
          <w:iCs/>
          <w:sz w:val="18"/>
          <w:szCs w:val="18"/>
          <w:lang w:eastAsia="it-IT"/>
        </w:rPr>
        <w:t xml:space="preserve"> </w:t>
      </w:r>
      <w:r w:rsidR="00AE28AD" w:rsidRPr="00A804B2">
        <w:rPr>
          <w:rFonts w:ascii="Titillium" w:hAnsi="Titillium" w:cs="Calibri"/>
          <w:bCs/>
          <w:iCs/>
          <w:sz w:val="18"/>
          <w:szCs w:val="18"/>
          <w:lang w:eastAsia="it-IT"/>
        </w:rPr>
        <w:t xml:space="preserve">salvo il verificarsi delle ipotesi di proroga previste all’articolo 1, commi 4 e 5, dell’allegato I.3 del </w:t>
      </w:r>
      <w:r w:rsidR="00362813" w:rsidRPr="00A804B2">
        <w:rPr>
          <w:rFonts w:ascii="Titillium" w:hAnsi="Titillium" w:cs="Calibri"/>
          <w:bCs/>
          <w:iCs/>
          <w:sz w:val="18"/>
          <w:szCs w:val="18"/>
          <w:lang w:eastAsia="it-IT"/>
        </w:rPr>
        <w:t>C</w:t>
      </w:r>
      <w:r w:rsidR="00AE28AD" w:rsidRPr="00A804B2">
        <w:rPr>
          <w:rFonts w:ascii="Titillium" w:hAnsi="Titillium" w:cs="Calibri"/>
          <w:bCs/>
          <w:iCs/>
          <w:sz w:val="18"/>
          <w:szCs w:val="18"/>
          <w:lang w:eastAsia="it-IT"/>
        </w:rPr>
        <w:t>odice</w:t>
      </w:r>
    </w:p>
    <w:p w:rsidR="00F35AEF" w:rsidRDefault="00AE28AD" w:rsidP="00AE28AD">
      <w:pPr>
        <w:tabs>
          <w:tab w:val="left" w:pos="360"/>
        </w:tabs>
        <w:spacing w:before="60" w:after="60"/>
        <w:rPr>
          <w:rFonts w:ascii="Titillium" w:hAnsi="Titillium" w:cs="Calibri"/>
          <w:i/>
          <w:iCs/>
          <w:sz w:val="18"/>
          <w:szCs w:val="18"/>
        </w:rPr>
      </w:pPr>
      <w:r w:rsidRPr="00AF481C">
        <w:rPr>
          <w:rFonts w:ascii="Titillium" w:hAnsi="Titillium" w:cs="Calibri"/>
          <w:sz w:val="18"/>
          <w:szCs w:val="18"/>
        </w:rPr>
        <w:t>Il luogo di</w:t>
      </w:r>
      <w:r w:rsidR="00092777">
        <w:rPr>
          <w:rFonts w:ascii="Titillium" w:hAnsi="Titillium" w:cs="Calibri"/>
          <w:sz w:val="18"/>
          <w:szCs w:val="18"/>
        </w:rPr>
        <w:t xml:space="preserve"> </w:t>
      </w:r>
      <w:r w:rsidRPr="00AF481C">
        <w:rPr>
          <w:rFonts w:ascii="Titillium" w:hAnsi="Titillium" w:cs="Calibri"/>
          <w:sz w:val="18"/>
          <w:szCs w:val="18"/>
        </w:rPr>
        <w:t xml:space="preserve">svolgimento del servizio/consegna della fornitura è </w:t>
      </w:r>
      <w:r w:rsidR="00F35AEF">
        <w:rPr>
          <w:rFonts w:ascii="Titillium" w:hAnsi="Titillium" w:cs="Calibri"/>
          <w:sz w:val="18"/>
          <w:szCs w:val="18"/>
        </w:rPr>
        <w:t xml:space="preserve">Bologna e provincia </w:t>
      </w:r>
      <w:r w:rsidRPr="00AF481C">
        <w:rPr>
          <w:rFonts w:ascii="Titillium" w:hAnsi="Titillium" w:cs="Calibri"/>
          <w:i/>
          <w:iCs/>
          <w:sz w:val="18"/>
          <w:szCs w:val="18"/>
        </w:rPr>
        <w:t xml:space="preserve">codice </w:t>
      </w:r>
      <w:r w:rsidRPr="00C65AD7">
        <w:rPr>
          <w:rFonts w:ascii="Titillium" w:hAnsi="Titillium" w:cs="Calibri"/>
          <w:iCs/>
          <w:sz w:val="18"/>
          <w:szCs w:val="18"/>
        </w:rPr>
        <w:t xml:space="preserve">NUTS </w:t>
      </w:r>
      <w:r w:rsidR="00F35AEF" w:rsidRPr="00C65AD7">
        <w:rPr>
          <w:rFonts w:ascii="Titillium" w:hAnsi="Titillium" w:cs="Calibri"/>
          <w:iCs/>
          <w:sz w:val="18"/>
          <w:szCs w:val="18"/>
        </w:rPr>
        <w:t>ITH55</w:t>
      </w:r>
      <w:r w:rsidR="009355C5">
        <w:rPr>
          <w:rFonts w:ascii="Titillium" w:hAnsi="Titillium" w:cs="Calibri"/>
          <w:iCs/>
          <w:sz w:val="18"/>
          <w:szCs w:val="18"/>
        </w:rPr>
        <w:t xml:space="preserve"> e </w:t>
      </w:r>
      <w:r w:rsidR="009355C5" w:rsidRPr="00092777">
        <w:rPr>
          <w:rFonts w:ascii="Titillium" w:hAnsi="Titillium" w:cs="Calibri"/>
          <w:iCs/>
          <w:sz w:val="18"/>
          <w:szCs w:val="18"/>
        </w:rPr>
        <w:t>Ferrara</w:t>
      </w:r>
    </w:p>
    <w:p w:rsidR="00F35AEF" w:rsidRPr="00F35AEF" w:rsidRDefault="00F35AEF" w:rsidP="00AE28AD">
      <w:pPr>
        <w:tabs>
          <w:tab w:val="left" w:pos="360"/>
        </w:tabs>
        <w:spacing w:before="60" w:after="60"/>
        <w:rPr>
          <w:rFonts w:ascii="Titillium" w:hAnsi="Titillium" w:cs="Calibri"/>
          <w:iCs/>
          <w:sz w:val="18"/>
          <w:szCs w:val="18"/>
        </w:rPr>
      </w:pPr>
      <w:r w:rsidRPr="00F35AEF">
        <w:rPr>
          <w:rFonts w:ascii="Titillium" w:hAnsi="Titillium" w:cs="Calibri"/>
          <w:iCs/>
          <w:sz w:val="18"/>
          <w:szCs w:val="18"/>
        </w:rPr>
        <w:t>Il CIG viene indicato direttamente sulla Piattaforma del Sistema Acquisti Telematici dell’Emilia-Romagna (SATER).</w:t>
      </w:r>
    </w:p>
    <w:p w:rsidR="00F35AEF" w:rsidRDefault="00F35AEF" w:rsidP="00AE28AD">
      <w:pPr>
        <w:tabs>
          <w:tab w:val="left" w:pos="360"/>
        </w:tabs>
        <w:spacing w:before="60" w:after="60"/>
        <w:rPr>
          <w:rFonts w:ascii="Titillium" w:hAnsi="Titillium" w:cs="Calibri"/>
          <w:bCs/>
          <w:iCs/>
          <w:sz w:val="18"/>
          <w:szCs w:val="18"/>
        </w:rPr>
      </w:pPr>
      <w:r>
        <w:rPr>
          <w:rFonts w:ascii="Titillium" w:hAnsi="Titillium" w:cs="Calibri"/>
          <w:bCs/>
          <w:iCs/>
          <w:sz w:val="18"/>
          <w:szCs w:val="18"/>
        </w:rPr>
        <w:t xml:space="preserve">Il </w:t>
      </w:r>
      <w:r w:rsidR="00AE28AD" w:rsidRPr="00AF481C">
        <w:rPr>
          <w:rFonts w:ascii="Titillium" w:hAnsi="Titillium" w:cs="Calibri"/>
          <w:bCs/>
          <w:iCs/>
          <w:sz w:val="18"/>
          <w:szCs w:val="18"/>
        </w:rPr>
        <w:t>CUI</w:t>
      </w:r>
      <w:r>
        <w:rPr>
          <w:rFonts w:ascii="Titillium" w:hAnsi="Titillium" w:cs="Calibri"/>
          <w:bCs/>
          <w:iCs/>
          <w:sz w:val="18"/>
          <w:szCs w:val="18"/>
        </w:rPr>
        <w:t xml:space="preserve"> è:</w:t>
      </w:r>
    </w:p>
    <w:p w:rsidR="00AE28AD" w:rsidRDefault="00F35AEF" w:rsidP="00AE28AD">
      <w:pPr>
        <w:tabs>
          <w:tab w:val="left" w:pos="360"/>
        </w:tabs>
        <w:spacing w:before="60" w:after="60"/>
        <w:rPr>
          <w:rFonts w:ascii="Titillium" w:hAnsi="Titillium" w:cs="Calibri"/>
          <w:bCs/>
          <w:iCs/>
          <w:sz w:val="18"/>
          <w:szCs w:val="18"/>
        </w:rPr>
      </w:pPr>
      <w:r>
        <w:rPr>
          <w:rFonts w:ascii="Titillium" w:hAnsi="Titillium" w:cs="Calibri"/>
          <w:bCs/>
          <w:iCs/>
          <w:sz w:val="18"/>
          <w:szCs w:val="18"/>
        </w:rPr>
        <w:t xml:space="preserve">per Ausl </w:t>
      </w:r>
      <w:r w:rsidR="00A215C7">
        <w:rPr>
          <w:rFonts w:ascii="Titillium" w:hAnsi="Titillium" w:cs="Calibri"/>
          <w:bCs/>
          <w:iCs/>
          <w:sz w:val="18"/>
          <w:szCs w:val="18"/>
        </w:rPr>
        <w:t>B</w:t>
      </w:r>
      <w:r>
        <w:rPr>
          <w:rFonts w:ascii="Titillium" w:hAnsi="Titillium" w:cs="Calibri"/>
          <w:bCs/>
          <w:iCs/>
          <w:sz w:val="18"/>
          <w:szCs w:val="18"/>
        </w:rPr>
        <w:t xml:space="preserve">o </w:t>
      </w:r>
      <w:r w:rsidRPr="00F35AEF">
        <w:rPr>
          <w:rFonts w:ascii="Titillium" w:hAnsi="Titillium" w:cs="Calibri"/>
          <w:bCs/>
          <w:iCs/>
          <w:sz w:val="18"/>
          <w:szCs w:val="18"/>
        </w:rPr>
        <w:t>S02406911202202500006</w:t>
      </w:r>
    </w:p>
    <w:p w:rsidR="00F35AEF" w:rsidRDefault="00F35AEF" w:rsidP="00AE28AD">
      <w:pPr>
        <w:tabs>
          <w:tab w:val="left" w:pos="360"/>
        </w:tabs>
        <w:spacing w:before="60" w:after="60"/>
        <w:rPr>
          <w:rFonts w:ascii="Titillium" w:hAnsi="Titillium" w:cs="Calibri"/>
          <w:bCs/>
          <w:iCs/>
          <w:sz w:val="18"/>
          <w:szCs w:val="18"/>
        </w:rPr>
      </w:pPr>
      <w:r>
        <w:rPr>
          <w:rFonts w:ascii="Titillium" w:hAnsi="Titillium" w:cs="Calibri"/>
          <w:bCs/>
          <w:iCs/>
          <w:sz w:val="18"/>
          <w:szCs w:val="18"/>
        </w:rPr>
        <w:t>per AOU BO</w:t>
      </w:r>
      <w:r w:rsidR="008A7055" w:rsidRPr="008A7055">
        <w:rPr>
          <w:rFonts w:ascii="Titillium" w:hAnsi="Titillium" w:cs="Calibri"/>
          <w:bCs/>
          <w:iCs/>
          <w:sz w:val="18"/>
          <w:szCs w:val="18"/>
        </w:rPr>
        <w:t>S92038610371202600001</w:t>
      </w:r>
    </w:p>
    <w:p w:rsidR="00F35AEF" w:rsidRPr="00AF481C" w:rsidRDefault="00F35AEF" w:rsidP="00AE28AD">
      <w:pPr>
        <w:tabs>
          <w:tab w:val="left" w:pos="360"/>
        </w:tabs>
        <w:spacing w:before="60" w:after="60"/>
      </w:pPr>
      <w:r>
        <w:rPr>
          <w:rFonts w:ascii="Titillium" w:hAnsi="Titillium" w:cs="Calibri"/>
          <w:bCs/>
          <w:iCs/>
          <w:sz w:val="18"/>
          <w:szCs w:val="18"/>
        </w:rPr>
        <w:t xml:space="preserve">per AUSL Ferrara/ AOSP Ferrara </w:t>
      </w:r>
      <w:r w:rsidR="005422E4" w:rsidRPr="005422E4">
        <w:rPr>
          <w:rFonts w:ascii="Titillium" w:hAnsi="Titillium" w:cs="Calibri"/>
          <w:bCs/>
          <w:iCs/>
          <w:sz w:val="18"/>
          <w:szCs w:val="18"/>
        </w:rPr>
        <w:t>S01295950388202500039</w:t>
      </w:r>
    </w:p>
    <w:p w:rsidR="00AE28AD" w:rsidRDefault="00AE28AD" w:rsidP="7845F726">
      <w:pPr>
        <w:spacing w:before="60" w:after="60"/>
        <w:rPr>
          <w:rFonts w:ascii="Titillium" w:hAnsi="Titillium" w:cs="Calibri"/>
          <w:iCs/>
          <w:sz w:val="18"/>
          <w:szCs w:val="18"/>
        </w:rPr>
      </w:pPr>
      <w:r w:rsidRPr="00AF481C">
        <w:rPr>
          <w:rFonts w:ascii="Titillium" w:hAnsi="Titillium" w:cs="Calibri"/>
          <w:sz w:val="18"/>
          <w:szCs w:val="18"/>
        </w:rPr>
        <w:t xml:space="preserve">Il Responsabile unico del progetto è </w:t>
      </w:r>
      <w:r w:rsidR="00F35AEF" w:rsidRPr="00F35AEF">
        <w:rPr>
          <w:rFonts w:ascii="Titillium" w:hAnsi="Titillium" w:cs="Calibri"/>
          <w:iCs/>
          <w:sz w:val="18"/>
          <w:szCs w:val="18"/>
        </w:rPr>
        <w:t>per AUSL BO dott</w:t>
      </w:r>
      <w:r w:rsidR="007D2E10">
        <w:rPr>
          <w:rFonts w:ascii="Titillium" w:hAnsi="Titillium" w:cs="Calibri"/>
          <w:iCs/>
          <w:sz w:val="18"/>
          <w:szCs w:val="18"/>
        </w:rPr>
        <w:t>.</w:t>
      </w:r>
      <w:r w:rsidR="00F35AEF" w:rsidRPr="00F35AEF">
        <w:rPr>
          <w:rFonts w:ascii="Titillium" w:hAnsi="Titillium" w:cs="Calibri"/>
          <w:iCs/>
          <w:sz w:val="18"/>
          <w:szCs w:val="18"/>
        </w:rPr>
        <w:t xml:space="preserve"> Alberto Maurizzi</w:t>
      </w:r>
    </w:p>
    <w:p w:rsidR="00B2186C" w:rsidRDefault="00B2186C" w:rsidP="7845F726">
      <w:pPr>
        <w:spacing w:before="60" w:after="60"/>
        <w:rPr>
          <w:rFonts w:ascii="Titillium" w:hAnsi="Titillium" w:cs="Calibri"/>
          <w:iCs/>
          <w:sz w:val="18"/>
          <w:szCs w:val="18"/>
        </w:rPr>
      </w:pPr>
      <w:r w:rsidRPr="00AF481C">
        <w:rPr>
          <w:rFonts w:ascii="Titillium" w:hAnsi="Titillium" w:cs="Calibri"/>
          <w:sz w:val="18"/>
          <w:szCs w:val="18"/>
        </w:rPr>
        <w:t xml:space="preserve">Il Responsabile unico del progetto è </w:t>
      </w:r>
      <w:r w:rsidRPr="00F35AEF">
        <w:rPr>
          <w:rFonts w:ascii="Titillium" w:hAnsi="Titillium" w:cs="Calibri"/>
          <w:iCs/>
          <w:sz w:val="18"/>
          <w:szCs w:val="18"/>
        </w:rPr>
        <w:t xml:space="preserve">per </w:t>
      </w:r>
      <w:r>
        <w:rPr>
          <w:rFonts w:ascii="Titillium" w:hAnsi="Titillium" w:cs="Calibri"/>
          <w:iCs/>
          <w:sz w:val="18"/>
          <w:szCs w:val="18"/>
        </w:rPr>
        <w:t xml:space="preserve">AOSP BO </w:t>
      </w:r>
      <w:r w:rsidR="00670C39">
        <w:rPr>
          <w:rFonts w:ascii="Titillium" w:hAnsi="Titillium" w:cs="Calibri"/>
          <w:iCs/>
          <w:sz w:val="18"/>
          <w:szCs w:val="18"/>
        </w:rPr>
        <w:t>dott</w:t>
      </w:r>
      <w:r w:rsidR="007D2E10">
        <w:rPr>
          <w:rFonts w:ascii="Titillium" w:hAnsi="Titillium" w:cs="Calibri"/>
          <w:iCs/>
          <w:sz w:val="18"/>
          <w:szCs w:val="18"/>
        </w:rPr>
        <w:t>.</w:t>
      </w:r>
      <w:r w:rsidR="00670C39">
        <w:rPr>
          <w:rFonts w:ascii="Titillium" w:hAnsi="Titillium" w:cs="Calibri"/>
          <w:iCs/>
          <w:sz w:val="18"/>
          <w:szCs w:val="18"/>
        </w:rPr>
        <w:t xml:space="preserve"> Emanuele Zavoli</w:t>
      </w:r>
      <w:r w:rsidR="008A7055">
        <w:rPr>
          <w:rFonts w:ascii="Titillium" w:hAnsi="Titillium" w:cs="Calibri"/>
          <w:iCs/>
          <w:sz w:val="18"/>
          <w:szCs w:val="18"/>
        </w:rPr>
        <w:t xml:space="preserve"> - </w:t>
      </w:r>
    </w:p>
    <w:p w:rsidR="00A103E8" w:rsidRDefault="00A103E8" w:rsidP="7845F726">
      <w:pPr>
        <w:spacing w:before="60" w:after="60"/>
        <w:rPr>
          <w:rFonts w:ascii="Titillium" w:hAnsi="Titillium" w:cs="Calibri"/>
          <w:iCs/>
          <w:sz w:val="18"/>
          <w:szCs w:val="18"/>
        </w:rPr>
      </w:pPr>
      <w:r>
        <w:rPr>
          <w:rFonts w:ascii="Titillium" w:hAnsi="Titillium" w:cs="Calibri"/>
          <w:sz w:val="18"/>
          <w:szCs w:val="18"/>
        </w:rPr>
        <w:t xml:space="preserve">Il </w:t>
      </w:r>
      <w:r w:rsidR="00B2186C" w:rsidRPr="00AF481C">
        <w:rPr>
          <w:rFonts w:ascii="Titillium" w:hAnsi="Titillium" w:cs="Calibri"/>
          <w:sz w:val="18"/>
          <w:szCs w:val="18"/>
        </w:rPr>
        <w:t>Responsabile unico del progetto è</w:t>
      </w:r>
      <w:r w:rsidR="007D2E10">
        <w:rPr>
          <w:rFonts w:ascii="Titillium" w:hAnsi="Titillium" w:cs="Calibri"/>
          <w:sz w:val="18"/>
          <w:szCs w:val="18"/>
        </w:rPr>
        <w:t xml:space="preserve"> </w:t>
      </w:r>
      <w:r w:rsidR="00B2186C" w:rsidRPr="00F35AEF">
        <w:rPr>
          <w:rFonts w:ascii="Titillium" w:hAnsi="Titillium" w:cs="Calibri"/>
          <w:iCs/>
          <w:sz w:val="18"/>
          <w:szCs w:val="18"/>
        </w:rPr>
        <w:t xml:space="preserve">per AUSL </w:t>
      </w:r>
      <w:r w:rsidR="00B2186C">
        <w:rPr>
          <w:rFonts w:ascii="Titillium" w:hAnsi="Titillium" w:cs="Calibri"/>
          <w:iCs/>
          <w:sz w:val="18"/>
          <w:szCs w:val="18"/>
        </w:rPr>
        <w:t xml:space="preserve">Imola </w:t>
      </w:r>
      <w:r w:rsidR="009E4FED">
        <w:rPr>
          <w:rFonts w:ascii="Titillium" w:hAnsi="Titillium" w:cs="Calibri"/>
          <w:iCs/>
          <w:sz w:val="18"/>
          <w:szCs w:val="18"/>
        </w:rPr>
        <w:t xml:space="preserve">dott.ssa </w:t>
      </w:r>
      <w:r w:rsidRPr="00A103E8">
        <w:rPr>
          <w:rFonts w:ascii="Titillium" w:hAnsi="Titillium" w:cs="Calibri"/>
          <w:iCs/>
          <w:sz w:val="18"/>
          <w:szCs w:val="18"/>
        </w:rPr>
        <w:t>Stefania Gasparetto Direttrice ASSOT</w:t>
      </w:r>
    </w:p>
    <w:p w:rsidR="009E4FED" w:rsidRDefault="00B2186C" w:rsidP="7845F726">
      <w:pPr>
        <w:spacing w:before="60" w:after="60"/>
        <w:rPr>
          <w:rFonts w:ascii="Titillium" w:hAnsi="Titillium" w:cs="Calibri"/>
          <w:iCs/>
          <w:sz w:val="18"/>
          <w:szCs w:val="18"/>
        </w:rPr>
      </w:pPr>
      <w:r w:rsidRPr="00AF481C">
        <w:rPr>
          <w:rFonts w:ascii="Titillium" w:hAnsi="Titillium" w:cs="Calibri"/>
          <w:sz w:val="18"/>
          <w:szCs w:val="18"/>
        </w:rPr>
        <w:t xml:space="preserve">Il Responsabile unico del progetto è </w:t>
      </w:r>
      <w:r w:rsidRPr="00F35AEF">
        <w:rPr>
          <w:rFonts w:ascii="Titillium" w:hAnsi="Titillium" w:cs="Calibri"/>
          <w:iCs/>
          <w:sz w:val="18"/>
          <w:szCs w:val="18"/>
        </w:rPr>
        <w:t xml:space="preserve">per </w:t>
      </w:r>
      <w:r>
        <w:rPr>
          <w:rFonts w:ascii="Titillium" w:hAnsi="Titillium" w:cs="Calibri"/>
          <w:iCs/>
          <w:sz w:val="18"/>
          <w:szCs w:val="18"/>
        </w:rPr>
        <w:t xml:space="preserve">IOR </w:t>
      </w:r>
      <w:r w:rsidR="009E4FED">
        <w:rPr>
          <w:rFonts w:ascii="Titillium" w:hAnsi="Titillium" w:cs="Calibri"/>
          <w:iCs/>
          <w:sz w:val="18"/>
          <w:szCs w:val="18"/>
        </w:rPr>
        <w:t xml:space="preserve">dott.ssa </w:t>
      </w:r>
      <w:r w:rsidR="007D2E10">
        <w:rPr>
          <w:rFonts w:ascii="Titillium" w:hAnsi="Titillium" w:cs="Calibri"/>
          <w:iCs/>
          <w:sz w:val="18"/>
          <w:szCs w:val="18"/>
        </w:rPr>
        <w:t>l</w:t>
      </w:r>
      <w:r w:rsidR="009E4FED">
        <w:rPr>
          <w:rFonts w:ascii="Titillium" w:hAnsi="Titillium" w:cs="Calibri"/>
          <w:iCs/>
          <w:sz w:val="18"/>
          <w:szCs w:val="18"/>
        </w:rPr>
        <w:t xml:space="preserve">aura Mandrioli Direttore </w:t>
      </w:r>
      <w:r w:rsidR="009E4FED" w:rsidRPr="009E4FED">
        <w:rPr>
          <w:rFonts w:ascii="Titillium" w:hAnsi="Titillium" w:cs="Calibri"/>
          <w:iCs/>
          <w:sz w:val="18"/>
          <w:szCs w:val="18"/>
        </w:rPr>
        <w:t>S.C. Affari Legali e Generali</w:t>
      </w:r>
    </w:p>
    <w:p w:rsidR="00B2186C" w:rsidRPr="00AF481C" w:rsidRDefault="00B2186C" w:rsidP="7845F726">
      <w:pPr>
        <w:spacing w:before="60" w:after="60"/>
        <w:rPr>
          <w:rFonts w:ascii="Titillium" w:hAnsi="Titillium" w:cs="Calibri"/>
          <w:i/>
          <w:iCs/>
          <w:sz w:val="18"/>
          <w:szCs w:val="18"/>
        </w:rPr>
      </w:pPr>
      <w:r w:rsidRPr="00AF481C">
        <w:rPr>
          <w:rFonts w:ascii="Titillium" w:hAnsi="Titillium" w:cs="Calibri"/>
          <w:sz w:val="18"/>
          <w:szCs w:val="18"/>
        </w:rPr>
        <w:t xml:space="preserve">Il Responsabile unico del progetto è </w:t>
      </w:r>
      <w:r>
        <w:rPr>
          <w:rFonts w:ascii="Titillium" w:hAnsi="Titillium" w:cs="Calibri"/>
          <w:iCs/>
          <w:sz w:val="18"/>
          <w:szCs w:val="18"/>
        </w:rPr>
        <w:t xml:space="preserve">per AOSP Ferrara </w:t>
      </w:r>
      <w:r w:rsidR="005422E4" w:rsidRPr="005422E4">
        <w:rPr>
          <w:rFonts w:ascii="Titillium" w:hAnsi="Titillium" w:cs="Calibri"/>
          <w:iCs/>
          <w:sz w:val="18"/>
          <w:szCs w:val="18"/>
        </w:rPr>
        <w:t>Rita Burattini</w:t>
      </w:r>
      <w:r>
        <w:rPr>
          <w:rFonts w:ascii="Titillium" w:hAnsi="Titillium" w:cs="Calibri"/>
          <w:iCs/>
          <w:sz w:val="18"/>
          <w:szCs w:val="18"/>
        </w:rPr>
        <w:t>.</w:t>
      </w:r>
    </w:p>
    <w:p w:rsidR="00AE28AD" w:rsidRPr="00AF481C" w:rsidRDefault="00AE28AD" w:rsidP="7845F726">
      <w:pPr>
        <w:spacing w:before="60" w:after="60"/>
        <w:rPr>
          <w:rFonts w:ascii="Titillium" w:hAnsi="Titillium" w:cs="Calibri"/>
          <w:sz w:val="18"/>
          <w:szCs w:val="18"/>
        </w:rPr>
      </w:pPr>
      <w:r w:rsidRPr="00AF481C">
        <w:rPr>
          <w:rFonts w:ascii="Titillium" w:hAnsi="Titillium" w:cs="Calibri"/>
          <w:sz w:val="18"/>
          <w:szCs w:val="18"/>
        </w:rPr>
        <w:t xml:space="preserve">Il Responsabile del procedimento per la fase di affidamento è </w:t>
      </w:r>
      <w:r w:rsidR="00F35AEF">
        <w:rPr>
          <w:rFonts w:ascii="Titillium" w:hAnsi="Titillium" w:cs="Calibri"/>
          <w:sz w:val="18"/>
          <w:szCs w:val="18"/>
        </w:rPr>
        <w:t>dott</w:t>
      </w:r>
      <w:r w:rsidR="007D2E10">
        <w:rPr>
          <w:rFonts w:ascii="Titillium" w:hAnsi="Titillium" w:cs="Calibri"/>
          <w:sz w:val="18"/>
          <w:szCs w:val="18"/>
        </w:rPr>
        <w:t>.</w:t>
      </w:r>
      <w:r w:rsidR="00F35AEF">
        <w:rPr>
          <w:rFonts w:ascii="Titillium" w:hAnsi="Titillium" w:cs="Calibri"/>
          <w:sz w:val="18"/>
          <w:szCs w:val="18"/>
        </w:rPr>
        <w:t xml:space="preserve"> Antonio Capobianco collaboratore amministrativo presso il SAAV dell’Ausl di Bologna – </w:t>
      </w:r>
      <w:hyperlink r:id="rId12" w:history="1">
        <w:r w:rsidR="00F35AEF" w:rsidRPr="00EE34BC">
          <w:rPr>
            <w:rStyle w:val="Collegamentoipertestuale"/>
            <w:rFonts w:ascii="Titillium" w:hAnsi="Titillium" w:cs="Calibri"/>
            <w:sz w:val="18"/>
            <w:szCs w:val="18"/>
          </w:rPr>
          <w:t>antonio.capobianco@ausl.bologna.it</w:t>
        </w:r>
      </w:hyperlink>
    </w:p>
    <w:p w:rsidR="00AE28AD" w:rsidRPr="00AF481C" w:rsidRDefault="00AE28AD" w:rsidP="00AE28AD">
      <w:pPr>
        <w:spacing w:before="60" w:after="60"/>
      </w:pPr>
    </w:p>
    <w:p w:rsidR="00AE28AD" w:rsidRPr="00AF481C" w:rsidRDefault="00AE28AD" w:rsidP="00604C9A">
      <w:pPr>
        <w:pStyle w:val="Titolo2"/>
        <w:numPr>
          <w:ilvl w:val="0"/>
          <w:numId w:val="3"/>
        </w:numPr>
        <w:rPr>
          <w:caps/>
        </w:rPr>
      </w:pPr>
      <w:bookmarkStart w:id="31" w:name="_Ref132303744"/>
      <w:bookmarkStart w:id="32" w:name="_Toc223087457"/>
      <w:r w:rsidRPr="00AF481C">
        <w:t>PIATTAFORMA</w:t>
      </w:r>
      <w:bookmarkEnd w:id="31"/>
      <w:bookmarkEnd w:id="32"/>
    </w:p>
    <w:p w:rsidR="00AE28AD" w:rsidRPr="00AF481C" w:rsidRDefault="00AE28AD" w:rsidP="00225033">
      <w:pPr>
        <w:pStyle w:val="Titolo3"/>
        <w:numPr>
          <w:ilvl w:val="1"/>
          <w:numId w:val="3"/>
        </w:numPr>
        <w:ind w:left="426"/>
        <w:rPr>
          <w:rFonts w:ascii="Titillium" w:hAnsi="Titillium"/>
          <w:iCs/>
          <w:caps/>
          <w:sz w:val="18"/>
          <w:szCs w:val="18"/>
        </w:rPr>
      </w:pPr>
      <w:bookmarkStart w:id="33" w:name="_Ref132303729"/>
      <w:bookmarkStart w:id="34" w:name="_Toc223087458"/>
      <w:r w:rsidRPr="00AF481C">
        <w:rPr>
          <w:rFonts w:ascii="Titillium" w:hAnsi="Titillium"/>
          <w:iCs/>
          <w:sz w:val="18"/>
          <w:szCs w:val="18"/>
        </w:rPr>
        <w:t xml:space="preserve">LA PIATTAFORMA </w:t>
      </w:r>
      <w:bookmarkEnd w:id="33"/>
      <w:r w:rsidRPr="00AF481C">
        <w:rPr>
          <w:rFonts w:ascii="Titillium" w:hAnsi="Titillium"/>
          <w:iCs/>
          <w:sz w:val="18"/>
          <w:szCs w:val="18"/>
        </w:rPr>
        <w:t>DI APPROVVIGIONAMENTO DIGITALE (PAD)</w:t>
      </w:r>
      <w:bookmarkEnd w:id="34"/>
    </w:p>
    <w:p w:rsidR="00AE28AD" w:rsidRPr="00AF481C" w:rsidRDefault="00AE28AD" w:rsidP="00D1375D">
      <w:pPr>
        <w:pStyle w:val="Nessunaspaziatura"/>
        <w:tabs>
          <w:tab w:val="left" w:pos="567"/>
        </w:tabs>
        <w:spacing w:before="60" w:after="60" w:line="276" w:lineRule="auto"/>
        <w:rPr>
          <w:rFonts w:ascii="Titillium" w:hAnsi="Titillium" w:cs="Calibri"/>
          <w:bCs/>
          <w:iCs/>
          <w:sz w:val="18"/>
          <w:szCs w:val="18"/>
        </w:rPr>
      </w:pPr>
      <w:r w:rsidRPr="00AF481C">
        <w:rPr>
          <w:rFonts w:ascii="Titillium" w:hAnsi="Titillium" w:cs="Calibri"/>
          <w:bCs/>
          <w:iCs/>
          <w:sz w:val="18"/>
          <w:szCs w:val="18"/>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rsidR="00AE28AD" w:rsidRPr="00AF481C" w:rsidRDefault="00AE28AD" w:rsidP="00AE28AD">
      <w:pPr>
        <w:pStyle w:val="Nessunaspaziatura"/>
        <w:tabs>
          <w:tab w:val="left" w:pos="567"/>
        </w:tabs>
        <w:spacing w:before="60" w:after="60"/>
        <w:rPr>
          <w:rFonts w:ascii="Titillium" w:hAnsi="Titillium" w:cs="Calibri"/>
          <w:bCs/>
          <w:iCs/>
          <w:sz w:val="18"/>
          <w:szCs w:val="18"/>
        </w:rPr>
      </w:pPr>
      <w:r w:rsidRPr="00AF481C">
        <w:rPr>
          <w:rFonts w:ascii="Titillium" w:hAnsi="Titillium" w:cs="Calibri"/>
          <w:bCs/>
          <w:iCs/>
          <w:sz w:val="18"/>
          <w:szCs w:val="18"/>
        </w:rPr>
        <w:t xml:space="preserve">L’utilizzo della PAD avviene nel rispetto dei principi di autoresponsabilità e di diligenza professionale, secondo quanto previsto dall’articolo 1176, comma 2, del Codice civile. </w:t>
      </w:r>
    </w:p>
    <w:p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La </w:t>
      </w:r>
      <w:r w:rsidR="00362813" w:rsidRPr="00AF481C">
        <w:rPr>
          <w:rFonts w:ascii="Titillium" w:eastAsia="Times New Roman" w:hAnsi="Titillium" w:cs="Calibri"/>
          <w:bCs/>
          <w:iCs/>
          <w:color w:val="auto"/>
          <w:sz w:val="18"/>
          <w:szCs w:val="18"/>
        </w:rPr>
        <w:t>s</w:t>
      </w:r>
      <w:r w:rsidRPr="00AF481C">
        <w:rPr>
          <w:rFonts w:ascii="Titillium" w:eastAsia="Times New Roman" w:hAnsi="Titillium" w:cs="Calibri"/>
          <w:bCs/>
          <w:iCs/>
          <w:color w:val="auto"/>
          <w:sz w:val="18"/>
          <w:szCs w:val="18"/>
        </w:rPr>
        <w:t xml:space="preserve">tazione appaltante non assume alcuna responsabilità per perdita di documenti e dati, danneggiamento di file e documenti, ritardi nell’inserimento di dati, documenti e/o nella presentazione della domanda, malfunzionamento, danni, pregiudizi derivanti </w:t>
      </w:r>
      <w:r w:rsidRPr="00AF481C">
        <w:rPr>
          <w:rFonts w:ascii="Titillium" w:eastAsia="Times New Roman" w:hAnsi="Titillium" w:cs="Calibri"/>
          <w:bCs/>
          <w:iCs/>
          <w:color w:val="auto"/>
          <w:sz w:val="18"/>
          <w:szCs w:val="18"/>
        </w:rPr>
        <w:lastRenderedPageBreak/>
        <w:t>all’operatore economico, da:</w:t>
      </w:r>
    </w:p>
    <w:p w:rsidR="00AE28AD" w:rsidRPr="00AF481C" w:rsidRDefault="00AE28AD" w:rsidP="00225033">
      <w:pPr>
        <w:pStyle w:val="Default"/>
        <w:numPr>
          <w:ilvl w:val="1"/>
          <w:numId w:val="15"/>
        </w:numPr>
        <w:ind w:left="284" w:hanging="284"/>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difetti di funzionamento delle apparecchiature e dei sistemi di collegamento e programmi impiegati dal singolo operatore economico per il collegamento allaPAD;</w:t>
      </w:r>
    </w:p>
    <w:p w:rsidR="00A804B2" w:rsidRPr="00A804B2" w:rsidRDefault="00AE28AD" w:rsidP="00AE28AD">
      <w:pPr>
        <w:pStyle w:val="Default"/>
        <w:numPr>
          <w:ilvl w:val="1"/>
          <w:numId w:val="15"/>
        </w:numPr>
        <w:ind w:left="284" w:hanging="284"/>
        <w:rPr>
          <w:rFonts w:ascii="Titillium" w:eastAsia="Times New Roman" w:hAnsi="Titillium" w:cs="Calibri"/>
          <w:b/>
          <w:bCs/>
          <w:iCs/>
          <w:color w:val="auto"/>
          <w:sz w:val="18"/>
          <w:szCs w:val="18"/>
        </w:rPr>
      </w:pPr>
      <w:r w:rsidRPr="00A804B2">
        <w:rPr>
          <w:rFonts w:ascii="Titillium" w:eastAsia="Times New Roman" w:hAnsi="Titillium" w:cs="Calibri"/>
          <w:bCs/>
          <w:iCs/>
          <w:color w:val="auto"/>
          <w:sz w:val="18"/>
          <w:szCs w:val="18"/>
        </w:rPr>
        <w:t xml:space="preserve">utilizzo della PAD da parte dell’operatore economico in maniera non conforme al Disciplinare </w:t>
      </w:r>
    </w:p>
    <w:p w:rsidR="00501D5A" w:rsidRPr="00A804B2" w:rsidRDefault="00AE28AD" w:rsidP="00A804B2">
      <w:pPr>
        <w:pStyle w:val="Default"/>
        <w:rPr>
          <w:rFonts w:ascii="Titillium" w:eastAsia="Times New Roman" w:hAnsi="Titillium" w:cs="Calibri"/>
          <w:bCs/>
          <w:iCs/>
          <w:color w:val="auto"/>
          <w:sz w:val="18"/>
          <w:szCs w:val="18"/>
        </w:rPr>
      </w:pPr>
      <w:r w:rsidRPr="00A804B2">
        <w:rPr>
          <w:rFonts w:ascii="Titillium" w:eastAsia="Times New Roman" w:hAnsi="Titillium" w:cs="Calibri"/>
          <w:bCs/>
          <w:iCs/>
          <w:color w:val="auto"/>
          <w:sz w:val="18"/>
          <w:szCs w:val="18"/>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sidR="007D2E10">
        <w:rPr>
          <w:rFonts w:ascii="Titillium" w:eastAsia="Times New Roman" w:hAnsi="Titillium" w:cs="Calibri"/>
          <w:bCs/>
          <w:iCs/>
          <w:color w:val="auto"/>
          <w:sz w:val="18"/>
          <w:szCs w:val="18"/>
        </w:rPr>
        <w:t xml:space="preserve"> </w:t>
      </w:r>
      <w:r w:rsidRPr="00A804B2">
        <w:rPr>
          <w:rFonts w:ascii="Titillium" w:eastAsia="Times New Roman" w:hAnsi="Titillium" w:cs="Calibri"/>
          <w:bCs/>
          <w:iCs/>
          <w:color w:val="auto"/>
          <w:sz w:val="18"/>
          <w:szCs w:val="18"/>
        </w:rPr>
        <w:t>e del momento in cui si verifica. La proroga</w:t>
      </w:r>
      <w:r w:rsidR="002D33CB" w:rsidRPr="00A804B2">
        <w:rPr>
          <w:rFonts w:ascii="Titillium" w:eastAsia="Times New Roman" w:hAnsi="Titillium" w:cs="Calibri"/>
          <w:bCs/>
          <w:iCs/>
          <w:color w:val="auto"/>
          <w:sz w:val="18"/>
          <w:szCs w:val="18"/>
        </w:rPr>
        <w:t xml:space="preserve"> o la riapertura del termine di scadenza di presentazione delle offerte limitata ad un periodo massimo di 48 ore</w:t>
      </w:r>
      <w:r w:rsidR="007D2E10">
        <w:rPr>
          <w:rFonts w:ascii="Titillium" w:eastAsia="Times New Roman" w:hAnsi="Titillium" w:cs="Calibri"/>
          <w:bCs/>
          <w:iCs/>
          <w:color w:val="auto"/>
          <w:sz w:val="18"/>
          <w:szCs w:val="18"/>
        </w:rPr>
        <w:t xml:space="preserve"> </w:t>
      </w:r>
      <w:r w:rsidR="004835B0" w:rsidRPr="00A804B2">
        <w:rPr>
          <w:rFonts w:ascii="Titillium" w:eastAsia="Times New Roman" w:hAnsi="Titillium" w:cs="Calibri"/>
          <w:bCs/>
          <w:iCs/>
          <w:color w:val="auto"/>
          <w:sz w:val="18"/>
          <w:szCs w:val="18"/>
        </w:rPr>
        <w:t>d</w:t>
      </w:r>
      <w:r w:rsidR="00392C72" w:rsidRPr="00A804B2">
        <w:rPr>
          <w:rFonts w:ascii="Titillium" w:eastAsia="Times New Roman" w:hAnsi="Titillium" w:cs="Calibri"/>
          <w:bCs/>
          <w:iCs/>
          <w:color w:val="auto"/>
          <w:sz w:val="18"/>
          <w:szCs w:val="18"/>
        </w:rPr>
        <w:t xml:space="preserve">alla data </w:t>
      </w:r>
      <w:r w:rsidR="007E7ECF" w:rsidRPr="00A804B2">
        <w:rPr>
          <w:rFonts w:ascii="Titillium" w:eastAsia="Times New Roman" w:hAnsi="Titillium" w:cs="Calibri"/>
          <w:bCs/>
          <w:iCs/>
          <w:color w:val="auto"/>
          <w:sz w:val="18"/>
          <w:szCs w:val="18"/>
        </w:rPr>
        <w:t xml:space="preserve">di scadenza </w:t>
      </w:r>
      <w:r w:rsidR="00392C72" w:rsidRPr="00A804B2">
        <w:rPr>
          <w:rFonts w:ascii="Titillium" w:eastAsia="Times New Roman" w:hAnsi="Titillium" w:cs="Calibri"/>
          <w:bCs/>
          <w:iCs/>
          <w:color w:val="auto"/>
          <w:sz w:val="18"/>
          <w:szCs w:val="18"/>
        </w:rPr>
        <w:t xml:space="preserve">indicata nel bando </w:t>
      </w:r>
      <w:r w:rsidRPr="00A804B2">
        <w:rPr>
          <w:rFonts w:ascii="Titillium" w:eastAsia="Times New Roman" w:hAnsi="Titillium" w:cs="Calibri"/>
          <w:bCs/>
          <w:iCs/>
          <w:color w:val="auto"/>
          <w:sz w:val="18"/>
          <w:szCs w:val="18"/>
        </w:rPr>
        <w:t>è resa nota sulla PAD e sul sito internet della stazione appaltante</w:t>
      </w:r>
      <w:r w:rsidR="007D2E10">
        <w:rPr>
          <w:rFonts w:ascii="Titillium" w:eastAsia="Times New Roman" w:hAnsi="Titillium" w:cs="Calibri"/>
          <w:bCs/>
          <w:iCs/>
          <w:color w:val="auto"/>
          <w:sz w:val="18"/>
          <w:szCs w:val="18"/>
        </w:rPr>
        <w:t xml:space="preserve"> </w:t>
      </w:r>
      <w:hyperlink r:id="rId13" w:history="1">
        <w:r w:rsidR="004F46A4" w:rsidRPr="00A804B2">
          <w:rPr>
            <w:rStyle w:val="Collegamentoipertestuale"/>
            <w:rFonts w:ascii="Titillium" w:hAnsi="Titillium" w:cs="Calibri"/>
            <w:bCs/>
            <w:iCs/>
            <w:sz w:val="18"/>
            <w:szCs w:val="18"/>
          </w:rPr>
          <w:t>http://intercent.regione.emilia-romagna.it</w:t>
        </w:r>
      </w:hyperlink>
      <w:r w:rsidR="00392C72" w:rsidRPr="00A804B2">
        <w:rPr>
          <w:rFonts w:ascii="Titillium" w:eastAsia="Times New Roman" w:hAnsi="Titillium" w:cs="Calibri"/>
          <w:bCs/>
          <w:iCs/>
          <w:color w:val="auto"/>
          <w:sz w:val="18"/>
          <w:szCs w:val="18"/>
        </w:rPr>
        <w:t>, unitamente all’indicazione della durata e dei motivi del malfunzionamento</w:t>
      </w:r>
      <w:r w:rsidRPr="00A804B2">
        <w:rPr>
          <w:rFonts w:ascii="Titillium" w:eastAsia="Times New Roman" w:hAnsi="Titillium" w:cs="Calibri"/>
          <w:bCs/>
          <w:iCs/>
          <w:color w:val="auto"/>
          <w:sz w:val="18"/>
          <w:szCs w:val="18"/>
        </w:rPr>
        <w:t>. In tali casi, non è richiesta la pubblicazione di una rettifica al bando di gara ai sensi dell’articolo 27 del codice, né la riedizione della procedura.</w:t>
      </w:r>
    </w:p>
    <w:p w:rsidR="00DF2A57" w:rsidRPr="00A804B2" w:rsidRDefault="00AE28AD" w:rsidP="00AE28AD">
      <w:pPr>
        <w:pStyle w:val="Default"/>
        <w:rPr>
          <w:rFonts w:ascii="Titillium" w:eastAsia="Times New Roman" w:hAnsi="Titillium" w:cs="Calibri"/>
          <w:bCs/>
          <w:iCs/>
          <w:color w:val="auto"/>
          <w:sz w:val="18"/>
          <w:szCs w:val="18"/>
        </w:rPr>
      </w:pPr>
      <w:r w:rsidRPr="00A804B2">
        <w:rPr>
          <w:rFonts w:ascii="Titillium" w:eastAsia="Times New Roman" w:hAnsi="Titillium" w:cs="Calibri"/>
          <w:bCs/>
          <w:iCs/>
          <w:color w:val="auto"/>
          <w:sz w:val="18"/>
          <w:szCs w:val="18"/>
        </w:rPr>
        <w:t xml:space="preserve">Nel caso in cui la proroga dei termini per la presentazione delle offerte </w:t>
      </w:r>
      <w:r w:rsidR="00BC0AA2" w:rsidRPr="00A804B2">
        <w:rPr>
          <w:rFonts w:ascii="Titillium" w:eastAsia="Times New Roman" w:hAnsi="Titillium" w:cs="Calibri"/>
          <w:bCs/>
          <w:iCs/>
          <w:color w:val="auto"/>
          <w:sz w:val="18"/>
          <w:szCs w:val="18"/>
        </w:rPr>
        <w:t xml:space="preserve">abbia una durata </w:t>
      </w:r>
      <w:r w:rsidRPr="00A804B2">
        <w:rPr>
          <w:rFonts w:ascii="Titillium" w:eastAsia="Times New Roman" w:hAnsi="Titillium" w:cs="Calibri"/>
          <w:bCs/>
          <w:iCs/>
          <w:color w:val="auto"/>
          <w:sz w:val="18"/>
          <w:szCs w:val="18"/>
        </w:rPr>
        <w:t>superiore</w:t>
      </w:r>
      <w:r w:rsidR="00BC0AA2" w:rsidRPr="00A804B2">
        <w:rPr>
          <w:rFonts w:ascii="Titillium" w:eastAsia="Times New Roman" w:hAnsi="Titillium" w:cs="Calibri"/>
          <w:bCs/>
          <w:iCs/>
          <w:color w:val="auto"/>
          <w:sz w:val="18"/>
          <w:szCs w:val="18"/>
        </w:rPr>
        <w:t>,</w:t>
      </w:r>
      <w:r w:rsidR="00DF2A57" w:rsidRPr="00A804B2">
        <w:rPr>
          <w:rFonts w:ascii="Titillium" w:eastAsia="Times New Roman" w:hAnsi="Titillium" w:cs="Calibri"/>
          <w:bCs/>
          <w:iCs/>
          <w:color w:val="auto"/>
          <w:sz w:val="18"/>
          <w:szCs w:val="18"/>
        </w:rPr>
        <w:t xml:space="preserve">la stazione appaltante rettifica il bando di gara con indicazione della nuova scadenza. </w:t>
      </w:r>
    </w:p>
    <w:p w:rsidR="00AE28AD" w:rsidRPr="00A804B2" w:rsidRDefault="00AE28AD" w:rsidP="00AE28AD">
      <w:pPr>
        <w:pStyle w:val="Default"/>
        <w:rPr>
          <w:rFonts w:ascii="Titillium" w:eastAsia="Times New Roman" w:hAnsi="Titillium" w:cs="Calibri"/>
          <w:bCs/>
          <w:iCs/>
          <w:color w:val="auto"/>
          <w:sz w:val="18"/>
          <w:szCs w:val="18"/>
        </w:rPr>
      </w:pPr>
      <w:r w:rsidRPr="00A804B2">
        <w:rPr>
          <w:rFonts w:ascii="Titillium" w:eastAsia="Times New Roman" w:hAnsi="Titillium" w:cs="Calibri"/>
          <w:bCs/>
          <w:iCs/>
          <w:color w:val="auto"/>
          <w:sz w:val="18"/>
          <w:szCs w:val="18"/>
        </w:rPr>
        <w:t xml:space="preserve">Nei soli casi in cui la sospensione o la proroga dei termini non siano considerati idonei a garantire la </w:t>
      </w:r>
      <w:r w:rsidRPr="00A804B2">
        <w:rPr>
          <w:rFonts w:ascii="Titillium" w:eastAsia="Times New Roman" w:hAnsi="Titillium" w:cs="Calibri"/>
          <w:bCs/>
          <w:i/>
          <w:color w:val="auto"/>
          <w:sz w:val="18"/>
          <w:szCs w:val="18"/>
        </w:rPr>
        <w:t>par condicio</w:t>
      </w:r>
      <w:r w:rsidRPr="00A804B2">
        <w:rPr>
          <w:rFonts w:ascii="Titillium" w:eastAsia="Times New Roman" w:hAnsi="Titillium" w:cs="Calibri"/>
          <w:bCs/>
          <w:iCs/>
          <w:color w:val="auto"/>
          <w:sz w:val="18"/>
          <w:szCs w:val="18"/>
        </w:rPr>
        <w:t xml:space="preserve"> dei partecipanti e/o la segretezza delle offerte, </w:t>
      </w:r>
      <w:r w:rsidR="00DF2A57" w:rsidRPr="00A804B2">
        <w:rPr>
          <w:rFonts w:ascii="Titillium" w:eastAsia="Times New Roman" w:hAnsi="Titillium" w:cs="Calibri"/>
          <w:bCs/>
          <w:iCs/>
          <w:color w:val="auto"/>
          <w:sz w:val="18"/>
          <w:szCs w:val="18"/>
        </w:rPr>
        <w:t>la stazione appaltante procede</w:t>
      </w:r>
      <w:r w:rsidRPr="00A804B2">
        <w:rPr>
          <w:rFonts w:ascii="Titillium" w:eastAsia="Times New Roman" w:hAnsi="Titillium" w:cs="Calibri"/>
          <w:bCs/>
          <w:iCs/>
          <w:color w:val="auto"/>
          <w:sz w:val="18"/>
          <w:szCs w:val="18"/>
        </w:rPr>
        <w:t xml:space="preserve"> alla riedizione della procedura.</w:t>
      </w:r>
    </w:p>
    <w:p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La stazione appaltante si riserva di agire in tal modo anche quando, esclusa la negligenza dell’operatore economico, non sia possibile accertare la causa del mancato funzionamento o del malfunzionamento.</w:t>
      </w:r>
    </w:p>
    <w:p w:rsidR="00AE28AD" w:rsidRPr="00AF481C" w:rsidRDefault="00AE28AD" w:rsidP="00AE28AD">
      <w:pPr>
        <w:pStyle w:val="Default"/>
        <w:tabs>
          <w:tab w:val="left" w:pos="567"/>
        </w:tabs>
        <w:rPr>
          <w:rFonts w:ascii="Titillium" w:eastAsia="Times New Roman" w:hAnsi="Titillium" w:cs="Calibri"/>
          <w:bCs/>
          <w:iCs/>
          <w:color w:val="auto"/>
          <w:sz w:val="18"/>
          <w:szCs w:val="18"/>
        </w:rPr>
      </w:pPr>
    </w:p>
    <w:p w:rsidR="00AE28AD" w:rsidRPr="00AF481C" w:rsidRDefault="00AE28AD" w:rsidP="00AE28AD">
      <w:pPr>
        <w:pStyle w:val="Default"/>
        <w:tabs>
          <w:tab w:val="left" w:pos="567"/>
        </w:tabs>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Le attività e le operazioni effettuate nell'ambito della PAD sono registrate e attribuite all’operatore economico e si intendono compiute nell’ora e nel giorno risultanti dalle registrazioni di sistema. </w:t>
      </w:r>
    </w:p>
    <w:p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 xml:space="preserve">Il sistema operativo della PAD è sincronizzato sulla scala di tempo nazionale di cui aldecreto del Ministro dell'industria, del commercio e dell'artigianato 30 novembre 1993, n. 591, tramite protocollo NTP o standard superiore. </w:t>
      </w:r>
    </w:p>
    <w:p w:rsidR="004F46A4" w:rsidRDefault="00AE28AD" w:rsidP="00AE28AD">
      <w:pPr>
        <w:pStyle w:val="Default"/>
        <w:rPr>
          <w:rFonts w:ascii="Titillium" w:hAnsi="Titillium" w:cs="Calibri"/>
          <w:bCs/>
          <w:i/>
          <w:iCs/>
          <w:sz w:val="18"/>
          <w:szCs w:val="18"/>
        </w:rPr>
      </w:pPr>
      <w:r w:rsidRPr="00AF481C">
        <w:rPr>
          <w:rFonts w:ascii="Titillium" w:hAnsi="Titillium" w:cs="Calibri"/>
          <w:bCs/>
          <w:iCs/>
          <w:sz w:val="18"/>
          <w:szCs w:val="18"/>
        </w:rPr>
        <w:t>L’utilizzo e il funzionamento della PAD avvengono i</w:t>
      </w:r>
      <w:r w:rsidR="004F46A4">
        <w:rPr>
          <w:rFonts w:ascii="Titillium" w:hAnsi="Titillium" w:cs="Calibri"/>
          <w:bCs/>
          <w:iCs/>
          <w:sz w:val="18"/>
          <w:szCs w:val="18"/>
        </w:rPr>
        <w:t xml:space="preserve">n conformità a quanto riportato </w:t>
      </w:r>
      <w:r w:rsidR="004F46A4" w:rsidRPr="004F46A4">
        <w:rPr>
          <w:rFonts w:ascii="Titillium" w:hAnsi="Titillium" w:cs="Calibri"/>
          <w:bCs/>
          <w:iCs/>
          <w:sz w:val="18"/>
          <w:szCs w:val="18"/>
        </w:rPr>
        <w:t>http://intercenter.regione.emilia-romagna.it/agenzia/utilizzo-del-sistema/guide/, che costituisce parte integrante del presente disciplinare.</w:t>
      </w:r>
    </w:p>
    <w:p w:rsidR="00AE28AD" w:rsidRPr="00AF481C" w:rsidRDefault="00AE28AD" w:rsidP="00AE28AD">
      <w:pPr>
        <w:pStyle w:val="Default"/>
      </w:pPr>
      <w:r w:rsidRPr="00AF481C">
        <w:rPr>
          <w:rFonts w:ascii="Titillium" w:eastAsia="Times New Roman" w:hAnsi="Titillium" w:cs="Calibri"/>
          <w:bCs/>
          <w:iCs/>
          <w:color w:val="auto"/>
          <w:sz w:val="18"/>
          <w:szCs w:val="18"/>
        </w:rPr>
        <w:t>L’acquisto, l’installazione e la configurazione dell’</w:t>
      </w:r>
      <w:r w:rsidRPr="00AF481C">
        <w:rPr>
          <w:rFonts w:ascii="Titillium" w:eastAsia="Times New Roman" w:hAnsi="Titillium" w:cs="Calibri"/>
          <w:bCs/>
          <w:i/>
          <w:iCs/>
          <w:color w:val="auto"/>
          <w:sz w:val="18"/>
          <w:szCs w:val="18"/>
        </w:rPr>
        <w:t>hardware</w:t>
      </w:r>
      <w:r w:rsidRPr="00AF481C">
        <w:rPr>
          <w:rFonts w:ascii="Titillium" w:eastAsia="Times New Roman" w:hAnsi="Titillium" w:cs="Calibri"/>
          <w:bCs/>
          <w:iCs/>
          <w:color w:val="auto"/>
          <w:sz w:val="18"/>
          <w:szCs w:val="18"/>
        </w:rPr>
        <w:t xml:space="preserve">, del </w:t>
      </w:r>
      <w:r w:rsidRPr="00AF481C">
        <w:rPr>
          <w:rFonts w:ascii="Titillium" w:eastAsia="Times New Roman" w:hAnsi="Titillium" w:cs="Calibri"/>
          <w:bCs/>
          <w:i/>
          <w:iCs/>
          <w:color w:val="auto"/>
          <w:sz w:val="18"/>
          <w:szCs w:val="18"/>
        </w:rPr>
        <w:t>software</w:t>
      </w:r>
      <w:r w:rsidRPr="00AF481C">
        <w:rPr>
          <w:rFonts w:ascii="Titillium" w:eastAsia="Times New Roman" w:hAnsi="Titillium" w:cs="Calibri"/>
          <w:bCs/>
          <w:iCs/>
          <w:color w:val="auto"/>
          <w:sz w:val="18"/>
          <w:szCs w:val="18"/>
        </w:rPr>
        <w:t xml:space="preserve">, dei certificati digitali di firma, della casella di PEC o comunque di un indirizzo di servizio elettronico di recapito certificato qualificato, nonché dei collegamenti per l’accesso alla rete </w:t>
      </w:r>
      <w:r w:rsidRPr="00AF481C">
        <w:rPr>
          <w:rFonts w:ascii="Titillium" w:eastAsia="Times New Roman" w:hAnsi="Titillium" w:cs="Calibri"/>
          <w:bCs/>
          <w:i/>
          <w:iCs/>
          <w:color w:val="auto"/>
          <w:sz w:val="18"/>
          <w:szCs w:val="18"/>
        </w:rPr>
        <w:t>Internet</w:t>
      </w:r>
      <w:r w:rsidRPr="00AF481C">
        <w:rPr>
          <w:rFonts w:ascii="Titillium" w:eastAsia="Times New Roman" w:hAnsi="Titillium" w:cs="Calibri"/>
          <w:bCs/>
          <w:iCs/>
          <w:color w:val="auto"/>
          <w:sz w:val="18"/>
          <w:szCs w:val="18"/>
        </w:rPr>
        <w:t>, restano a esclusivo carico dell’operatore economico.</w:t>
      </w:r>
    </w:p>
    <w:p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 xml:space="preserve">La PAD è accessibile </w:t>
      </w:r>
      <w:r w:rsidRPr="00AF481C">
        <w:rPr>
          <w:rFonts w:ascii="Titillium" w:eastAsia="Times New Roman" w:hAnsi="Titillium" w:cs="Calibri"/>
          <w:bCs/>
          <w:color w:val="auto"/>
          <w:sz w:val="18"/>
          <w:szCs w:val="18"/>
        </w:rPr>
        <w:t xml:space="preserve">in qualsiasi orario dalla data di pubblicazione del bando alla data di scadenza del termine di presentazione delle offerte </w:t>
      </w:r>
      <w:r w:rsidR="004F46A4" w:rsidRPr="004F46A4">
        <w:rPr>
          <w:rFonts w:ascii="Titillium" w:eastAsia="Times New Roman" w:hAnsi="Titillium" w:cs="Calibri"/>
          <w:bCs/>
          <w:color w:val="auto"/>
          <w:sz w:val="18"/>
          <w:szCs w:val="18"/>
        </w:rPr>
        <w:t>ad eccezione delle ore dedicate all’aggiornamento della Piattaforma espressamente indicate nella stessa (solitamente nel pomeriggio dell’ultimo venerdì del mese)</w:t>
      </w:r>
      <w:r w:rsidR="004F46A4">
        <w:rPr>
          <w:rFonts w:ascii="Titillium" w:eastAsia="Times New Roman" w:hAnsi="Titillium" w:cs="Calibri"/>
          <w:bCs/>
          <w:color w:val="auto"/>
          <w:sz w:val="18"/>
          <w:szCs w:val="18"/>
        </w:rPr>
        <w:t>.</w:t>
      </w:r>
    </w:p>
    <w:p w:rsidR="00AE28AD" w:rsidRPr="00AF481C" w:rsidRDefault="00AE28AD" w:rsidP="00AE28AD">
      <w:pPr>
        <w:pStyle w:val="Default"/>
        <w:rPr>
          <w:rFonts w:ascii="Titillium" w:eastAsia="Times New Roman" w:hAnsi="Titillium" w:cs="Calibri"/>
          <w:bCs/>
          <w:iCs/>
          <w:sz w:val="18"/>
          <w:szCs w:val="18"/>
        </w:rPr>
      </w:pPr>
    </w:p>
    <w:p w:rsidR="00AE28AD" w:rsidRPr="00AF481C" w:rsidRDefault="00AE28AD" w:rsidP="00225033">
      <w:pPr>
        <w:pStyle w:val="Titolo3"/>
        <w:numPr>
          <w:ilvl w:val="1"/>
          <w:numId w:val="3"/>
        </w:numPr>
        <w:ind w:left="426"/>
        <w:rPr>
          <w:rFonts w:ascii="Titillium" w:hAnsi="Titillium"/>
          <w:iCs/>
          <w:caps/>
          <w:sz w:val="18"/>
          <w:szCs w:val="18"/>
        </w:rPr>
      </w:pPr>
      <w:bookmarkStart w:id="35" w:name="_Toc7655658811111"/>
      <w:bookmarkStart w:id="36" w:name="_Toc7655652711111"/>
      <w:bookmarkStart w:id="37" w:name="_Toc7655646611111"/>
      <w:bookmarkStart w:id="38" w:name="_Toc7655640511111"/>
      <w:bookmarkStart w:id="39" w:name="_Toc763991861111111111111111111111"/>
      <w:bookmarkStart w:id="40" w:name="_Toc7655658911111"/>
      <w:bookmarkStart w:id="41" w:name="_Toc7655652811111"/>
      <w:bookmarkStart w:id="42" w:name="_Toc7655646711111"/>
      <w:bookmarkStart w:id="43" w:name="_Toc7655640611111"/>
      <w:bookmarkStart w:id="44" w:name="_Toc763991871111111111111111111111"/>
      <w:bookmarkStart w:id="45" w:name="_Toc7655659011111"/>
      <w:bookmarkStart w:id="46" w:name="_Toc7655652911111"/>
      <w:bookmarkStart w:id="47" w:name="_Toc7655646811111"/>
      <w:bookmarkStart w:id="48" w:name="_Toc7655640711111"/>
      <w:bookmarkStart w:id="49" w:name="_Toc763991881111111111111111111111"/>
      <w:bookmarkStart w:id="50" w:name="_Toc7655659111111"/>
      <w:bookmarkStart w:id="51" w:name="_Toc7655653011111"/>
      <w:bookmarkStart w:id="52" w:name="_Toc7655646911111"/>
      <w:bookmarkStart w:id="53" w:name="_Toc7655640811111"/>
      <w:bookmarkStart w:id="54" w:name="_Toc763991891111111111111111111111"/>
      <w:bookmarkStart w:id="55" w:name="_Toc22308745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AF481C">
        <w:rPr>
          <w:rFonts w:ascii="Titillium" w:hAnsi="Titillium"/>
          <w:iCs/>
          <w:sz w:val="18"/>
          <w:szCs w:val="18"/>
        </w:rPr>
        <w:t>DOTAZIONI TECNICHE</w:t>
      </w:r>
      <w:bookmarkEnd w:id="55"/>
    </w:p>
    <w:p w:rsidR="004F46A4" w:rsidRDefault="00AE28AD" w:rsidP="00AE28AD">
      <w:pPr>
        <w:tabs>
          <w:tab w:val="left" w:pos="709"/>
        </w:tabs>
        <w:spacing w:before="60" w:after="60"/>
        <w:rPr>
          <w:rFonts w:ascii="Titillium" w:hAnsi="Titillium" w:cs="Calibri"/>
          <w:bCs/>
          <w:color w:val="000000"/>
          <w:sz w:val="18"/>
          <w:szCs w:val="18"/>
        </w:rPr>
      </w:pPr>
      <w:r w:rsidRPr="00AF481C">
        <w:rPr>
          <w:rFonts w:ascii="Titillium" w:hAnsi="Titillium" w:cs="Calibri"/>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w:t>
      </w:r>
      <w:r w:rsidR="004F46A4" w:rsidRPr="004F46A4">
        <w:rPr>
          <w:rFonts w:ascii="Titillium" w:hAnsi="Titillium" w:cs="Calibri"/>
          <w:bCs/>
          <w:color w:val="000000"/>
          <w:sz w:val="18"/>
          <w:szCs w:val="18"/>
        </w:rPr>
        <w:t>nei manuali pubblicati sulla piattaforma https://intercent.regione.emilia-romagna.it,  che disciplinano il funzionamento e l’utilizzo della Piattaforma.</w:t>
      </w:r>
    </w:p>
    <w:p w:rsidR="00AE28AD" w:rsidRPr="00AF481C" w:rsidRDefault="00AE28AD" w:rsidP="00AE28AD">
      <w:pPr>
        <w:tabs>
          <w:tab w:val="left" w:pos="709"/>
        </w:tabs>
        <w:spacing w:before="60" w:after="60"/>
        <w:rPr>
          <w:rFonts w:ascii="Titillium" w:hAnsi="Titillium" w:cs="Calibri"/>
          <w:bCs/>
          <w:color w:val="000000"/>
          <w:sz w:val="18"/>
          <w:szCs w:val="18"/>
        </w:rPr>
      </w:pPr>
      <w:r w:rsidRPr="00AF481C">
        <w:rPr>
          <w:rFonts w:ascii="Titillium" w:hAnsi="Titillium" w:cs="Calibri"/>
          <w:bCs/>
          <w:color w:val="000000"/>
          <w:sz w:val="18"/>
          <w:szCs w:val="18"/>
        </w:rPr>
        <w:t>In ogni caso è indispensabile:</w:t>
      </w:r>
    </w:p>
    <w:p w:rsidR="00AE28AD" w:rsidRPr="00AF481C" w:rsidRDefault="00AE28AD" w:rsidP="00225033">
      <w:pPr>
        <w:pStyle w:val="Default"/>
        <w:numPr>
          <w:ilvl w:val="1"/>
          <w:numId w:val="16"/>
        </w:numPr>
        <w:tabs>
          <w:tab w:val="left" w:pos="360"/>
        </w:tabs>
        <w:ind w:left="709" w:hanging="357"/>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disporre almeno di un personal computer conforme agli standard aggiornati di mercato, con connessione internet e dotato di un comune browser idoneo ad operare in modo corretto sulla PAD; </w:t>
      </w:r>
    </w:p>
    <w:p w:rsidR="00AE28AD" w:rsidRPr="00AF481C" w:rsidRDefault="00AE28AD" w:rsidP="67A339AC">
      <w:pPr>
        <w:pStyle w:val="Default"/>
        <w:numPr>
          <w:ilvl w:val="1"/>
          <w:numId w:val="16"/>
        </w:numPr>
        <w:tabs>
          <w:tab w:val="left" w:pos="360"/>
        </w:tabs>
        <w:ind w:left="709" w:hanging="357"/>
        <w:rPr>
          <w:rFonts w:ascii="Titillium" w:eastAsia="Times New Roman" w:hAnsi="Titillium" w:cs="Calibri"/>
          <w:sz w:val="18"/>
          <w:szCs w:val="18"/>
          <w:lang w:eastAsia="en-US"/>
        </w:rPr>
      </w:pPr>
      <w:r w:rsidRPr="00AF481C">
        <w:rPr>
          <w:rFonts w:ascii="Titillium" w:eastAsia="Times New Roman" w:hAnsi="Titillium" w:cs="Calibri"/>
          <w:sz w:val="18"/>
          <w:szCs w:val="18"/>
          <w:lang w:eastAsia="en-US"/>
        </w:rPr>
        <w:t>disporre di un</w:t>
      </w:r>
      <w:r w:rsidR="00CC0A19" w:rsidRPr="00AF481C">
        <w:rPr>
          <w:rFonts w:ascii="Titillium" w:eastAsia="Times New Roman" w:hAnsi="Titillium" w:cs="Calibri"/>
          <w:sz w:val="18"/>
          <w:szCs w:val="18"/>
          <w:lang w:eastAsia="en-US"/>
        </w:rPr>
        <w:t xml:space="preserve">a identità </w:t>
      </w:r>
      <w:r w:rsidR="00E478C8" w:rsidRPr="00AF481C">
        <w:rPr>
          <w:rFonts w:ascii="Titillium" w:eastAsia="Times New Roman" w:hAnsi="Titillium" w:cs="Calibri"/>
          <w:sz w:val="18"/>
          <w:szCs w:val="18"/>
          <w:lang w:eastAsia="en-US"/>
        </w:rPr>
        <w:t xml:space="preserve">digitale SPID (Sistema Pubblico </w:t>
      </w:r>
      <w:r w:rsidR="001D1DCF" w:rsidRPr="00AF481C">
        <w:rPr>
          <w:rFonts w:ascii="Titillium" w:eastAsia="Times New Roman" w:hAnsi="Titillium" w:cs="Calibri"/>
          <w:sz w:val="18"/>
          <w:szCs w:val="18"/>
          <w:lang w:eastAsia="en-US"/>
        </w:rPr>
        <w:t>di Identità Digitale)</w:t>
      </w:r>
      <w:r w:rsidR="00F520F8" w:rsidRPr="00AF481C">
        <w:rPr>
          <w:rFonts w:ascii="Titillium" w:eastAsia="Times New Roman" w:hAnsi="Titillium" w:cs="Calibri"/>
          <w:sz w:val="18"/>
          <w:szCs w:val="18"/>
          <w:lang w:eastAsia="en-US"/>
        </w:rPr>
        <w:t xml:space="preserve">o </w:t>
      </w:r>
      <w:r w:rsidR="00FC2473" w:rsidRPr="00AF481C">
        <w:rPr>
          <w:rFonts w:ascii="Titillium" w:eastAsia="Times New Roman" w:hAnsi="Titillium" w:cs="Calibri"/>
          <w:sz w:val="18"/>
          <w:szCs w:val="18"/>
          <w:lang w:eastAsia="en-US"/>
        </w:rPr>
        <w:t xml:space="preserve">di </w:t>
      </w:r>
      <w:r w:rsidR="00F520F8" w:rsidRPr="00AF481C">
        <w:rPr>
          <w:rFonts w:ascii="Titillium" w:eastAsia="Times New Roman" w:hAnsi="Titillium" w:cs="Calibri"/>
          <w:sz w:val="18"/>
          <w:szCs w:val="18"/>
          <w:lang w:eastAsia="en-US"/>
        </w:rPr>
        <w:t xml:space="preserve">altri mezzi di identificazione elettronica </w:t>
      </w:r>
      <w:r w:rsidR="00C1520F" w:rsidRPr="00AF481C">
        <w:rPr>
          <w:rFonts w:ascii="Titillium" w:eastAsia="Times New Roman" w:hAnsi="Titillium" w:cs="Calibri"/>
          <w:sz w:val="18"/>
          <w:szCs w:val="18"/>
          <w:lang w:eastAsia="en-US"/>
        </w:rPr>
        <w:t xml:space="preserve">(CIE e CNS) </w:t>
      </w:r>
      <w:r w:rsidRPr="00AF481C">
        <w:rPr>
          <w:rFonts w:ascii="Titillium" w:eastAsia="Times New Roman" w:hAnsi="Titillium" w:cs="Calibri"/>
          <w:sz w:val="18"/>
          <w:szCs w:val="18"/>
          <w:lang w:eastAsia="en-US"/>
        </w:rPr>
        <w:t xml:space="preserve">di cui </w:t>
      </w:r>
      <w:r w:rsidRPr="00AF481C">
        <w:rPr>
          <w:rFonts w:ascii="Titillium" w:eastAsia="Times New Roman" w:hAnsi="Titillium" w:cs="Calibri"/>
          <w:sz w:val="18"/>
          <w:szCs w:val="18"/>
          <w:lang w:eastAsia="en-US"/>
        </w:rPr>
        <w:lastRenderedPageBreak/>
        <w:t xml:space="preserve">all’articolo 64 del </w:t>
      </w:r>
      <w:r w:rsidR="005B2418" w:rsidRPr="00AF481C">
        <w:rPr>
          <w:rFonts w:ascii="Titillium" w:eastAsia="Times New Roman" w:hAnsi="Titillium" w:cs="Calibri"/>
          <w:sz w:val="18"/>
          <w:szCs w:val="18"/>
          <w:lang w:eastAsia="en-US"/>
        </w:rPr>
        <w:t>Codice dell'Amministrazione Digitale (</w:t>
      </w:r>
      <w:r w:rsidRPr="00AF481C">
        <w:rPr>
          <w:rFonts w:ascii="Titillium" w:eastAsia="Times New Roman" w:hAnsi="Titillium" w:cs="Calibri"/>
          <w:sz w:val="18"/>
          <w:szCs w:val="18"/>
          <w:lang w:eastAsia="en-US"/>
        </w:rPr>
        <w:t>decreto legislativo 7 marzo 2005, n. 82</w:t>
      </w:r>
      <w:r w:rsidR="00C1520F" w:rsidRPr="00AF481C">
        <w:rPr>
          <w:rFonts w:ascii="Titillium" w:eastAsia="Times New Roman" w:hAnsi="Titillium" w:cs="Calibri"/>
          <w:sz w:val="18"/>
          <w:szCs w:val="18"/>
          <w:lang w:eastAsia="en-US"/>
        </w:rPr>
        <w:t>e successive</w:t>
      </w:r>
      <w:r w:rsidR="00597BD6" w:rsidRPr="00AF481C">
        <w:rPr>
          <w:rFonts w:ascii="Titillium" w:eastAsia="Times New Roman" w:hAnsi="Titillium" w:cs="Calibri"/>
          <w:sz w:val="18"/>
          <w:szCs w:val="18"/>
          <w:lang w:eastAsia="en-US"/>
        </w:rPr>
        <w:t xml:space="preserve"> modificazioni)</w:t>
      </w:r>
      <w:r w:rsidR="00F520F8" w:rsidRPr="00AF481C">
        <w:rPr>
          <w:rFonts w:ascii="Titillium" w:eastAsia="Times New Roman" w:hAnsi="Titillium" w:cs="Calibri"/>
          <w:sz w:val="18"/>
          <w:szCs w:val="18"/>
          <w:lang w:eastAsia="en-US"/>
        </w:rPr>
        <w:t xml:space="preserve">, </w:t>
      </w:r>
      <w:r w:rsidR="00FE5212" w:rsidRPr="00AF481C">
        <w:rPr>
          <w:rFonts w:ascii="Titillium" w:eastAsia="Times New Roman" w:hAnsi="Titillium" w:cs="Calibri"/>
          <w:sz w:val="18"/>
          <w:szCs w:val="18"/>
          <w:lang w:eastAsia="en-US"/>
        </w:rPr>
        <w:t>nonché</w:t>
      </w:r>
      <w:r w:rsidR="007D2E10">
        <w:rPr>
          <w:rFonts w:ascii="Titillium" w:eastAsia="Times New Roman" w:hAnsi="Titillium" w:cs="Calibri"/>
          <w:sz w:val="18"/>
          <w:szCs w:val="18"/>
          <w:lang w:eastAsia="en-US"/>
        </w:rPr>
        <w:t xml:space="preserve"> </w:t>
      </w:r>
      <w:r w:rsidRPr="00AF481C">
        <w:rPr>
          <w:rFonts w:ascii="Titillium" w:eastAsia="Times New Roman" w:hAnsi="Titillium" w:cs="Calibri"/>
          <w:sz w:val="18"/>
          <w:szCs w:val="18"/>
          <w:lang w:eastAsia="en-US"/>
        </w:rPr>
        <w:t>di mezzi di identificazione elettronica per il riconoscimento reciproco transfrontaliero ai sensi del Regolamento eIDAS;</w:t>
      </w:r>
      <w:r w:rsidR="00E1756B" w:rsidRPr="00AF481C">
        <w:rPr>
          <w:rFonts w:ascii="Titillium" w:eastAsia="Times New Roman" w:hAnsi="Titillium" w:cs="Calibri"/>
          <w:sz w:val="18"/>
          <w:szCs w:val="18"/>
          <w:lang w:eastAsia="en-US"/>
        </w:rPr>
        <w:t xml:space="preserve">in caso di operatore economico extra-UE, disporre di un’identità digitale </w:t>
      </w:r>
      <w:r w:rsidR="00AE5335" w:rsidRPr="00AF481C">
        <w:rPr>
          <w:rFonts w:ascii="Titillium" w:hAnsi="Titillium"/>
          <w:sz w:val="18"/>
          <w:szCs w:val="18"/>
        </w:rPr>
        <w:t>compatibile con il framework</w:t>
      </w:r>
      <w:r w:rsidR="00E1756B" w:rsidRPr="00AF481C">
        <w:rPr>
          <w:rFonts w:ascii="Titillium" w:eastAsia="Times New Roman" w:hAnsi="Titillium" w:cs="Calibri"/>
          <w:sz w:val="18"/>
          <w:szCs w:val="18"/>
          <w:lang w:eastAsia="en-US"/>
        </w:rPr>
        <w:t xml:space="preserve"> di autenticazione stabilito dalla PAD di riferimento e caratterizzata da un Level of Assurance (LoA) pari o superiore a 3, in conformità</w:t>
      </w:r>
      <w:r w:rsidR="007D2E10">
        <w:rPr>
          <w:rFonts w:ascii="Titillium" w:eastAsia="Times New Roman" w:hAnsi="Titillium" w:cs="Calibri"/>
          <w:sz w:val="18"/>
          <w:szCs w:val="18"/>
          <w:lang w:eastAsia="en-US"/>
        </w:rPr>
        <w:t xml:space="preserve"> </w:t>
      </w:r>
      <w:r w:rsidR="00E1756B" w:rsidRPr="00AF481C">
        <w:rPr>
          <w:rFonts w:ascii="Titillium" w:eastAsia="Times New Roman" w:hAnsi="Titillium" w:cs="Calibri"/>
          <w:sz w:val="18"/>
          <w:szCs w:val="18"/>
          <w:lang w:eastAsia="en-US"/>
        </w:rPr>
        <w:t xml:space="preserve">allo standard ISO/IEC 29115 </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e relative evoluzioni</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w:t>
      </w:r>
    </w:p>
    <w:p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da parte del legale rappresentante dell’operatore economico (o da persona munita di idonei poteri di firma) un certificato di firma digitale, in corso di validità, rilasciato da:</w:t>
      </w:r>
    </w:p>
    <w:p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organismo incluso nell’elenco pubblico dei certificatori tenuto dall’Agenzia per l’Italia Digitale (previsto dall’articolo 29 del decreto legislativo n. 82/05); </w:t>
      </w:r>
    </w:p>
    <w:p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certificatore operante in base a una licenza o autorizzazione rilasciata da uno Stato membro dell’Unione europea e in possesso dei requisiti previsti dal Regolamento n. 910/14; </w:t>
      </w:r>
    </w:p>
    <w:p w:rsidR="00AE28AD" w:rsidRPr="00AF481C" w:rsidRDefault="00AE28AD" w:rsidP="00225033">
      <w:pPr>
        <w:pStyle w:val="Default"/>
        <w:numPr>
          <w:ilvl w:val="1"/>
          <w:numId w:val="15"/>
        </w:numPr>
        <w:tabs>
          <w:tab w:val="left" w:pos="360"/>
        </w:tabs>
        <w:ind w:left="1134"/>
      </w:pPr>
      <w:r w:rsidRPr="00AF481C">
        <w:rPr>
          <w:rFonts w:ascii="Titillium" w:eastAsia="Times New Roman" w:hAnsi="Titillium" w:cs="Calibri"/>
          <w:bCs/>
          <w:sz w:val="18"/>
          <w:szCs w:val="18"/>
          <w:lang w:eastAsia="en-US"/>
        </w:rPr>
        <w:t>un certificatore stabilito in uno Stato non facente parte dell’Unione europea quando ricorre una delle seguenti condizioni</w:t>
      </w:r>
      <w:r w:rsidRPr="00AF481C">
        <w:rPr>
          <w:rFonts w:ascii="Titillium" w:eastAsia="Times New Roman" w:hAnsi="Titillium" w:cs="Calibri"/>
          <w:bCs/>
          <w:iCs/>
          <w:sz w:val="18"/>
          <w:szCs w:val="18"/>
        </w:rPr>
        <w:t xml:space="preserve">: </w:t>
      </w:r>
    </w:p>
    <w:p w:rsidR="00AE28AD" w:rsidRPr="00AF481C" w:rsidRDefault="00AE28AD" w:rsidP="00BE4F13">
      <w:pPr>
        <w:pStyle w:val="Default"/>
        <w:numPr>
          <w:ilvl w:val="0"/>
          <w:numId w:val="25"/>
        </w:numPr>
      </w:pPr>
      <w:r w:rsidRPr="00AF481C">
        <w:rPr>
          <w:rFonts w:ascii="Titillium" w:eastAsia="Times New Roman" w:hAnsi="Titillium" w:cs="Calibri"/>
          <w:bCs/>
          <w:iCs/>
          <w:sz w:val="18"/>
          <w:szCs w:val="18"/>
        </w:rPr>
        <w:t xml:space="preserve">il certificatore possiede i requisiti previsti dal Regolamento </w:t>
      </w:r>
      <w:r w:rsidRPr="00AF481C">
        <w:rPr>
          <w:rFonts w:ascii="Titillium" w:hAnsi="Titillium" w:cs="Calibri"/>
          <w:bCs/>
          <w:iCs/>
          <w:sz w:val="18"/>
          <w:szCs w:val="18"/>
        </w:rPr>
        <w:t xml:space="preserve">n. 910/14 </w:t>
      </w:r>
      <w:r w:rsidRPr="00AF481C">
        <w:rPr>
          <w:rFonts w:ascii="Titillium" w:eastAsia="Times New Roman" w:hAnsi="Titillium" w:cs="Calibri"/>
          <w:bCs/>
          <w:iCs/>
          <w:sz w:val="18"/>
          <w:szCs w:val="18"/>
        </w:rPr>
        <w:t xml:space="preserve">ed è qualificato in uno stato membro; </w:t>
      </w:r>
    </w:p>
    <w:p w:rsidR="00AE28AD" w:rsidRPr="00AF481C" w:rsidRDefault="00AE28AD" w:rsidP="00BE4F13">
      <w:pPr>
        <w:pStyle w:val="Default"/>
        <w:numPr>
          <w:ilvl w:val="0"/>
          <w:numId w:val="25"/>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è garantito da un certificatore stabilito nell’Unione Europea, in possesso dei requisiti di cui al regolamento n. 9100/14; </w:t>
      </w:r>
    </w:p>
    <w:p w:rsidR="00AE28AD" w:rsidRPr="00AF481C" w:rsidRDefault="00AE28AD" w:rsidP="00BE4F13">
      <w:pPr>
        <w:pStyle w:val="Default"/>
        <w:numPr>
          <w:ilvl w:val="0"/>
          <w:numId w:val="25"/>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o il certificatore, è riconosciuto in forza di un accordo bilaterale o multilaterale tra l’Unione Europea e paesi terzi o organizzazioni internazionali. </w:t>
      </w:r>
    </w:p>
    <w:p w:rsidR="00204A97" w:rsidRPr="00AF481C" w:rsidRDefault="00204A97" w:rsidP="00204A97">
      <w:pPr>
        <w:pStyle w:val="Default"/>
        <w:ind w:left="1277"/>
        <w:rPr>
          <w:rFonts w:ascii="Titillium" w:eastAsia="Times New Roman" w:hAnsi="Titillium" w:cs="Calibri"/>
          <w:bCs/>
          <w:iCs/>
          <w:sz w:val="18"/>
          <w:szCs w:val="18"/>
        </w:rPr>
      </w:pPr>
    </w:p>
    <w:p w:rsidR="00AE28AD" w:rsidRPr="00AF481C" w:rsidRDefault="00AE28AD" w:rsidP="00225033">
      <w:pPr>
        <w:pStyle w:val="Titolo3"/>
        <w:numPr>
          <w:ilvl w:val="1"/>
          <w:numId w:val="3"/>
        </w:numPr>
        <w:ind w:left="426"/>
        <w:rPr>
          <w:rFonts w:ascii="Titillium" w:hAnsi="Titillium"/>
          <w:iCs/>
          <w:caps/>
          <w:sz w:val="18"/>
          <w:szCs w:val="18"/>
        </w:rPr>
      </w:pPr>
      <w:bookmarkStart w:id="56" w:name="_Toc223087460"/>
      <w:r w:rsidRPr="00AF481C">
        <w:rPr>
          <w:rFonts w:ascii="Titillium" w:hAnsi="Titillium"/>
          <w:iCs/>
          <w:sz w:val="18"/>
          <w:szCs w:val="18"/>
        </w:rPr>
        <w:t>IDENTIFICAZIONE</w:t>
      </w:r>
      <w:bookmarkEnd w:id="56"/>
    </w:p>
    <w:p w:rsidR="00AE28AD" w:rsidRPr="00AF481C" w:rsidRDefault="00AE28AD" w:rsidP="00AE28AD">
      <w:pPr>
        <w:rPr>
          <w:rFonts w:ascii="Titillium" w:hAnsi="Titillium" w:cs="Calibri"/>
          <w:bCs/>
          <w:iCs/>
          <w:sz w:val="18"/>
          <w:szCs w:val="18"/>
        </w:rPr>
      </w:pPr>
      <w:r w:rsidRPr="00AF481C">
        <w:rPr>
          <w:rFonts w:ascii="Titillium" w:hAnsi="Titillium" w:cs="Calibri"/>
          <w:bCs/>
          <w:iCs/>
          <w:sz w:val="18"/>
          <w:szCs w:val="18"/>
        </w:rPr>
        <w:t>Per poter presentare offerta è necessario accedere alla PAD.</w:t>
      </w:r>
    </w:p>
    <w:p w:rsidR="00AE28AD" w:rsidRPr="00AF481C" w:rsidRDefault="00AE28AD" w:rsidP="00AE28AD">
      <w:pPr>
        <w:rPr>
          <w:rFonts w:ascii="Titillium" w:hAnsi="Titillium"/>
          <w:sz w:val="18"/>
          <w:szCs w:val="18"/>
        </w:rPr>
      </w:pPr>
      <w:r w:rsidRPr="00AF481C">
        <w:rPr>
          <w:rFonts w:ascii="Titillium" w:hAnsi="Titillium"/>
          <w:sz w:val="18"/>
          <w:szCs w:val="18"/>
        </w:rPr>
        <w:t xml:space="preserve">L’accesso è gratuito ed è consentito a seguito dell’identificazione dell’operatore economico. </w:t>
      </w:r>
    </w:p>
    <w:p w:rsidR="00AE28AD" w:rsidRPr="00AF481C" w:rsidRDefault="00AE28AD" w:rsidP="67A339AC">
      <w:pPr>
        <w:rPr>
          <w:rFonts w:ascii="Titillium" w:hAnsi="Titillium"/>
          <w:sz w:val="18"/>
          <w:szCs w:val="18"/>
        </w:rPr>
      </w:pPr>
      <w:r w:rsidRPr="00AF481C">
        <w:rPr>
          <w:rFonts w:ascii="Titillium" w:hAnsi="Titillium"/>
          <w:sz w:val="18"/>
          <w:szCs w:val="18"/>
        </w:rPr>
        <w:t xml:space="preserve">L’identificazione avviene o mediante </w:t>
      </w:r>
      <w:r w:rsidR="001E5C00" w:rsidRPr="00AF481C">
        <w:rPr>
          <w:rFonts w:ascii="Titillium" w:hAnsi="Titillium"/>
          <w:sz w:val="18"/>
          <w:szCs w:val="18"/>
        </w:rPr>
        <w:t>identità digitale SPID</w:t>
      </w:r>
      <w:r w:rsidR="00F520F8" w:rsidRPr="00AF481C">
        <w:rPr>
          <w:rFonts w:ascii="Titillium" w:hAnsi="Titillium"/>
          <w:sz w:val="18"/>
          <w:szCs w:val="18"/>
        </w:rPr>
        <w:t xml:space="preserve">, </w:t>
      </w:r>
      <w:r w:rsidR="00C634D0" w:rsidRPr="00AF481C">
        <w:rPr>
          <w:rFonts w:ascii="Titillium" w:hAnsi="Titillium"/>
          <w:sz w:val="18"/>
          <w:szCs w:val="18"/>
        </w:rPr>
        <w:t xml:space="preserve">o mediante </w:t>
      </w:r>
      <w:r w:rsidR="00F520F8" w:rsidRPr="00AF481C">
        <w:rPr>
          <w:rFonts w:ascii="Titillium" w:hAnsi="Titillium"/>
          <w:sz w:val="18"/>
          <w:szCs w:val="18"/>
        </w:rPr>
        <w:t>carta d’identità elettronica</w:t>
      </w:r>
      <w:r w:rsidR="00863B16" w:rsidRPr="00AF481C">
        <w:rPr>
          <w:rFonts w:ascii="Titillium" w:hAnsi="Titillium"/>
          <w:sz w:val="18"/>
          <w:szCs w:val="18"/>
        </w:rPr>
        <w:t xml:space="preserve"> (CIE)</w:t>
      </w:r>
      <w:r w:rsidR="00F520F8" w:rsidRPr="00AF481C">
        <w:rPr>
          <w:rFonts w:ascii="Titillium" w:hAnsi="Titillium"/>
          <w:sz w:val="18"/>
          <w:szCs w:val="18"/>
        </w:rPr>
        <w:t xml:space="preserve"> oppure carta nazionale dei servizi</w:t>
      </w:r>
      <w:r w:rsidR="00863B16" w:rsidRPr="00AF481C">
        <w:rPr>
          <w:rFonts w:ascii="Titillium" w:hAnsi="Titillium"/>
          <w:sz w:val="18"/>
          <w:szCs w:val="18"/>
        </w:rPr>
        <w:t xml:space="preserve"> (CNS)</w:t>
      </w:r>
      <w:r w:rsidR="00DD2493" w:rsidRPr="00AF481C">
        <w:rPr>
          <w:rFonts w:ascii="Titillium" w:hAnsi="Titillium"/>
          <w:sz w:val="18"/>
          <w:szCs w:val="18"/>
        </w:rPr>
        <w:t xml:space="preserve">, secondo quanto previsto </w:t>
      </w:r>
      <w:r w:rsidR="00421DCA" w:rsidRPr="00AF481C">
        <w:rPr>
          <w:rFonts w:ascii="Titillium" w:hAnsi="Titillium"/>
          <w:sz w:val="18"/>
          <w:szCs w:val="18"/>
        </w:rPr>
        <w:t xml:space="preserve">dal </w:t>
      </w:r>
      <w:r w:rsidR="00DD2493" w:rsidRPr="00AF481C">
        <w:rPr>
          <w:rFonts w:ascii="Titillium" w:hAnsi="Titillium" w:cs="Calibri"/>
          <w:sz w:val="18"/>
          <w:szCs w:val="18"/>
        </w:rPr>
        <w:t>Codice dell'Amministrazione Digitale (decreto legislativo 7 marzo 2005, n. 82 e successive modificazioni)</w:t>
      </w:r>
      <w:r w:rsidR="00421DCA" w:rsidRPr="00AF481C">
        <w:rPr>
          <w:rFonts w:ascii="Titillium" w:hAnsi="Titillium" w:cs="Calibri"/>
          <w:sz w:val="18"/>
          <w:szCs w:val="18"/>
        </w:rPr>
        <w:t>,</w:t>
      </w:r>
      <w:r w:rsidRPr="00AF481C">
        <w:rPr>
          <w:rFonts w:ascii="Titillium" w:hAnsi="Titillium"/>
          <w:sz w:val="18"/>
          <w:szCs w:val="18"/>
        </w:rPr>
        <w:t>o attraverso gli altri mezzi di identificazione elettronica per il riconoscimento reciproco transfrontaliero ai sensi del Regolamento eIDAS.</w:t>
      </w:r>
      <w:r w:rsidR="00CA36A4" w:rsidRPr="00AF481C">
        <w:rPr>
          <w:rFonts w:ascii="Titillium" w:hAnsi="Titillium"/>
          <w:sz w:val="18"/>
          <w:szCs w:val="18"/>
        </w:rPr>
        <w:t xml:space="preserve"> In caso di operatore economico extra-UE, l’identificazione </w:t>
      </w:r>
      <w:r w:rsidR="00C53C35" w:rsidRPr="00AF481C">
        <w:rPr>
          <w:rFonts w:ascii="Titillium" w:hAnsi="Titillium"/>
          <w:sz w:val="18"/>
          <w:szCs w:val="18"/>
        </w:rPr>
        <w:t xml:space="preserve">avviene attraverso una </w:t>
      </w:r>
      <w:r w:rsidR="00CA36A4" w:rsidRPr="00AF481C">
        <w:rPr>
          <w:rFonts w:ascii="Titillium" w:hAnsi="Titillium"/>
          <w:sz w:val="18"/>
          <w:szCs w:val="18"/>
        </w:rPr>
        <w:t xml:space="preserve">identità digitale </w:t>
      </w:r>
      <w:r w:rsidR="00632A9E" w:rsidRPr="00AF481C">
        <w:rPr>
          <w:rFonts w:ascii="Titillium" w:hAnsi="Titillium"/>
          <w:sz w:val="18"/>
          <w:szCs w:val="18"/>
        </w:rPr>
        <w:t>compatibile con i</w:t>
      </w:r>
      <w:r w:rsidR="00CA36A4" w:rsidRPr="00AF481C">
        <w:rPr>
          <w:rFonts w:ascii="Titillium" w:hAnsi="Titillium"/>
          <w:sz w:val="18"/>
          <w:szCs w:val="18"/>
        </w:rPr>
        <w:t xml:space="preserve">l framework di autenticazione stabilito dalla PAD di riferimento e caratterizzata da un </w:t>
      </w:r>
      <w:r w:rsidR="00B500CD" w:rsidRPr="00AF481C">
        <w:rPr>
          <w:rFonts w:ascii="Titillium" w:hAnsi="Titillium"/>
          <w:sz w:val="18"/>
          <w:szCs w:val="18"/>
        </w:rPr>
        <w:t>Level of Assurance</w:t>
      </w:r>
      <w:r w:rsidR="00CA36A4" w:rsidRPr="00AF481C">
        <w:rPr>
          <w:rFonts w:ascii="Titillium" w:hAnsi="Titillium"/>
          <w:sz w:val="18"/>
          <w:szCs w:val="18"/>
        </w:rPr>
        <w:t xml:space="preserve"> (LoA) pari o superiore a 3, in conformità allo standard ISO/IEC 29115 </w:t>
      </w:r>
      <w:r w:rsidR="009368FD" w:rsidRPr="00AF481C">
        <w:rPr>
          <w:rFonts w:ascii="Titillium" w:hAnsi="Titillium"/>
          <w:sz w:val="18"/>
          <w:szCs w:val="18"/>
        </w:rPr>
        <w:t>(</w:t>
      </w:r>
      <w:r w:rsidR="00CA36A4" w:rsidRPr="00AF481C">
        <w:rPr>
          <w:rFonts w:ascii="Titillium" w:hAnsi="Titillium"/>
          <w:sz w:val="18"/>
          <w:szCs w:val="18"/>
        </w:rPr>
        <w:t>e relative evoluzioni</w:t>
      </w:r>
      <w:r w:rsidR="009368FD" w:rsidRPr="00AF481C">
        <w:rPr>
          <w:rFonts w:ascii="Titillium" w:hAnsi="Titillium"/>
          <w:sz w:val="18"/>
          <w:szCs w:val="18"/>
        </w:rPr>
        <w:t>)</w:t>
      </w:r>
      <w:r w:rsidR="00CA36A4" w:rsidRPr="00AF481C">
        <w:rPr>
          <w:rFonts w:ascii="Titillium" w:hAnsi="Titillium"/>
          <w:sz w:val="18"/>
          <w:szCs w:val="18"/>
        </w:rPr>
        <w:t>.</w:t>
      </w:r>
    </w:p>
    <w:p w:rsidR="003B2934" w:rsidRDefault="00AE28AD" w:rsidP="00AE28AD">
      <w:pPr>
        <w:pStyle w:val="Default"/>
        <w:tabs>
          <w:tab w:val="left" w:pos="0"/>
        </w:tabs>
        <w:spacing w:before="60" w:after="60"/>
        <w:rPr>
          <w:rFonts w:ascii="Titillium" w:hAnsi="Titillium"/>
          <w:sz w:val="18"/>
          <w:szCs w:val="18"/>
        </w:rPr>
      </w:pPr>
      <w:r w:rsidRPr="00AF481C">
        <w:rPr>
          <w:rFonts w:ascii="Titillium" w:hAnsi="Titillium"/>
          <w:sz w:val="18"/>
          <w:szCs w:val="18"/>
        </w:rPr>
        <w:t>Una volta completata la procedura di identificazione, ad ogni operatore economico identificato viene attribuito un profilo da utilizzare nella procedura di gara.</w:t>
      </w:r>
    </w:p>
    <w:p w:rsidR="003B2934" w:rsidRPr="00A804B2" w:rsidRDefault="003B2934" w:rsidP="003B2934">
      <w:pPr>
        <w:pStyle w:val="Default"/>
        <w:tabs>
          <w:tab w:val="left" w:pos="0"/>
        </w:tabs>
        <w:spacing w:before="60" w:after="60"/>
        <w:rPr>
          <w:rFonts w:ascii="Titillium" w:hAnsi="Titillium"/>
          <w:sz w:val="18"/>
          <w:szCs w:val="18"/>
        </w:rPr>
      </w:pPr>
      <w:r w:rsidRPr="00A804B2">
        <w:rPr>
          <w:rFonts w:ascii="Titillium" w:hAnsi="Titillium"/>
          <w:sz w:val="18"/>
          <w:szCs w:val="18"/>
        </w:rPr>
        <w:t>È onere della ditta concorrente provvedere tempestivamente a modificare i recapiti suindicati secondo le modalità esplicitate nelle guide per l'utilizzo della nuova piattaforma “Registrazione e funzioni base” (pag. 39-40 e 45-46 per la modifica di dati non sensibili, es: tel., mail utente) e “Gestione anagrafica” (per la modifica di dati sensibili) accessibili dal sito http://intercenter.regione.emilia-romagna.it/agenzia/utilizzo-del-sistema/guide/.</w:t>
      </w:r>
    </w:p>
    <w:p w:rsidR="003B2934" w:rsidRPr="00A804B2" w:rsidRDefault="003B2934" w:rsidP="003B2934">
      <w:pPr>
        <w:pStyle w:val="Default"/>
        <w:tabs>
          <w:tab w:val="left" w:pos="0"/>
        </w:tabs>
        <w:spacing w:before="60" w:after="60"/>
        <w:rPr>
          <w:rFonts w:ascii="Titillium" w:hAnsi="Titillium"/>
          <w:sz w:val="18"/>
          <w:szCs w:val="18"/>
        </w:rPr>
      </w:pPr>
      <w:r w:rsidRPr="00A804B2">
        <w:rPr>
          <w:rFonts w:ascii="Titillium" w:hAnsi="Titillium"/>
          <w:sz w:val="18"/>
          <w:szCs w:val="18"/>
        </w:rPr>
        <w:t>Eventuali richieste di assistenza di tipo informatico riguardanti l’identificazione e l’accesso alla Piattaforma devono essere effettuate:</w:t>
      </w:r>
    </w:p>
    <w:p w:rsidR="003B2934" w:rsidRPr="00A804B2" w:rsidRDefault="003B2934" w:rsidP="003B2934">
      <w:pPr>
        <w:pStyle w:val="Default"/>
        <w:tabs>
          <w:tab w:val="left" w:pos="0"/>
        </w:tabs>
        <w:spacing w:before="60" w:after="60"/>
        <w:rPr>
          <w:rFonts w:ascii="Titillium" w:hAnsi="Titillium"/>
          <w:sz w:val="18"/>
          <w:szCs w:val="18"/>
        </w:rPr>
      </w:pPr>
      <w:r w:rsidRPr="00A804B2">
        <w:rPr>
          <w:rFonts w:ascii="Titillium" w:hAnsi="Titillium"/>
          <w:sz w:val="18"/>
          <w:szCs w:val="18"/>
        </w:rPr>
        <w:t>Numero Verde: 800 810 799</w:t>
      </w:r>
    </w:p>
    <w:p w:rsidR="003B2934" w:rsidRPr="00A804B2" w:rsidRDefault="003B2934" w:rsidP="003B2934">
      <w:pPr>
        <w:pStyle w:val="Default"/>
        <w:tabs>
          <w:tab w:val="left" w:pos="0"/>
        </w:tabs>
        <w:spacing w:before="60" w:after="60"/>
        <w:rPr>
          <w:rFonts w:ascii="Titillium" w:hAnsi="Titillium"/>
          <w:sz w:val="18"/>
          <w:szCs w:val="18"/>
        </w:rPr>
      </w:pPr>
      <w:r w:rsidRPr="00A804B2">
        <w:rPr>
          <w:rFonts w:ascii="Titillium" w:hAnsi="Titillium"/>
          <w:sz w:val="18"/>
          <w:szCs w:val="18"/>
        </w:rPr>
        <w:t>Tel: +390899712796 Mobile/Estero</w:t>
      </w:r>
    </w:p>
    <w:p w:rsidR="00AE28AD" w:rsidRPr="00A804B2" w:rsidRDefault="003B2934" w:rsidP="003B2934">
      <w:pPr>
        <w:pStyle w:val="Default"/>
        <w:tabs>
          <w:tab w:val="left" w:pos="0"/>
        </w:tabs>
        <w:spacing w:before="60" w:after="60"/>
        <w:rPr>
          <w:rFonts w:ascii="Titillium" w:hAnsi="Titillium"/>
          <w:sz w:val="18"/>
          <w:szCs w:val="18"/>
        </w:rPr>
      </w:pPr>
      <w:r w:rsidRPr="00A804B2">
        <w:rPr>
          <w:rFonts w:ascii="Titillium" w:hAnsi="Titillium"/>
          <w:sz w:val="18"/>
          <w:szCs w:val="18"/>
        </w:rPr>
        <w:t xml:space="preserve">Nei seguenti orari 9.00 – 13.00 / 14.00 – 18.00 oppure inviando una e-mail al </w:t>
      </w:r>
      <w:r w:rsidRPr="00A804B2">
        <w:rPr>
          <w:rFonts w:ascii="Titillium" w:hAnsi="Titillium"/>
          <w:sz w:val="18"/>
          <w:szCs w:val="18"/>
        </w:rPr>
        <w:lastRenderedPageBreak/>
        <w:t xml:space="preserve">seguente indirizzo: info.intercent@regione.emilia-romagna.it. </w:t>
      </w:r>
    </w:p>
    <w:p w:rsidR="00204A97" w:rsidRPr="00AF481C" w:rsidRDefault="00204A97" w:rsidP="00AE28AD">
      <w:pPr>
        <w:tabs>
          <w:tab w:val="left" w:pos="0"/>
        </w:tabs>
        <w:spacing w:before="60" w:after="60"/>
        <w:rPr>
          <w:i/>
        </w:rPr>
      </w:pPr>
    </w:p>
    <w:p w:rsidR="00AE28AD" w:rsidRPr="00AF481C" w:rsidRDefault="00AE28AD" w:rsidP="00604C9A">
      <w:pPr>
        <w:pStyle w:val="Titolo2"/>
        <w:numPr>
          <w:ilvl w:val="0"/>
          <w:numId w:val="3"/>
        </w:numPr>
        <w:rPr>
          <w:caps/>
        </w:rPr>
      </w:pPr>
      <w:bookmarkStart w:id="57" w:name="_Toc482101909"/>
      <w:bookmarkStart w:id="58" w:name="_Toc223087461"/>
      <w:bookmarkEnd w:id="57"/>
      <w:r w:rsidRPr="00AF481C">
        <w:t>DOCUMENTAZIONE DI GARA, CHIARIMENTI E COMUNICAZIONI</w:t>
      </w:r>
      <w:bookmarkEnd w:id="58"/>
    </w:p>
    <w:p w:rsidR="00AE28AD" w:rsidRPr="00AF481C" w:rsidRDefault="00AE28AD" w:rsidP="00225033">
      <w:pPr>
        <w:pStyle w:val="Titolo3"/>
        <w:numPr>
          <w:ilvl w:val="1"/>
          <w:numId w:val="3"/>
        </w:numPr>
        <w:ind w:left="142" w:hanging="142"/>
        <w:rPr>
          <w:rFonts w:ascii="Titillium" w:hAnsi="Titillium"/>
          <w:iCs/>
          <w:sz w:val="18"/>
          <w:szCs w:val="18"/>
        </w:rPr>
      </w:pPr>
      <w:bookmarkStart w:id="59" w:name="_Ref138082059"/>
      <w:bookmarkStart w:id="60" w:name="_Toc223087462"/>
      <w:r w:rsidRPr="00AF481C">
        <w:rPr>
          <w:rFonts w:ascii="Titillium" w:hAnsi="Titillium"/>
          <w:iCs/>
          <w:sz w:val="18"/>
          <w:szCs w:val="18"/>
        </w:rPr>
        <w:t>DOCUMENTI DI GARA</w:t>
      </w:r>
      <w:bookmarkEnd w:id="59"/>
      <w:bookmarkEnd w:id="60"/>
    </w:p>
    <w:p w:rsidR="00AE28AD" w:rsidRPr="00AF481C" w:rsidRDefault="00AE28AD" w:rsidP="00AE28AD">
      <w:pPr>
        <w:spacing w:before="60" w:after="60"/>
        <w:rPr>
          <w:rFonts w:ascii="Titillium" w:hAnsi="Titillium" w:cs="Calibri"/>
          <w:sz w:val="18"/>
          <w:szCs w:val="18"/>
        </w:rPr>
      </w:pP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documentazione di gara comprende:</w:t>
      </w:r>
    </w:p>
    <w:p w:rsidR="00AE28AD" w:rsidRPr="00AF481C" w:rsidRDefault="00F35AEF" w:rsidP="00225033">
      <w:pPr>
        <w:numPr>
          <w:ilvl w:val="2"/>
          <w:numId w:val="17"/>
        </w:numPr>
        <w:spacing w:before="60" w:after="60"/>
        <w:ind w:left="709" w:hanging="283"/>
        <w:rPr>
          <w:rFonts w:ascii="Titillium" w:hAnsi="Titillium" w:cs="Calibri"/>
          <w:bCs/>
          <w:iCs/>
          <w:sz w:val="18"/>
          <w:szCs w:val="18"/>
          <w:lang w:eastAsia="it-IT"/>
        </w:rPr>
      </w:pPr>
      <w:r>
        <w:rPr>
          <w:rFonts w:ascii="Titillium" w:hAnsi="Titillium" w:cs="Calibri"/>
          <w:bCs/>
          <w:iCs/>
          <w:sz w:val="18"/>
          <w:szCs w:val="18"/>
          <w:lang w:eastAsia="it-IT"/>
        </w:rPr>
        <w:t>D</w:t>
      </w:r>
      <w:r w:rsidR="00AE28AD" w:rsidRPr="00AF481C">
        <w:rPr>
          <w:rFonts w:ascii="Titillium" w:hAnsi="Titillium" w:cs="Calibri"/>
          <w:bCs/>
          <w:iCs/>
          <w:sz w:val="18"/>
          <w:szCs w:val="18"/>
          <w:lang w:eastAsia="it-IT"/>
        </w:rPr>
        <w:t xml:space="preserve">isciplinare di gara; </w:t>
      </w:r>
    </w:p>
    <w:p w:rsidR="00AE28AD" w:rsidRDefault="00F35AEF" w:rsidP="00225033">
      <w:pPr>
        <w:numPr>
          <w:ilvl w:val="2"/>
          <w:numId w:val="17"/>
        </w:numPr>
        <w:spacing w:before="60" w:after="60"/>
        <w:ind w:left="709" w:hanging="283"/>
        <w:rPr>
          <w:rFonts w:ascii="Titillium" w:hAnsi="Titillium" w:cs="Calibri"/>
          <w:bCs/>
          <w:iCs/>
          <w:sz w:val="18"/>
          <w:szCs w:val="18"/>
          <w:lang w:eastAsia="it-IT"/>
        </w:rPr>
      </w:pPr>
      <w:r>
        <w:rPr>
          <w:rFonts w:ascii="Titillium" w:hAnsi="Titillium" w:cs="Calibri"/>
          <w:bCs/>
          <w:iCs/>
          <w:sz w:val="18"/>
          <w:szCs w:val="18"/>
          <w:lang w:eastAsia="it-IT"/>
        </w:rPr>
        <w:t>C</w:t>
      </w:r>
      <w:r w:rsidR="00AE28AD" w:rsidRPr="00AF481C">
        <w:rPr>
          <w:rFonts w:ascii="Titillium" w:hAnsi="Titillium" w:cs="Calibri"/>
          <w:bCs/>
          <w:iCs/>
          <w:sz w:val="18"/>
          <w:szCs w:val="18"/>
          <w:lang w:eastAsia="it-IT"/>
        </w:rPr>
        <w:t>apitolato speciale;</w:t>
      </w:r>
    </w:p>
    <w:p w:rsidR="00F35AEF" w:rsidRDefault="00F35AEF" w:rsidP="00225033">
      <w:pPr>
        <w:numPr>
          <w:ilvl w:val="2"/>
          <w:numId w:val="17"/>
        </w:numPr>
        <w:spacing w:before="60" w:after="60"/>
        <w:ind w:left="709" w:hanging="283"/>
        <w:rPr>
          <w:rFonts w:ascii="Titillium" w:hAnsi="Titillium" w:cs="Calibri"/>
          <w:bCs/>
          <w:iCs/>
          <w:sz w:val="18"/>
          <w:szCs w:val="18"/>
          <w:lang w:eastAsia="it-IT"/>
        </w:rPr>
      </w:pPr>
      <w:r>
        <w:rPr>
          <w:rFonts w:ascii="Titillium" w:hAnsi="Titillium" w:cs="Calibri"/>
          <w:bCs/>
          <w:iCs/>
          <w:sz w:val="18"/>
          <w:szCs w:val="18"/>
          <w:lang w:eastAsia="it-IT"/>
        </w:rPr>
        <w:t>Allegato al Capitolato Speciale – Clausole Vessatorie</w:t>
      </w:r>
    </w:p>
    <w:p w:rsidR="00F35AEF" w:rsidRPr="00F35AEF" w:rsidRDefault="00F35AEF" w:rsidP="00F35AEF">
      <w:pPr>
        <w:numPr>
          <w:ilvl w:val="2"/>
          <w:numId w:val="17"/>
        </w:numPr>
        <w:spacing w:before="60" w:after="60"/>
        <w:ind w:left="709" w:hanging="283"/>
        <w:rPr>
          <w:rFonts w:ascii="Titillium" w:hAnsi="Titillium" w:cs="Calibri"/>
          <w:bCs/>
          <w:iCs/>
          <w:sz w:val="18"/>
          <w:szCs w:val="18"/>
          <w:lang w:eastAsia="it-IT"/>
        </w:rPr>
      </w:pPr>
      <w:r w:rsidRPr="00F35AEF">
        <w:rPr>
          <w:rFonts w:ascii="Titillium" w:hAnsi="Titillium" w:cs="Calibri"/>
          <w:bCs/>
          <w:iCs/>
          <w:sz w:val="18"/>
          <w:szCs w:val="18"/>
          <w:lang w:eastAsia="it-IT"/>
        </w:rPr>
        <w:t>Allegato A - domanda di partecipazione;</w:t>
      </w:r>
    </w:p>
    <w:p w:rsidR="00F35AEF" w:rsidRPr="00F35AEF" w:rsidRDefault="00F35AEF" w:rsidP="00F35AEF">
      <w:pPr>
        <w:numPr>
          <w:ilvl w:val="2"/>
          <w:numId w:val="17"/>
        </w:numPr>
        <w:spacing w:before="60" w:after="60"/>
        <w:ind w:left="709" w:hanging="283"/>
        <w:rPr>
          <w:rFonts w:ascii="Titillium" w:hAnsi="Titillium" w:cs="Calibri"/>
          <w:bCs/>
          <w:iCs/>
          <w:sz w:val="18"/>
          <w:szCs w:val="18"/>
          <w:lang w:eastAsia="it-IT"/>
        </w:rPr>
      </w:pPr>
      <w:r w:rsidRPr="00F35AEF">
        <w:rPr>
          <w:rFonts w:ascii="Titillium" w:hAnsi="Titillium" w:cs="Calibri"/>
          <w:bCs/>
          <w:iCs/>
          <w:sz w:val="18"/>
          <w:szCs w:val="18"/>
          <w:lang w:eastAsia="it-IT"/>
        </w:rPr>
        <w:t>Allegato B – dichiarazione di equivalenza CCNL applicato</w:t>
      </w:r>
    </w:p>
    <w:p w:rsidR="00F35AEF" w:rsidRPr="00F35AEF" w:rsidRDefault="00F35AEF" w:rsidP="00F35AEF">
      <w:pPr>
        <w:numPr>
          <w:ilvl w:val="2"/>
          <w:numId w:val="17"/>
        </w:numPr>
        <w:spacing w:before="60" w:after="60"/>
        <w:ind w:left="709" w:hanging="283"/>
        <w:rPr>
          <w:rFonts w:ascii="Titillium" w:hAnsi="Titillium" w:cs="Calibri"/>
          <w:bCs/>
          <w:iCs/>
          <w:sz w:val="18"/>
          <w:szCs w:val="18"/>
          <w:lang w:eastAsia="it-IT"/>
        </w:rPr>
      </w:pPr>
      <w:r w:rsidRPr="00F35AEF">
        <w:rPr>
          <w:rFonts w:ascii="Titillium" w:hAnsi="Titillium" w:cs="Calibri"/>
          <w:bCs/>
          <w:iCs/>
          <w:sz w:val="18"/>
          <w:szCs w:val="18"/>
          <w:lang w:eastAsia="it-IT"/>
        </w:rPr>
        <w:t xml:space="preserve">Codice di Comportamento Aziendale di cui alla Delibera n.40 del 25.01.2024, visualizzabile al link </w:t>
      </w:r>
      <w:hyperlink r:id="rId14" w:history="1">
        <w:r w:rsidRPr="00F35AEF">
          <w:rPr>
            <w:rFonts w:ascii="Titillium" w:hAnsi="Titillium" w:cs="Calibri"/>
            <w:sz w:val="18"/>
            <w:szCs w:val="18"/>
          </w:rPr>
          <w:t>https://www.ausl.bologna.it/pro/codice-di-comportamento/codice-di-comportamento-dellazienda-usl-di-bologna/files/codice_comportamento.pdf</w:t>
        </w:r>
      </w:hyperlink>
    </w:p>
    <w:p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schema di contratto;</w:t>
      </w:r>
    </w:p>
    <w:p w:rsidR="00AE28AD" w:rsidRPr="00AF481C" w:rsidRDefault="003B2934" w:rsidP="00225033">
      <w:pPr>
        <w:numPr>
          <w:ilvl w:val="2"/>
          <w:numId w:val="17"/>
        </w:numPr>
        <w:spacing w:before="60" w:after="60"/>
        <w:ind w:left="709" w:hanging="283"/>
        <w:rPr>
          <w:rFonts w:ascii="Titillium" w:hAnsi="Titillium" w:cs="Calibri"/>
          <w:bCs/>
          <w:iCs/>
          <w:sz w:val="18"/>
          <w:szCs w:val="18"/>
          <w:lang w:eastAsia="it-IT"/>
        </w:rPr>
      </w:pPr>
      <w:r>
        <w:rPr>
          <w:rFonts w:ascii="Titillium" w:hAnsi="Titillium" w:cs="Calibri"/>
          <w:bCs/>
          <w:iCs/>
          <w:sz w:val="18"/>
          <w:szCs w:val="18"/>
          <w:lang w:eastAsia="it-IT"/>
        </w:rPr>
        <w:t>documento di gara unico europe</w:t>
      </w:r>
      <w:r w:rsidR="00FD5C4B">
        <w:rPr>
          <w:rFonts w:ascii="Titillium" w:hAnsi="Titillium" w:cs="Calibri"/>
          <w:bCs/>
          <w:iCs/>
          <w:sz w:val="18"/>
          <w:szCs w:val="18"/>
          <w:lang w:eastAsia="it-IT"/>
        </w:rPr>
        <w:t>o</w:t>
      </w:r>
      <w:r>
        <w:rPr>
          <w:rFonts w:ascii="Titillium" w:hAnsi="Titillium" w:cs="Calibri"/>
          <w:bCs/>
          <w:iCs/>
          <w:sz w:val="18"/>
          <w:szCs w:val="18"/>
          <w:lang w:eastAsia="it-IT"/>
        </w:rPr>
        <w:t>(DGUE) in formato elettronico</w:t>
      </w:r>
      <w:r w:rsidR="00AE28AD" w:rsidRPr="00AF481C">
        <w:rPr>
          <w:rFonts w:ascii="Titillium" w:hAnsi="Titillium" w:cs="Calibri"/>
          <w:bCs/>
          <w:iCs/>
          <w:sz w:val="18"/>
          <w:szCs w:val="18"/>
          <w:lang w:eastAsia="it-IT"/>
        </w:rPr>
        <w:t>;</w:t>
      </w:r>
    </w:p>
    <w:p w:rsidR="00AE28AD" w:rsidRPr="00F35AEF" w:rsidRDefault="00AE28AD" w:rsidP="00225033">
      <w:pPr>
        <w:numPr>
          <w:ilvl w:val="2"/>
          <w:numId w:val="17"/>
        </w:numPr>
        <w:spacing w:before="60" w:after="60"/>
        <w:ind w:left="709" w:hanging="283"/>
        <w:rPr>
          <w:rFonts w:ascii="Titillium" w:eastAsia="Calibri" w:hAnsi="Titillium" w:cs="Book-Antiqua,Bold"/>
          <w:bCs/>
          <w:iCs/>
          <w:color w:val="000000"/>
          <w:sz w:val="18"/>
          <w:szCs w:val="18"/>
          <w:lang w:eastAsia="it-IT"/>
        </w:rPr>
      </w:pPr>
      <w:r w:rsidRPr="00AF481C">
        <w:rPr>
          <w:rFonts w:ascii="Titillium" w:eastAsia="Calibri" w:hAnsi="Titillium" w:cs="Book-Antiqua,Bold"/>
          <w:bCs/>
          <w:iCs/>
          <w:color w:val="000000"/>
          <w:sz w:val="18"/>
          <w:szCs w:val="18"/>
          <w:lang w:eastAsia="it-IT"/>
        </w:rPr>
        <w:t xml:space="preserve">istruzioni operative per accedere alla PAD e regole tecniche per l’utilizzo della stessa </w:t>
      </w:r>
      <w:r w:rsidR="003B2934" w:rsidRPr="004207E6">
        <w:rPr>
          <w:rFonts w:ascii="Titillium" w:eastAsia="Calibri" w:hAnsi="Titillium" w:cs="Book-Antiqua,Bold"/>
          <w:bCs/>
          <w:iCs/>
          <w:color w:val="000000"/>
          <w:sz w:val="18"/>
          <w:szCs w:val="18"/>
          <w:lang w:eastAsia="it-IT"/>
        </w:rPr>
        <w:t xml:space="preserve">di cui al link </w:t>
      </w:r>
      <w:r w:rsidR="003B2934" w:rsidRPr="00F35AEF">
        <w:rPr>
          <w:rFonts w:ascii="Titillium" w:eastAsia="Calibri" w:hAnsi="Titillium" w:cs="Book-Antiqua,Bold"/>
          <w:bCs/>
          <w:iCs/>
          <w:color w:val="000000"/>
          <w:sz w:val="18"/>
          <w:szCs w:val="18"/>
          <w:lang w:eastAsia="it-IT"/>
        </w:rPr>
        <w:t>https://intercenter.regione.emilia-romagna.it</w:t>
      </w:r>
      <w:r w:rsidR="003B2934" w:rsidRPr="004207E6">
        <w:rPr>
          <w:rFonts w:ascii="Titillium" w:eastAsia="Calibri" w:hAnsi="Titillium" w:cs="Book-Antiqua,Bold"/>
          <w:bCs/>
          <w:iCs/>
          <w:color w:val="000000"/>
          <w:sz w:val="18"/>
          <w:szCs w:val="18"/>
          <w:lang w:eastAsia="it-IT"/>
        </w:rPr>
        <w:t xml:space="preserve"> dove è possibile trovare tale documentazione</w:t>
      </w:r>
      <w:r w:rsidR="004207E6">
        <w:rPr>
          <w:rFonts w:ascii="Titillium" w:eastAsia="Calibri" w:hAnsi="Titillium" w:cs="Book-Antiqua,Bold"/>
          <w:bCs/>
          <w:iCs/>
          <w:color w:val="000000"/>
          <w:sz w:val="18"/>
          <w:szCs w:val="18"/>
          <w:lang w:eastAsia="it-IT"/>
        </w:rPr>
        <w:t>;</w:t>
      </w:r>
    </w:p>
    <w:p w:rsidR="00F35AEF" w:rsidRPr="00B2186C" w:rsidRDefault="003B2934" w:rsidP="00B2186C">
      <w:pPr>
        <w:numPr>
          <w:ilvl w:val="2"/>
          <w:numId w:val="17"/>
        </w:numPr>
        <w:spacing w:before="60" w:after="60"/>
        <w:ind w:left="709" w:hanging="283"/>
        <w:rPr>
          <w:rFonts w:ascii="Titillium" w:eastAsia="Calibri" w:hAnsi="Titillium" w:cs="Book-Antiqua,Bold"/>
          <w:bCs/>
          <w:iCs/>
          <w:color w:val="000000"/>
          <w:sz w:val="18"/>
          <w:szCs w:val="18"/>
          <w:lang w:eastAsia="it-IT"/>
        </w:rPr>
      </w:pPr>
      <w:r w:rsidRPr="00F35AEF">
        <w:rPr>
          <w:rFonts w:ascii="Titillium" w:eastAsia="Calibri" w:hAnsi="Titillium" w:cs="Book-Antiqua,Bold"/>
          <w:bCs/>
          <w:iCs/>
          <w:color w:val="000000"/>
          <w:sz w:val="18"/>
          <w:szCs w:val="18"/>
          <w:lang w:eastAsia="it-IT"/>
        </w:rPr>
        <w:t xml:space="preserve">Patto di integrità di cui a delibera n.41 del 30.01.2015 dell’Azienda USL di Bologna di “Aggiornamento del piano triennale per la prevenzione della corruzione e del programma triennale della trasparenza e dell'integrità dell'Azienda USL di Bologna per il triennio 2015/2017 accessibile al seguente link </w:t>
      </w:r>
      <w:hyperlink r:id="rId15" w:history="1">
        <w:r w:rsidRPr="00F35AEF">
          <w:rPr>
            <w:rFonts w:ascii="Titillium" w:eastAsia="Calibri" w:hAnsi="Titillium" w:cs="Book-Antiqua,Bold"/>
            <w:bCs/>
            <w:iCs/>
            <w:color w:val="000000"/>
            <w:sz w:val="18"/>
            <w:szCs w:val="18"/>
            <w:lang w:eastAsia="it-IT"/>
          </w:rPr>
          <w:t>https://www.ausl.bologna.it/asl-bologna/da/uocservizio-acquisti-metropolitano/trasparenza/atti-generali/Pattp%20di%Integrita.pdf/view</w:t>
        </w:r>
      </w:hyperlink>
      <w:r w:rsidR="00F35AEF" w:rsidRPr="00F35AEF">
        <w:rPr>
          <w:rFonts w:ascii="Titillium" w:eastAsia="Calibri" w:hAnsi="Titillium" w:cs="Book-Antiqua,Bold"/>
          <w:bCs/>
          <w:iCs/>
          <w:color w:val="000000"/>
          <w:sz w:val="18"/>
          <w:szCs w:val="18"/>
          <w:lang w:eastAsia="it-IT"/>
        </w:rPr>
        <w:t>;</w:t>
      </w:r>
    </w:p>
    <w:p w:rsidR="00F35AEF" w:rsidRPr="00F35AEF" w:rsidRDefault="00F35AEF" w:rsidP="00F35AEF">
      <w:pPr>
        <w:numPr>
          <w:ilvl w:val="2"/>
          <w:numId w:val="17"/>
        </w:numPr>
        <w:spacing w:before="60" w:after="60"/>
        <w:ind w:left="709" w:hanging="283"/>
        <w:rPr>
          <w:rFonts w:ascii="Titillium" w:hAnsi="Titillium"/>
          <w:bCs/>
          <w:color w:val="000000"/>
          <w:sz w:val="18"/>
          <w:szCs w:val="18"/>
          <w:lang w:eastAsia="it-IT"/>
        </w:rPr>
      </w:pPr>
      <w:r w:rsidRPr="00F35AEF">
        <w:rPr>
          <w:rFonts w:ascii="Titillium" w:hAnsi="Titillium"/>
          <w:bCs/>
          <w:color w:val="000000"/>
          <w:sz w:val="18"/>
          <w:szCs w:val="18"/>
          <w:lang w:eastAsia="it-IT"/>
        </w:rPr>
        <w:t xml:space="preserve">Allegato </w:t>
      </w:r>
      <w:r w:rsidR="00BF259C">
        <w:rPr>
          <w:rFonts w:ascii="Titillium" w:hAnsi="Titillium"/>
          <w:bCs/>
          <w:color w:val="000000"/>
          <w:sz w:val="18"/>
          <w:szCs w:val="18"/>
          <w:lang w:eastAsia="it-IT"/>
        </w:rPr>
        <w:t>S</w:t>
      </w:r>
      <w:r w:rsidRPr="00F35AEF">
        <w:rPr>
          <w:rFonts w:ascii="Titillium" w:hAnsi="Titillium"/>
          <w:bCs/>
          <w:color w:val="000000"/>
          <w:sz w:val="18"/>
          <w:szCs w:val="18"/>
          <w:lang w:eastAsia="it-IT"/>
        </w:rPr>
        <w:t>cheda d’offerta economica;</w:t>
      </w:r>
    </w:p>
    <w:p w:rsidR="00F35AEF" w:rsidRPr="00F35AEF" w:rsidRDefault="00EE5F70" w:rsidP="00F35AEF">
      <w:pPr>
        <w:numPr>
          <w:ilvl w:val="2"/>
          <w:numId w:val="17"/>
        </w:numPr>
        <w:spacing w:before="60" w:after="60"/>
        <w:ind w:left="709" w:hanging="283"/>
        <w:rPr>
          <w:rFonts w:ascii="Titillium" w:hAnsi="Titillium"/>
          <w:bCs/>
          <w:color w:val="000000"/>
          <w:sz w:val="18"/>
          <w:szCs w:val="18"/>
          <w:lang w:eastAsia="it-IT"/>
        </w:rPr>
      </w:pPr>
      <w:r w:rsidRPr="00F35AEF">
        <w:rPr>
          <w:rFonts w:ascii="Titillium" w:hAnsi="Titillium"/>
          <w:bCs/>
          <w:color w:val="000000"/>
          <w:sz w:val="18"/>
          <w:szCs w:val="18"/>
          <w:lang w:eastAsia="it-IT"/>
        </w:rPr>
        <w:t>Allegato 1) Trattamento dei dati</w:t>
      </w:r>
      <w:r w:rsidR="00F35AEF" w:rsidRPr="00F35AEF">
        <w:rPr>
          <w:rFonts w:ascii="Titillium" w:hAnsi="Titillium"/>
          <w:bCs/>
          <w:color w:val="000000"/>
          <w:sz w:val="18"/>
          <w:szCs w:val="18"/>
          <w:lang w:eastAsia="it-IT"/>
        </w:rPr>
        <w:t>;</w:t>
      </w:r>
    </w:p>
    <w:p w:rsidR="00F35AEF" w:rsidRPr="00F35AEF" w:rsidRDefault="00F35AEF" w:rsidP="00F35AEF">
      <w:pPr>
        <w:numPr>
          <w:ilvl w:val="2"/>
          <w:numId w:val="17"/>
        </w:numPr>
        <w:spacing w:before="60" w:after="60"/>
        <w:ind w:left="709" w:hanging="283"/>
        <w:rPr>
          <w:rFonts w:ascii="Titillium" w:hAnsi="Titillium"/>
          <w:bCs/>
          <w:color w:val="000000"/>
          <w:sz w:val="18"/>
          <w:szCs w:val="18"/>
          <w:lang w:eastAsia="it-IT"/>
        </w:rPr>
      </w:pPr>
      <w:r w:rsidRPr="00F35AEF">
        <w:rPr>
          <w:rFonts w:ascii="Titillium" w:hAnsi="Titillium"/>
          <w:bCs/>
          <w:color w:val="000000"/>
          <w:sz w:val="18"/>
          <w:szCs w:val="18"/>
          <w:lang w:eastAsia="it-IT"/>
        </w:rPr>
        <w:t>Allegato 2) Istruzioni trattamento dati;</w:t>
      </w:r>
    </w:p>
    <w:p w:rsidR="00B2186C" w:rsidRDefault="00B2186C" w:rsidP="00B2186C">
      <w:pPr>
        <w:spacing w:before="60" w:after="60"/>
        <w:rPr>
          <w:rFonts w:ascii="Titillium" w:hAnsi="Titillium" w:cs="Calibri"/>
          <w:b/>
          <w:i/>
          <w:iCs/>
          <w:sz w:val="18"/>
          <w:szCs w:val="18"/>
          <w:lang w:eastAsia="it-IT"/>
        </w:rPr>
      </w:pPr>
    </w:p>
    <w:p w:rsidR="00AE28AD" w:rsidRPr="00B2186C" w:rsidRDefault="00AE28AD" w:rsidP="00B2186C">
      <w:pPr>
        <w:spacing w:before="60" w:after="60"/>
        <w:rPr>
          <w:rFonts w:ascii="Titillium" w:hAnsi="Titillium" w:cs="Calibri"/>
          <w:i/>
          <w:sz w:val="18"/>
          <w:szCs w:val="18"/>
        </w:rPr>
      </w:pPr>
      <w:r w:rsidRPr="00B2186C">
        <w:rPr>
          <w:rFonts w:ascii="Titillium" w:hAnsi="Titillium" w:cs="Calibri"/>
          <w:sz w:val="18"/>
          <w:szCs w:val="18"/>
        </w:rPr>
        <w:t xml:space="preserve">La documentazione di gara è accessibile gratuitamente, sul sito istituzionale della stazione appaltante, nella sezione “Amministrazione trasparente”, al seguente link: </w:t>
      </w:r>
      <w:r w:rsidR="003B2934" w:rsidRPr="00B2186C">
        <w:rPr>
          <w:rFonts w:ascii="Titillium" w:hAnsi="Titillium" w:cs="Calibri"/>
          <w:sz w:val="18"/>
          <w:szCs w:val="18"/>
        </w:rPr>
        <w:t>www.ausl.bologna.it - sezione Bandi di gara e contratti – Bandi di gara, mentre è disponibile sul sito https://intercenter.regione.emilia-romagna.it, in quanto per l’espletamento della presente gara l’Azienda USL si avvale del Sistema Informatico per le Procedure Telematiche di Acquisto di Intercent-er.</w:t>
      </w:r>
    </w:p>
    <w:p w:rsidR="00204A97" w:rsidRPr="00AF481C" w:rsidRDefault="00204A97" w:rsidP="00AE28AD">
      <w:pPr>
        <w:spacing w:before="60" w:after="60"/>
        <w:rPr>
          <w:rFonts w:ascii="Titillium" w:hAnsi="Titillium" w:cs="Calibri"/>
          <w:i/>
          <w:sz w:val="18"/>
          <w:szCs w:val="18"/>
        </w:rPr>
      </w:pPr>
    </w:p>
    <w:p w:rsidR="00AE28AD" w:rsidRPr="00AF481C" w:rsidRDefault="00AE28AD" w:rsidP="00225033">
      <w:pPr>
        <w:pStyle w:val="Titolo3"/>
        <w:numPr>
          <w:ilvl w:val="1"/>
          <w:numId w:val="3"/>
        </w:numPr>
        <w:ind w:left="426" w:hanging="426"/>
      </w:pPr>
      <w:bookmarkStart w:id="61" w:name="_Toc223087463"/>
      <w:r w:rsidRPr="00AF481C">
        <w:rPr>
          <w:rFonts w:ascii="Titillium" w:hAnsi="Titillium"/>
          <w:sz w:val="18"/>
          <w:szCs w:val="18"/>
        </w:rPr>
        <w:t>CHIARIMENTI</w:t>
      </w:r>
      <w:bookmarkEnd w:id="61"/>
    </w:p>
    <w:p w:rsidR="00AE28AD" w:rsidRPr="003B2934" w:rsidRDefault="00AE28AD" w:rsidP="003B2934">
      <w:pPr>
        <w:spacing w:before="60" w:after="60"/>
        <w:rPr>
          <w:strike/>
        </w:rPr>
      </w:pPr>
      <w:r w:rsidRPr="00AF481C">
        <w:rPr>
          <w:rFonts w:ascii="Titillium" w:hAnsi="Titillium" w:cs="Calibri"/>
          <w:sz w:val="18"/>
          <w:szCs w:val="18"/>
        </w:rPr>
        <w:t>É possibile ottenere chiarimenti sulla presente procedura mediante la proposizione di quesiti scritti</w:t>
      </w:r>
      <w:r w:rsidR="003B2934">
        <w:rPr>
          <w:rFonts w:ascii="Titillium" w:hAnsi="Titillium" w:cs="Calibri"/>
          <w:sz w:val="18"/>
          <w:szCs w:val="18"/>
        </w:rPr>
        <w:t xml:space="preserve"> in via telematica attraverso al sezione delle Piattaforma riservata alle richieste di chiarimenti:</w:t>
      </w:r>
      <w:r w:rsidR="003B2934" w:rsidRPr="004207E6">
        <w:rPr>
          <w:rFonts w:ascii="Titillium" w:hAnsi="Titillium" w:cs="Calibri"/>
          <w:sz w:val="18"/>
          <w:szCs w:val="18"/>
        </w:rPr>
        <w:t>http://intercenter.regione.emilia-romagna.it/agenzia/utilizzo-del-sistema/guide/guide entro il giorno e l’ora indicata sul portale, previa registrazione alla Piattaforma stessa.</w:t>
      </w:r>
    </w:p>
    <w:p w:rsidR="004207E6" w:rsidRDefault="00AE28AD" w:rsidP="00AE28AD">
      <w:pPr>
        <w:spacing w:before="60" w:after="60"/>
        <w:rPr>
          <w:rFonts w:ascii="Titillium" w:hAnsi="Titillium" w:cs="Calibri"/>
          <w:i/>
          <w:iCs/>
          <w:strike/>
          <w:sz w:val="18"/>
          <w:szCs w:val="18"/>
        </w:rPr>
      </w:pPr>
      <w:r w:rsidRPr="00AF481C">
        <w:rPr>
          <w:rFonts w:ascii="Titillium" w:hAnsi="Titillium" w:cs="Calibri"/>
          <w:sz w:val="18"/>
          <w:szCs w:val="18"/>
        </w:rPr>
        <w:t xml:space="preserve">Le richieste di chiarimenti e le relative risposte sono formulate esclusivamente in lingua italiana </w:t>
      </w:r>
    </w:p>
    <w:p w:rsidR="00AE28AD" w:rsidRPr="00AF481C" w:rsidRDefault="00AE28AD" w:rsidP="00AE28AD">
      <w:pPr>
        <w:spacing w:before="60" w:after="60"/>
      </w:pPr>
      <w:r w:rsidRPr="00AF481C">
        <w:rPr>
          <w:rFonts w:ascii="Titillium" w:hAnsi="Titillium" w:cs="Calibri"/>
          <w:sz w:val="18"/>
          <w:szCs w:val="18"/>
        </w:rPr>
        <w:t xml:space="preserve">Le risposte alle richieste di chiarimenti presentate in tempo utile sono fornite in formato elettronico almeno 6 giorniprima della scadenza del termine fissato per la presentazione delle offerte, mediante pubblicazione delle richieste in forma anonima e delle relative risposte sulla PAD </w:t>
      </w:r>
      <w:r w:rsidR="003B2934" w:rsidRPr="004207E6">
        <w:rPr>
          <w:rFonts w:ascii="Titillium" w:hAnsi="Titillium" w:cs="Calibri"/>
          <w:sz w:val="18"/>
          <w:szCs w:val="18"/>
        </w:rPr>
        <w:t>http://intercenter.regione.emilia-romagna.it/agenzia/utilizzo-del-sistema/guide/guide e sul sito istituzionale www.ausl.bologna.it, sezione bandi di gara e contratti, bandi di gara</w:t>
      </w:r>
      <w:r w:rsidR="004207E6">
        <w:rPr>
          <w:rFonts w:ascii="Titillium" w:hAnsi="Titillium" w:cs="Calibri"/>
          <w:b/>
          <w:sz w:val="18"/>
          <w:szCs w:val="18"/>
        </w:rPr>
        <w:t xml:space="preserve">. </w:t>
      </w:r>
      <w:r w:rsidRPr="00AF481C">
        <w:rPr>
          <w:rFonts w:ascii="Titillium" w:hAnsi="Titillium" w:cs="Calibri"/>
          <w:sz w:val="18"/>
          <w:szCs w:val="18"/>
        </w:rPr>
        <w:t>Si invitano i concorrenti a visionare costantemente tale sezione della PAD o il sito istituzionale.</w:t>
      </w:r>
    </w:p>
    <w:p w:rsidR="00F35AEF" w:rsidRDefault="00F35AEF" w:rsidP="00AE28AD">
      <w:pPr>
        <w:spacing w:before="60" w:after="60"/>
        <w:rPr>
          <w:rFonts w:ascii="Titillium" w:hAnsi="Titillium" w:cs="Calibri"/>
          <w:b/>
          <w:i/>
          <w:sz w:val="18"/>
          <w:szCs w:val="18"/>
        </w:rPr>
      </w:pPr>
      <w:r w:rsidRPr="00F35AEF">
        <w:rPr>
          <w:rFonts w:ascii="Titillium" w:hAnsi="Titillium" w:cs="Calibri"/>
          <w:b/>
          <w:i/>
          <w:sz w:val="18"/>
          <w:szCs w:val="18"/>
        </w:rPr>
        <w:lastRenderedPageBreak/>
        <w:t>Si invitano i concorrenti a visionare costantemente tale sezione della Piattaforma o il sito istituzionale.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viene fornita risposta alle richieste presentate con modalità diverse da quelle sopra indicate.</w:t>
      </w:r>
    </w:p>
    <w:p w:rsidR="00AE28AD" w:rsidRPr="00AF481C" w:rsidRDefault="00AE28AD" w:rsidP="00AE28AD">
      <w:pPr>
        <w:spacing w:before="60" w:after="60"/>
        <w:rPr>
          <w:rFonts w:ascii="Titillium" w:hAnsi="Titillium" w:cs="Calibri"/>
          <w:sz w:val="18"/>
          <w:szCs w:val="18"/>
        </w:rPr>
      </w:pPr>
    </w:p>
    <w:p w:rsidR="00AE28AD" w:rsidRPr="00AF481C" w:rsidRDefault="00AE28AD" w:rsidP="00225033">
      <w:pPr>
        <w:pStyle w:val="Titolo3"/>
        <w:numPr>
          <w:ilvl w:val="1"/>
          <w:numId w:val="3"/>
        </w:numPr>
        <w:ind w:left="426" w:hanging="426"/>
        <w:rPr>
          <w:rFonts w:ascii="Titillium" w:hAnsi="Titillium"/>
          <w:caps/>
          <w:sz w:val="18"/>
          <w:szCs w:val="18"/>
        </w:rPr>
      </w:pPr>
      <w:bookmarkStart w:id="62" w:name="_Ref132304898"/>
      <w:bookmarkStart w:id="63" w:name="_Toc223087464"/>
      <w:r w:rsidRPr="00AF481C">
        <w:rPr>
          <w:rFonts w:ascii="Titillium" w:hAnsi="Titillium"/>
          <w:sz w:val="18"/>
          <w:szCs w:val="18"/>
        </w:rPr>
        <w:t>COMUNICAZIONI</w:t>
      </w:r>
      <w:bookmarkEnd w:id="62"/>
      <w:bookmarkEnd w:id="63"/>
    </w:p>
    <w:p w:rsidR="00AE28AD" w:rsidRPr="00AF481C" w:rsidRDefault="00AE28AD" w:rsidP="00AE28AD">
      <w:pPr>
        <w:rPr>
          <w:rFonts w:ascii="Titillium" w:hAnsi="Titillium"/>
          <w:sz w:val="18"/>
          <w:szCs w:val="18"/>
        </w:rPr>
      </w:pPr>
      <w:r w:rsidRPr="00AF481C">
        <w:rPr>
          <w:rFonts w:ascii="Titillium" w:hAnsi="Titillium"/>
          <w:sz w:val="18"/>
          <w:szCs w:val="18"/>
        </w:rPr>
        <w:t>Tutte le comunicazioni e gli scambi di informazioni tra stazione appaltante e operatori economici sono eseguiti in conformità con quanto disposto dal decreto legislativo n. 82/05, tramite la PAD e, per quanto non previsto dalle stess</w:t>
      </w:r>
      <w:r w:rsidR="00AE3B9F" w:rsidRPr="00AF481C">
        <w:rPr>
          <w:rFonts w:ascii="Titillium" w:hAnsi="Titillium"/>
          <w:sz w:val="18"/>
          <w:szCs w:val="18"/>
        </w:rPr>
        <w:t xml:space="preserve">a </w:t>
      </w:r>
      <w:r w:rsidR="00392C72" w:rsidRPr="00AF481C">
        <w:rPr>
          <w:rFonts w:ascii="Titillium" w:hAnsi="Titillium"/>
          <w:sz w:val="18"/>
          <w:szCs w:val="18"/>
        </w:rPr>
        <w:t>piattaform</w:t>
      </w:r>
      <w:r w:rsidR="00AE3B9F" w:rsidRPr="00AF481C">
        <w:rPr>
          <w:rFonts w:ascii="Titillium" w:hAnsi="Titillium"/>
          <w:sz w:val="18"/>
          <w:szCs w:val="18"/>
        </w:rPr>
        <w:t>a</w:t>
      </w:r>
      <w:r w:rsidR="00392C72" w:rsidRPr="00AF481C">
        <w:rPr>
          <w:rFonts w:ascii="Titillium" w:hAnsi="Titillium"/>
          <w:sz w:val="18"/>
          <w:szCs w:val="18"/>
        </w:rPr>
        <w:t>,</w:t>
      </w:r>
      <w:r w:rsidRPr="00AF481C">
        <w:rPr>
          <w:rFonts w:ascii="Titillium" w:hAnsi="Titillium"/>
          <w:sz w:val="18"/>
          <w:szCs w:val="18"/>
        </w:rPr>
        <w:t xml:space="preserv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rsidR="00AE28AD" w:rsidRPr="00AF481C" w:rsidRDefault="00AE28AD" w:rsidP="00AE28AD">
      <w:r w:rsidRPr="00AF481C">
        <w:rPr>
          <w:rFonts w:ascii="Titillium" w:hAnsi="Titillium"/>
          <w:sz w:val="18"/>
          <w:szCs w:val="18"/>
        </w:rPr>
        <w:t>In caso di malfunzionamento della PAD, la stazione appaltante provvederà all’invio di qualsiasi comunicazione al domicilio digitale presente negli indici di cui ai richiamati articoli 6-bis,6-ter, 6-quater del decreto legislativo n. 82/05.</w:t>
      </w:r>
    </w:p>
    <w:p w:rsidR="00AE28AD" w:rsidRPr="00AF481C" w:rsidRDefault="00AE28AD" w:rsidP="00AE28AD">
      <w:pPr>
        <w:spacing w:before="60" w:after="60"/>
      </w:pPr>
      <w:r w:rsidRPr="00AF481C">
        <w:rPr>
          <w:rFonts w:ascii="Titillium" w:hAnsi="Titillium"/>
          <w:sz w:val="18"/>
          <w:szCs w:val="18"/>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rsidR="00AE28AD" w:rsidRPr="00AF481C" w:rsidRDefault="00AE28AD" w:rsidP="00AE28AD">
      <w:pPr>
        <w:spacing w:before="60" w:after="60"/>
      </w:pPr>
      <w:r w:rsidRPr="00AF481C">
        <w:rPr>
          <w:rFonts w:ascii="Titillium" w:hAnsi="Titillium"/>
          <w:sz w:val="18"/>
          <w:szCs w:val="18"/>
        </w:rPr>
        <w:t>In caso di consorzi di cui all’art. 65 lett. b), c), d) del Codice, la comunicazione recapitata nei modi sopra indicati al consorzio si intende validamente resa a tutte le consorziate.</w:t>
      </w:r>
    </w:p>
    <w:p w:rsidR="00AE28AD" w:rsidRPr="00AF481C" w:rsidRDefault="00AE28AD" w:rsidP="00AE28AD">
      <w:pPr>
        <w:spacing w:before="60" w:after="60"/>
      </w:pPr>
      <w:r w:rsidRPr="00AF481C">
        <w:rPr>
          <w:rFonts w:ascii="Titillium" w:hAnsi="Titillium"/>
          <w:sz w:val="18"/>
          <w:szCs w:val="18"/>
        </w:rPr>
        <w:t>In caso di avvalimento, la comunicazione recapitata all’offerente nei modi sopra indicati si intende validamente resa a tutti gli operatori economici ausiliari.</w:t>
      </w:r>
    </w:p>
    <w:p w:rsidR="00AE28AD" w:rsidRPr="00AF481C" w:rsidRDefault="00AE28AD" w:rsidP="00AE28AD">
      <w:pPr>
        <w:spacing w:before="60" w:after="60"/>
      </w:pPr>
    </w:p>
    <w:p w:rsidR="00AE28AD" w:rsidRPr="00AF481C" w:rsidRDefault="00AE28AD" w:rsidP="00604C9A">
      <w:pPr>
        <w:pStyle w:val="Titolo2"/>
        <w:numPr>
          <w:ilvl w:val="0"/>
          <w:numId w:val="3"/>
        </w:numPr>
      </w:pPr>
      <w:bookmarkStart w:id="64" w:name="_Toc416423353"/>
      <w:bookmarkStart w:id="65" w:name="_Toc406754168"/>
      <w:bookmarkStart w:id="66" w:name="_Toc406058367"/>
      <w:bookmarkStart w:id="67" w:name="_Toc403471261"/>
      <w:bookmarkStart w:id="68" w:name="_Toc397422854"/>
      <w:bookmarkStart w:id="69" w:name="_Toc397346813"/>
      <w:bookmarkStart w:id="70" w:name="_Toc393706898"/>
      <w:bookmarkStart w:id="71" w:name="_Toc393700825"/>
      <w:bookmarkStart w:id="72" w:name="_Toc393283166"/>
      <w:bookmarkStart w:id="73" w:name="_Toc393272650"/>
      <w:bookmarkStart w:id="74" w:name="_Toc393272592"/>
      <w:bookmarkStart w:id="75" w:name="_Toc393187836"/>
      <w:bookmarkStart w:id="76" w:name="_Toc393112119"/>
      <w:bookmarkStart w:id="77" w:name="_Toc393110555"/>
      <w:bookmarkStart w:id="78" w:name="_Toc392577488"/>
      <w:bookmarkStart w:id="79" w:name="_Ref498597801"/>
      <w:bookmarkStart w:id="80" w:name="_Ref131768152"/>
      <w:bookmarkStart w:id="81" w:name="_Ref132303600"/>
      <w:bookmarkStart w:id="82" w:name="_Ref132304546"/>
      <w:bookmarkStart w:id="83" w:name="_Ref132304635"/>
      <w:bookmarkStart w:id="84" w:name="_Toc223087465"/>
      <w:r w:rsidRPr="00AF481C">
        <w:t>OGGETTO DELL’APPALTO, IMPORTO E SUDDIVISIONE IN LOTTI</w:t>
      </w:r>
      <w:bookmarkEnd w:id="27"/>
      <w:bookmarkEnd w:id="28"/>
      <w:bookmarkEnd w:id="29"/>
      <w:bookmarkEnd w:id="3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AE28AD" w:rsidRPr="00AF481C" w:rsidRDefault="00AE28AD" w:rsidP="00AE28AD">
      <w:pPr>
        <w:spacing w:before="60" w:after="60"/>
        <w:rPr>
          <w:rFonts w:ascii="Titillium" w:hAnsi="Titillium"/>
          <w:sz w:val="18"/>
          <w:szCs w:val="18"/>
        </w:rPr>
      </w:pPr>
      <w:r w:rsidRPr="00AF481C">
        <w:rPr>
          <w:rFonts w:ascii="Titillium" w:hAnsi="Titillium"/>
          <w:sz w:val="18"/>
          <w:szCs w:val="18"/>
        </w:rPr>
        <w:t>L’appalto</w:t>
      </w:r>
      <w:r w:rsidR="00F35AEF">
        <w:rPr>
          <w:rFonts w:ascii="Titillium" w:hAnsi="Titillium"/>
          <w:sz w:val="18"/>
          <w:szCs w:val="18"/>
        </w:rPr>
        <w:t xml:space="preserve"> è costituito da un unico lotto</w:t>
      </w:r>
      <w:r w:rsidR="00F35AEF" w:rsidRPr="00F35AEF">
        <w:rPr>
          <w:rFonts w:ascii="Titillium" w:hAnsi="Titillium"/>
          <w:sz w:val="18"/>
          <w:szCs w:val="18"/>
        </w:rPr>
        <w:t>, poiché il servizio e le prestazioni correlate non risultano suddivisibili né utilmente disaggregabili da un punto di vista economico.</w:t>
      </w:r>
    </w:p>
    <w:p w:rsidR="00AE28AD" w:rsidRPr="00AF481C" w:rsidRDefault="00AE28AD" w:rsidP="00AE28AD">
      <w:pPr>
        <w:spacing w:before="60" w:after="60"/>
      </w:pPr>
      <w:r w:rsidRPr="00AF481C">
        <w:rPr>
          <w:rFonts w:ascii="Titillium" w:hAnsi="Titillium"/>
          <w:sz w:val="18"/>
          <w:szCs w:val="18"/>
        </w:rPr>
        <w:t>Tabella 1</w:t>
      </w:r>
    </w:p>
    <w:tbl>
      <w:tblPr>
        <w:tblW w:w="9322" w:type="dxa"/>
        <w:tblInd w:w="-108" w:type="dxa"/>
        <w:tblLook w:val="04A0"/>
      </w:tblPr>
      <w:tblGrid>
        <w:gridCol w:w="608"/>
        <w:gridCol w:w="3457"/>
        <w:gridCol w:w="1405"/>
        <w:gridCol w:w="815"/>
        <w:gridCol w:w="1524"/>
        <w:gridCol w:w="1513"/>
      </w:tblGrid>
      <w:tr w:rsidR="00AE28AD" w:rsidRPr="00AF481C" w:rsidTr="00F35AEF">
        <w:tc>
          <w:tcPr>
            <w:tcW w:w="632" w:type="dxa"/>
            <w:tcBorders>
              <w:top w:val="single" w:sz="4" w:space="0" w:color="000000"/>
              <w:left w:val="single" w:sz="4" w:space="0" w:color="000000"/>
              <w:bottom w:val="single" w:sz="4" w:space="0" w:color="000000"/>
              <w:right w:val="single" w:sz="4" w:space="0" w:color="000000"/>
            </w:tcBorders>
            <w:shd w:val="clear" w:color="auto" w:fill="D9D9D9"/>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n.</w:t>
            </w:r>
          </w:p>
        </w:tc>
        <w:tc>
          <w:tcPr>
            <w:tcW w:w="39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E28AD" w:rsidRPr="00AF481C" w:rsidRDefault="00AE28AD" w:rsidP="00F3762C">
            <w:pPr>
              <w:spacing w:before="60" w:after="60"/>
              <w:jc w:val="center"/>
              <w:rPr>
                <w:rFonts w:ascii="Titillium" w:hAnsi="Titillium"/>
                <w:sz w:val="18"/>
                <w:szCs w:val="18"/>
              </w:rPr>
            </w:pPr>
            <w:bookmarkStart w:id="85" w:name="_Hlk132095196"/>
            <w:r w:rsidRPr="00AF481C">
              <w:rPr>
                <w:rFonts w:ascii="Titillium" w:hAnsi="Titillium"/>
                <w:sz w:val="18"/>
                <w:szCs w:val="18"/>
              </w:rPr>
              <w:t>Descrizione servizi/beni/lavori</w:t>
            </w:r>
          </w:p>
        </w:tc>
        <w:tc>
          <w:tcPr>
            <w:tcW w:w="14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CPV</w:t>
            </w:r>
          </w:p>
        </w:tc>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ATECO</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P (principale)</w:t>
            </w:r>
          </w:p>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S (secondaria)</w:t>
            </w:r>
          </w:p>
        </w:tc>
        <w:tc>
          <w:tcPr>
            <w:tcW w:w="9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Importo</w:t>
            </w:r>
          </w:p>
        </w:tc>
      </w:tr>
      <w:tr w:rsidR="00AE28AD" w:rsidRPr="00AF481C" w:rsidTr="00F35AEF">
        <w:tc>
          <w:tcPr>
            <w:tcW w:w="632" w:type="dxa"/>
            <w:tcBorders>
              <w:top w:val="single" w:sz="4" w:space="0" w:color="000000"/>
              <w:left w:val="single" w:sz="4" w:space="0" w:color="000000"/>
              <w:bottom w:val="single" w:sz="4" w:space="0" w:color="000000"/>
              <w:right w:val="single" w:sz="4" w:space="0" w:color="000000"/>
            </w:tcBorders>
          </w:tcPr>
          <w:p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1</w:t>
            </w:r>
          </w:p>
        </w:tc>
        <w:tc>
          <w:tcPr>
            <w:tcW w:w="3970" w:type="dxa"/>
            <w:tcBorders>
              <w:top w:val="single" w:sz="4" w:space="0" w:color="000000"/>
              <w:left w:val="single" w:sz="4" w:space="0" w:color="000000"/>
              <w:bottom w:val="single" w:sz="4" w:space="0" w:color="000000"/>
              <w:right w:val="single" w:sz="4" w:space="0" w:color="000000"/>
            </w:tcBorders>
            <w:vAlign w:val="center"/>
          </w:tcPr>
          <w:p w:rsidR="00AE28AD" w:rsidRPr="00AF481C" w:rsidRDefault="00F35AEF" w:rsidP="007D2E10">
            <w:pPr>
              <w:autoSpaceDE w:val="0"/>
              <w:autoSpaceDN w:val="0"/>
              <w:adjustRightInd w:val="0"/>
              <w:spacing w:line="240" w:lineRule="auto"/>
              <w:jc w:val="left"/>
              <w:rPr>
                <w:rFonts w:ascii="Titillium" w:hAnsi="Titillium"/>
                <w:sz w:val="18"/>
                <w:szCs w:val="18"/>
              </w:rPr>
            </w:pPr>
            <w:r w:rsidRPr="00F35AEF">
              <w:rPr>
                <w:rFonts w:ascii="Titillium" w:hAnsi="Titillium"/>
                <w:sz w:val="18"/>
                <w:szCs w:val="18"/>
              </w:rPr>
              <w:t>ser</w:t>
            </w:r>
            <w:r>
              <w:rPr>
                <w:rFonts w:ascii="Titillium" w:hAnsi="Titillium"/>
                <w:sz w:val="18"/>
                <w:szCs w:val="18"/>
              </w:rPr>
              <w:t xml:space="preserve">vizio di recupero stragiudiziale </w:t>
            </w:r>
            <w:r w:rsidRPr="00F35AEF">
              <w:rPr>
                <w:rFonts w:ascii="Titillium" w:hAnsi="Titillium"/>
                <w:sz w:val="18"/>
                <w:szCs w:val="18"/>
              </w:rPr>
              <w:t>all’estero ed in Italia dei crediti</w:t>
            </w:r>
            <w:r w:rsidR="007D2E10">
              <w:rPr>
                <w:rFonts w:ascii="Titillium" w:hAnsi="Titillium"/>
                <w:sz w:val="18"/>
                <w:szCs w:val="18"/>
              </w:rPr>
              <w:t xml:space="preserve"> </w:t>
            </w:r>
            <w:r w:rsidRPr="00F35AEF">
              <w:rPr>
                <w:rFonts w:ascii="Titillium" w:hAnsi="Titillium"/>
                <w:sz w:val="18"/>
                <w:szCs w:val="18"/>
              </w:rPr>
              <w:t>erogat</w:t>
            </w:r>
            <w:r w:rsidR="007D2E10">
              <w:rPr>
                <w:rFonts w:ascii="Titillium" w:hAnsi="Titillium"/>
                <w:sz w:val="18"/>
                <w:szCs w:val="18"/>
              </w:rPr>
              <w:t>i</w:t>
            </w:r>
            <w:r w:rsidRPr="00F35AEF">
              <w:rPr>
                <w:rFonts w:ascii="Titillium" w:hAnsi="Titillium"/>
                <w:sz w:val="18"/>
                <w:szCs w:val="18"/>
              </w:rPr>
              <w:t xml:space="preserve"> a cittadini stranieri residenti in </w:t>
            </w:r>
            <w:r>
              <w:rPr>
                <w:rFonts w:ascii="Titillium" w:hAnsi="Titillium"/>
                <w:sz w:val="18"/>
                <w:szCs w:val="18"/>
              </w:rPr>
              <w:t>I</w:t>
            </w:r>
            <w:r w:rsidRPr="00F35AEF">
              <w:rPr>
                <w:rFonts w:ascii="Titillium" w:hAnsi="Titillium"/>
                <w:sz w:val="18"/>
                <w:szCs w:val="18"/>
              </w:rPr>
              <w:t>talia o all’estero e a cittadini italiani residenti all’estero</w:t>
            </w:r>
          </w:p>
        </w:tc>
        <w:tc>
          <w:tcPr>
            <w:tcW w:w="1405" w:type="dxa"/>
            <w:tcBorders>
              <w:top w:val="single" w:sz="4" w:space="0" w:color="000000"/>
              <w:left w:val="single" w:sz="4" w:space="0" w:color="000000"/>
              <w:bottom w:val="single" w:sz="4" w:space="0" w:color="000000"/>
              <w:right w:val="single" w:sz="4" w:space="0" w:color="000000"/>
            </w:tcBorders>
            <w:vAlign w:val="center"/>
          </w:tcPr>
          <w:p w:rsidR="00F35AEF" w:rsidRPr="00F35AEF" w:rsidRDefault="00F35AEF" w:rsidP="00F35AEF">
            <w:pPr>
              <w:spacing w:before="60" w:after="60"/>
              <w:jc w:val="center"/>
              <w:rPr>
                <w:rFonts w:ascii="Titillium" w:hAnsi="Titillium"/>
                <w:sz w:val="18"/>
                <w:szCs w:val="18"/>
              </w:rPr>
            </w:pPr>
            <w:r w:rsidRPr="00F35AEF">
              <w:rPr>
                <w:rFonts w:ascii="Titillium" w:hAnsi="Titillium"/>
                <w:sz w:val="18"/>
                <w:szCs w:val="18"/>
              </w:rPr>
              <w:t>79940000-</w:t>
            </w:r>
          </w:p>
          <w:p w:rsidR="00F35AEF" w:rsidRPr="00F35AEF" w:rsidRDefault="00F35AEF" w:rsidP="00F35AEF">
            <w:pPr>
              <w:spacing w:before="60" w:after="60"/>
              <w:jc w:val="center"/>
              <w:rPr>
                <w:rFonts w:ascii="Titillium" w:hAnsi="Titillium"/>
                <w:sz w:val="18"/>
                <w:szCs w:val="18"/>
              </w:rPr>
            </w:pPr>
            <w:r w:rsidRPr="00F35AEF">
              <w:rPr>
                <w:rFonts w:ascii="Titillium" w:hAnsi="Titillium"/>
                <w:sz w:val="18"/>
                <w:szCs w:val="18"/>
              </w:rPr>
              <w:t>5 Servizi di</w:t>
            </w:r>
          </w:p>
          <w:p w:rsidR="00F35AEF" w:rsidRPr="00F35AEF" w:rsidRDefault="00F35AEF" w:rsidP="00F35AEF">
            <w:pPr>
              <w:spacing w:before="60" w:after="60"/>
              <w:jc w:val="center"/>
              <w:rPr>
                <w:rFonts w:ascii="Titillium" w:hAnsi="Titillium"/>
                <w:sz w:val="18"/>
                <w:szCs w:val="18"/>
              </w:rPr>
            </w:pPr>
            <w:r w:rsidRPr="00F35AEF">
              <w:rPr>
                <w:rFonts w:ascii="Titillium" w:hAnsi="Titillium"/>
                <w:sz w:val="18"/>
                <w:szCs w:val="18"/>
              </w:rPr>
              <w:t>organismi</w:t>
            </w:r>
          </w:p>
          <w:p w:rsidR="00F35AEF" w:rsidRPr="00F35AEF" w:rsidRDefault="00F35AEF" w:rsidP="00F35AEF">
            <w:pPr>
              <w:spacing w:before="60" w:after="60"/>
              <w:jc w:val="center"/>
              <w:rPr>
                <w:rFonts w:ascii="Titillium" w:hAnsi="Titillium"/>
                <w:sz w:val="18"/>
                <w:szCs w:val="18"/>
              </w:rPr>
            </w:pPr>
            <w:r w:rsidRPr="00F35AEF">
              <w:rPr>
                <w:rFonts w:ascii="Titillium" w:hAnsi="Titillium"/>
                <w:sz w:val="18"/>
                <w:szCs w:val="18"/>
              </w:rPr>
              <w:t>di</w:t>
            </w:r>
          </w:p>
          <w:p w:rsidR="00AE28AD" w:rsidRPr="00AF481C" w:rsidRDefault="00F35AEF" w:rsidP="00F35AEF">
            <w:pPr>
              <w:spacing w:before="60" w:after="60"/>
              <w:jc w:val="center"/>
              <w:rPr>
                <w:rFonts w:ascii="Titillium" w:hAnsi="Titillium"/>
                <w:sz w:val="18"/>
                <w:szCs w:val="18"/>
              </w:rPr>
            </w:pPr>
            <w:r w:rsidRPr="00F35AEF">
              <w:rPr>
                <w:rFonts w:ascii="Titillium" w:hAnsi="Titillium"/>
                <w:sz w:val="18"/>
                <w:szCs w:val="18"/>
              </w:rPr>
              <w:t>riscossione</w:t>
            </w:r>
          </w:p>
        </w:tc>
        <w:tc>
          <w:tcPr>
            <w:tcW w:w="818" w:type="dxa"/>
            <w:tcBorders>
              <w:top w:val="single" w:sz="4" w:space="0" w:color="000000"/>
              <w:left w:val="single" w:sz="4" w:space="0" w:color="000000"/>
              <w:bottom w:val="single" w:sz="4" w:space="0" w:color="000000"/>
              <w:right w:val="single" w:sz="4" w:space="0" w:color="000000"/>
            </w:tcBorders>
          </w:tcPr>
          <w:p w:rsidR="00AE28AD" w:rsidRPr="00AF481C" w:rsidRDefault="00894C28" w:rsidP="00F3762C">
            <w:pPr>
              <w:spacing w:before="60" w:after="60"/>
              <w:jc w:val="center"/>
              <w:rPr>
                <w:rFonts w:ascii="Titillium" w:hAnsi="Titillium"/>
                <w:sz w:val="18"/>
                <w:szCs w:val="18"/>
              </w:rPr>
            </w:pPr>
            <w:r>
              <w:rPr>
                <w:rFonts w:ascii="Titillium" w:hAnsi="Titillium"/>
                <w:sz w:val="18"/>
                <w:szCs w:val="18"/>
              </w:rPr>
              <w:t>H011</w:t>
            </w:r>
          </w:p>
        </w:tc>
        <w:tc>
          <w:tcPr>
            <w:tcW w:w="1524" w:type="dxa"/>
            <w:tcBorders>
              <w:top w:val="single" w:sz="4" w:space="0" w:color="000000"/>
              <w:left w:val="single" w:sz="4" w:space="0" w:color="000000"/>
              <w:bottom w:val="single" w:sz="4" w:space="0" w:color="000000"/>
              <w:right w:val="single" w:sz="4" w:space="0" w:color="000000"/>
            </w:tcBorders>
            <w:vAlign w:val="center"/>
          </w:tcPr>
          <w:p w:rsidR="00AE28AD" w:rsidRPr="00AF481C" w:rsidRDefault="00F35AEF" w:rsidP="00F3762C">
            <w:pPr>
              <w:spacing w:before="60" w:after="60"/>
              <w:jc w:val="center"/>
              <w:rPr>
                <w:rFonts w:ascii="Titillium" w:hAnsi="Titillium"/>
                <w:sz w:val="18"/>
                <w:szCs w:val="18"/>
              </w:rPr>
            </w:pPr>
            <w:r>
              <w:rPr>
                <w:rFonts w:ascii="Titillium" w:hAnsi="Titillium"/>
                <w:sz w:val="18"/>
                <w:szCs w:val="18"/>
              </w:rPr>
              <w:t>P</w:t>
            </w:r>
          </w:p>
        </w:tc>
        <w:tc>
          <w:tcPr>
            <w:tcW w:w="973" w:type="dxa"/>
            <w:tcBorders>
              <w:top w:val="single" w:sz="4" w:space="0" w:color="000000"/>
              <w:left w:val="single" w:sz="4" w:space="0" w:color="000000"/>
              <w:bottom w:val="single" w:sz="4" w:space="0" w:color="000000"/>
              <w:right w:val="single" w:sz="4" w:space="0" w:color="000000"/>
            </w:tcBorders>
            <w:vAlign w:val="center"/>
          </w:tcPr>
          <w:p w:rsidR="00AE28AD" w:rsidRPr="00AF481C" w:rsidRDefault="00844039" w:rsidP="00037DB4">
            <w:pPr>
              <w:spacing w:before="60" w:after="60"/>
              <w:jc w:val="center"/>
              <w:rPr>
                <w:rFonts w:ascii="Titillium" w:hAnsi="Titillium"/>
                <w:sz w:val="18"/>
                <w:szCs w:val="18"/>
              </w:rPr>
            </w:pPr>
            <w:r>
              <w:rPr>
                <w:rFonts w:ascii="Titillium" w:hAnsi="Titillium"/>
                <w:sz w:val="18"/>
                <w:szCs w:val="18"/>
              </w:rPr>
              <w:t>1.</w:t>
            </w:r>
            <w:r w:rsidR="00037DB4">
              <w:rPr>
                <w:rFonts w:ascii="Titillium" w:hAnsi="Titillium"/>
                <w:sz w:val="18"/>
                <w:szCs w:val="18"/>
              </w:rPr>
              <w:t>256.024,30</w:t>
            </w:r>
          </w:p>
        </w:tc>
      </w:tr>
      <w:tr w:rsidR="00AE28AD" w:rsidRPr="00AF481C" w:rsidTr="00F35AEF">
        <w:tc>
          <w:tcPr>
            <w:tcW w:w="8349" w:type="dxa"/>
            <w:gridSpan w:val="5"/>
            <w:tcBorders>
              <w:top w:val="single" w:sz="4" w:space="0" w:color="000000"/>
              <w:left w:val="single" w:sz="4" w:space="0" w:color="000000"/>
              <w:bottom w:val="single" w:sz="4" w:space="0" w:color="000000"/>
              <w:right w:val="single" w:sz="4" w:space="0" w:color="000000"/>
            </w:tcBorders>
          </w:tcPr>
          <w:p w:rsidR="00AE28AD" w:rsidRPr="00AF481C" w:rsidRDefault="00AE28AD" w:rsidP="00BE4F13">
            <w:pPr>
              <w:pStyle w:val="Paragrafoelenco"/>
              <w:numPr>
                <w:ilvl w:val="0"/>
                <w:numId w:val="36"/>
              </w:numPr>
              <w:spacing w:before="60" w:after="60"/>
              <w:ind w:left="3232" w:hanging="284"/>
              <w:contextualSpacing w:val="0"/>
              <w:jc w:val="left"/>
            </w:pPr>
            <w:r w:rsidRPr="00AF481C">
              <w:rPr>
                <w:rFonts w:ascii="Titillium" w:hAnsi="Titillium"/>
                <w:b/>
                <w:sz w:val="18"/>
                <w:szCs w:val="18"/>
              </w:rPr>
              <w:t>Importo a base di gara</w:t>
            </w:r>
          </w:p>
        </w:tc>
        <w:tc>
          <w:tcPr>
            <w:tcW w:w="973" w:type="dxa"/>
            <w:tcBorders>
              <w:top w:val="single" w:sz="4" w:space="0" w:color="000000"/>
              <w:left w:val="single" w:sz="4" w:space="0" w:color="000000"/>
              <w:bottom w:val="single" w:sz="4" w:space="0" w:color="000000"/>
              <w:right w:val="single" w:sz="4" w:space="0" w:color="000000"/>
            </w:tcBorders>
            <w:vAlign w:val="center"/>
          </w:tcPr>
          <w:p w:rsidR="00AE28AD" w:rsidRPr="00AF481C" w:rsidRDefault="00844039" w:rsidP="00037DB4">
            <w:pPr>
              <w:spacing w:before="60" w:after="60"/>
              <w:jc w:val="center"/>
              <w:rPr>
                <w:rFonts w:ascii="Titillium" w:hAnsi="Titillium"/>
                <w:sz w:val="18"/>
                <w:szCs w:val="18"/>
              </w:rPr>
            </w:pPr>
            <w:r>
              <w:rPr>
                <w:rFonts w:ascii="Titillium" w:hAnsi="Titillium"/>
                <w:sz w:val="18"/>
                <w:szCs w:val="18"/>
              </w:rPr>
              <w:t>1.</w:t>
            </w:r>
            <w:r w:rsidR="00037DB4">
              <w:rPr>
                <w:rFonts w:ascii="Titillium" w:hAnsi="Titillium"/>
                <w:sz w:val="18"/>
                <w:szCs w:val="18"/>
              </w:rPr>
              <w:t>256.024,30</w:t>
            </w:r>
          </w:p>
        </w:tc>
      </w:tr>
      <w:tr w:rsidR="00AE28AD" w:rsidRPr="00AF481C" w:rsidTr="00F35AEF">
        <w:tc>
          <w:tcPr>
            <w:tcW w:w="8349" w:type="dxa"/>
            <w:gridSpan w:val="5"/>
            <w:tcBorders>
              <w:top w:val="single" w:sz="4" w:space="0" w:color="000000"/>
              <w:left w:val="single" w:sz="4" w:space="0" w:color="000000"/>
              <w:bottom w:val="single" w:sz="4" w:space="0" w:color="000000"/>
              <w:right w:val="single" w:sz="4" w:space="0" w:color="000000"/>
            </w:tcBorders>
          </w:tcPr>
          <w:p w:rsidR="00AE28AD" w:rsidRPr="00AF481C" w:rsidRDefault="00DE1D8B" w:rsidP="00BE4F13">
            <w:pPr>
              <w:pStyle w:val="Paragrafoelenco"/>
              <w:numPr>
                <w:ilvl w:val="0"/>
                <w:numId w:val="36"/>
              </w:numPr>
              <w:spacing w:before="60" w:after="60"/>
              <w:ind w:left="3232" w:hanging="284"/>
              <w:contextualSpacing w:val="0"/>
              <w:jc w:val="left"/>
            </w:pPr>
            <w:r w:rsidRPr="00AF481C">
              <w:rPr>
                <w:rFonts w:ascii="Titillium" w:hAnsi="Titillium"/>
                <w:b/>
                <w:sz w:val="18"/>
                <w:szCs w:val="18"/>
              </w:rPr>
              <w:t>Costi del</w:t>
            </w:r>
            <w:r w:rsidR="00AE28AD" w:rsidRPr="00AF481C">
              <w:rPr>
                <w:rFonts w:ascii="Titillium" w:hAnsi="Titillium"/>
                <w:b/>
                <w:sz w:val="18"/>
                <w:szCs w:val="18"/>
              </w:rPr>
              <w:t xml:space="preserve">la sicurezza da interferenze non soggetti a ribasso </w:t>
            </w:r>
            <w:r w:rsidR="00AE28AD" w:rsidRPr="00AF481C">
              <w:rPr>
                <w:rFonts w:ascii="Titillium" w:hAnsi="Titillium"/>
                <w:i/>
                <w:sz w:val="18"/>
                <w:szCs w:val="18"/>
              </w:rPr>
              <w:t>[indicare € 0,00 in caso di assenza di rischi]</w:t>
            </w:r>
          </w:p>
        </w:tc>
        <w:tc>
          <w:tcPr>
            <w:tcW w:w="973" w:type="dxa"/>
            <w:tcBorders>
              <w:top w:val="single" w:sz="4" w:space="0" w:color="000000"/>
              <w:left w:val="single" w:sz="4" w:space="0" w:color="000000"/>
              <w:bottom w:val="single" w:sz="4" w:space="0" w:color="000000"/>
              <w:right w:val="single" w:sz="4" w:space="0" w:color="000000"/>
            </w:tcBorders>
            <w:vAlign w:val="center"/>
          </w:tcPr>
          <w:p w:rsidR="00AE28AD" w:rsidRPr="00AF481C" w:rsidRDefault="00144C77" w:rsidP="00F3762C">
            <w:pPr>
              <w:spacing w:before="60" w:after="60"/>
              <w:jc w:val="center"/>
              <w:rPr>
                <w:rFonts w:ascii="Titillium" w:hAnsi="Titillium"/>
                <w:sz w:val="18"/>
                <w:szCs w:val="18"/>
              </w:rPr>
            </w:pPr>
            <w:r>
              <w:rPr>
                <w:rFonts w:ascii="Titillium" w:hAnsi="Titillium"/>
                <w:sz w:val="18"/>
                <w:szCs w:val="18"/>
              </w:rPr>
              <w:t>0,00</w:t>
            </w:r>
          </w:p>
        </w:tc>
      </w:tr>
      <w:tr w:rsidR="00AE28AD" w:rsidRPr="00144C77" w:rsidTr="00F35AEF">
        <w:tc>
          <w:tcPr>
            <w:tcW w:w="8349" w:type="dxa"/>
            <w:gridSpan w:val="5"/>
            <w:tcBorders>
              <w:top w:val="single" w:sz="4" w:space="0" w:color="000000"/>
              <w:left w:val="single" w:sz="4" w:space="0" w:color="000000"/>
              <w:bottom w:val="single" w:sz="4" w:space="0" w:color="000000"/>
              <w:right w:val="single" w:sz="4" w:space="0" w:color="000000"/>
            </w:tcBorders>
          </w:tcPr>
          <w:p w:rsidR="00AE28AD" w:rsidRPr="00AF481C" w:rsidRDefault="00AE28AD" w:rsidP="00F3762C">
            <w:pPr>
              <w:pStyle w:val="Paragrafoelenco"/>
              <w:spacing w:before="60" w:after="60"/>
              <w:ind w:left="2807" w:hanging="284"/>
              <w:jc w:val="left"/>
              <w:rPr>
                <w:rFonts w:ascii="Titillium" w:hAnsi="Titillium"/>
                <w:b/>
                <w:sz w:val="18"/>
                <w:szCs w:val="18"/>
              </w:rPr>
            </w:pPr>
            <w:r w:rsidRPr="00AF481C">
              <w:rPr>
                <w:rFonts w:ascii="Titillium" w:hAnsi="Titillium"/>
                <w:b/>
                <w:sz w:val="18"/>
                <w:szCs w:val="18"/>
              </w:rPr>
              <w:t>A) + B) Importo complessivo</w:t>
            </w:r>
          </w:p>
        </w:tc>
        <w:tc>
          <w:tcPr>
            <w:tcW w:w="973" w:type="dxa"/>
            <w:tcBorders>
              <w:top w:val="single" w:sz="4" w:space="0" w:color="000000"/>
              <w:left w:val="single" w:sz="4" w:space="0" w:color="000000"/>
              <w:bottom w:val="single" w:sz="4" w:space="0" w:color="000000"/>
              <w:right w:val="single" w:sz="4" w:space="0" w:color="000000"/>
            </w:tcBorders>
            <w:vAlign w:val="center"/>
          </w:tcPr>
          <w:p w:rsidR="00AE28AD" w:rsidRPr="00144C77" w:rsidRDefault="00037DB4" w:rsidP="00844039">
            <w:pPr>
              <w:spacing w:before="60" w:after="60"/>
              <w:jc w:val="center"/>
              <w:rPr>
                <w:rFonts w:ascii="Titillium" w:hAnsi="Titillium"/>
                <w:sz w:val="18"/>
                <w:szCs w:val="18"/>
              </w:rPr>
            </w:pPr>
            <w:r>
              <w:rPr>
                <w:rFonts w:ascii="Titillium" w:hAnsi="Titillium"/>
                <w:sz w:val="18"/>
                <w:szCs w:val="18"/>
              </w:rPr>
              <w:t>1.256.024,30</w:t>
            </w:r>
          </w:p>
        </w:tc>
      </w:tr>
      <w:bookmarkEnd w:id="85"/>
    </w:tbl>
    <w:p w:rsidR="00B2186C" w:rsidRDefault="00B2186C" w:rsidP="00AE28AD">
      <w:pPr>
        <w:spacing w:before="60" w:after="60"/>
        <w:rPr>
          <w:rFonts w:ascii="Titillium" w:hAnsi="Titillium" w:cs="Calibri"/>
          <w:i/>
          <w:sz w:val="18"/>
          <w:szCs w:val="18"/>
        </w:rPr>
      </w:pPr>
    </w:p>
    <w:p w:rsidR="00B2186C" w:rsidRDefault="00B2186C" w:rsidP="00AE28AD">
      <w:pPr>
        <w:spacing w:before="60" w:after="60"/>
        <w:rPr>
          <w:rFonts w:ascii="Titillium" w:hAnsi="Titillium" w:cs="Calibri"/>
          <w:i/>
          <w:sz w:val="18"/>
          <w:szCs w:val="18"/>
        </w:rPr>
      </w:pPr>
    </w:p>
    <w:p w:rsidR="00B2186C" w:rsidRDefault="00B2186C" w:rsidP="00AE28AD">
      <w:pPr>
        <w:spacing w:before="60" w:after="60"/>
        <w:rPr>
          <w:rFonts w:ascii="Titillium" w:hAnsi="Titillium" w:cs="Calibri"/>
          <w:i/>
          <w:sz w:val="18"/>
          <w:szCs w:val="18"/>
        </w:rPr>
      </w:pPr>
    </w:p>
    <w:p w:rsidR="00B2186C" w:rsidRDefault="00B2186C" w:rsidP="00AE28AD">
      <w:pPr>
        <w:spacing w:before="60" w:after="60"/>
        <w:rPr>
          <w:rFonts w:ascii="Titillium" w:hAnsi="Titillium" w:cs="Calibri"/>
          <w:i/>
          <w:sz w:val="18"/>
          <w:szCs w:val="18"/>
        </w:rPr>
      </w:pPr>
    </w:p>
    <w:p w:rsidR="00AE28AD" w:rsidRPr="004D0143" w:rsidRDefault="00AE28AD" w:rsidP="00AE28AD">
      <w:pPr>
        <w:spacing w:before="60" w:after="60"/>
        <w:rPr>
          <w:rFonts w:ascii="Titillium" w:hAnsi="Titillium"/>
          <w:sz w:val="18"/>
          <w:szCs w:val="18"/>
          <w:u w:val="single"/>
        </w:rPr>
      </w:pPr>
      <w:r w:rsidRPr="004D0143">
        <w:rPr>
          <w:rFonts w:ascii="Titillium" w:hAnsi="Titillium"/>
          <w:sz w:val="18"/>
          <w:szCs w:val="18"/>
          <w:u w:val="single"/>
        </w:rPr>
        <w:lastRenderedPageBreak/>
        <w:t>L’importo a base di gara comprende i costi della manodopera che la stazione appaltante ha stimato pari ad €</w:t>
      </w:r>
      <w:r w:rsidR="00B2186C">
        <w:rPr>
          <w:rFonts w:ascii="Titillium" w:hAnsi="Titillium"/>
          <w:sz w:val="18"/>
          <w:szCs w:val="18"/>
          <w:u w:val="single"/>
        </w:rPr>
        <w:t xml:space="preserve"> 880.000,00 (pari al 70% del valore posto a base di gara)</w:t>
      </w:r>
      <w:r w:rsidR="00894C28">
        <w:rPr>
          <w:rFonts w:ascii="Titillium" w:hAnsi="Titillium"/>
          <w:sz w:val="18"/>
          <w:szCs w:val="18"/>
          <w:u w:val="single"/>
        </w:rPr>
        <w:t xml:space="preserve">calcolati sulla base degli </w:t>
      </w:r>
      <w:r w:rsidRPr="004D0143">
        <w:rPr>
          <w:rFonts w:ascii="Titillium" w:hAnsi="Titillium"/>
          <w:sz w:val="18"/>
          <w:szCs w:val="18"/>
          <w:u w:val="single"/>
        </w:rPr>
        <w:t xml:space="preserve">elementi </w:t>
      </w:r>
      <w:r w:rsidR="00894C28">
        <w:rPr>
          <w:rFonts w:ascii="Titillium" w:hAnsi="Titillium"/>
          <w:sz w:val="18"/>
          <w:szCs w:val="18"/>
          <w:u w:val="single"/>
        </w:rPr>
        <w:t xml:space="preserve">di costo previsti dal CCNL di riferimento applicato per la procedura in essere </w:t>
      </w:r>
      <w:r w:rsidRPr="004D0143">
        <w:rPr>
          <w:rFonts w:ascii="Titillium" w:hAnsi="Titillium"/>
          <w:iCs/>
          <w:sz w:val="18"/>
          <w:szCs w:val="18"/>
          <w:u w:val="single"/>
        </w:rPr>
        <w:t>e riferiti a</w:t>
      </w:r>
      <w:r w:rsidR="00894C28">
        <w:rPr>
          <w:rFonts w:ascii="Titillium" w:hAnsi="Titillium"/>
          <w:iCs/>
          <w:sz w:val="18"/>
          <w:szCs w:val="18"/>
          <w:u w:val="single"/>
        </w:rPr>
        <w:t>lle attività da svolgere per l’adempimento del servizio di recupero crediti richiesto</w:t>
      </w:r>
    </w:p>
    <w:p w:rsidR="00AE1BD6" w:rsidRPr="00894C28" w:rsidRDefault="008259AC" w:rsidP="00894C28">
      <w:pPr>
        <w:spacing w:before="60" w:after="60"/>
        <w:rPr>
          <w:rFonts w:ascii="Titillium" w:hAnsi="Titillium"/>
          <w:b/>
          <w:bCs/>
          <w:iCs/>
          <w:sz w:val="18"/>
          <w:szCs w:val="18"/>
        </w:rPr>
      </w:pPr>
      <w:bookmarkStart w:id="86" w:name="_Hlk193974566"/>
      <w:r w:rsidRPr="00AF481C">
        <w:rPr>
          <w:rFonts w:ascii="Titillium" w:hAnsi="Titillium"/>
          <w:b/>
          <w:bCs/>
          <w:iCs/>
          <w:sz w:val="18"/>
          <w:szCs w:val="18"/>
        </w:rPr>
        <w:t xml:space="preserve">I costi della manodopera non sono ribassabili </w:t>
      </w:r>
      <w:r w:rsidRPr="00AF481C">
        <w:rPr>
          <w:rFonts w:ascii="Titillium" w:hAnsi="Titillium"/>
          <w:bCs/>
          <w:iCs/>
          <w:sz w:val="18"/>
          <w:szCs w:val="18"/>
        </w:rPr>
        <w:t xml:space="preserve">se non per dimostrate ragioni attinenti ad una più efficiente organizzazione aziendale o a condizioni fiscali </w:t>
      </w:r>
      <w:r w:rsidR="00E54D97" w:rsidRPr="00AF481C">
        <w:rPr>
          <w:rFonts w:ascii="Titillium" w:hAnsi="Titillium"/>
          <w:bCs/>
          <w:iCs/>
          <w:sz w:val="18"/>
          <w:szCs w:val="18"/>
        </w:rPr>
        <w:t>o</w:t>
      </w:r>
      <w:r w:rsidRPr="00AF481C">
        <w:rPr>
          <w:rFonts w:ascii="Titillium" w:hAnsi="Titillium"/>
          <w:bCs/>
          <w:iCs/>
          <w:sz w:val="18"/>
          <w:szCs w:val="18"/>
        </w:rPr>
        <w:t xml:space="preserve"> contributive di maggior favore che non comportano penalizzazioni per la manodopera</w:t>
      </w:r>
      <w:r w:rsidR="00993F4F" w:rsidRPr="00AF481C">
        <w:rPr>
          <w:rFonts w:ascii="Titillium" w:hAnsi="Titillium"/>
          <w:bCs/>
          <w:iCs/>
          <w:sz w:val="18"/>
          <w:szCs w:val="18"/>
        </w:rPr>
        <w:t>.</w:t>
      </w:r>
    </w:p>
    <w:bookmarkEnd w:id="86"/>
    <w:p w:rsidR="00AE28AD" w:rsidRDefault="00AE28AD" w:rsidP="00894C28">
      <w:pPr>
        <w:spacing w:before="60" w:after="60"/>
        <w:rPr>
          <w:rFonts w:ascii="Titillium" w:hAnsi="Titillium"/>
          <w:sz w:val="18"/>
          <w:szCs w:val="18"/>
        </w:rPr>
      </w:pPr>
      <w:r w:rsidRPr="00AF481C">
        <w:rPr>
          <w:rFonts w:ascii="Titillium" w:hAnsi="Titillium"/>
          <w:iCs/>
          <w:sz w:val="18"/>
          <w:szCs w:val="18"/>
        </w:rPr>
        <w:t xml:space="preserve">Il contratto collettivo nazionale di lavoro applicato al personale dipendente impiegato nell'attività oggetto dell'appalto è il seguente: </w:t>
      </w:r>
      <w:r w:rsidR="00894C28" w:rsidRPr="00894C28">
        <w:rPr>
          <w:rFonts w:ascii="Titillium" w:hAnsi="Titillium"/>
          <w:iCs/>
          <w:sz w:val="18"/>
          <w:szCs w:val="18"/>
        </w:rPr>
        <w:t>codice H011 - CCNL per i dipendenti da aziende del Terziario della Distribuzione</w:t>
      </w:r>
      <w:r w:rsidR="007D2E10">
        <w:rPr>
          <w:rFonts w:ascii="Titillium" w:hAnsi="Titillium"/>
          <w:iCs/>
          <w:sz w:val="18"/>
          <w:szCs w:val="18"/>
        </w:rPr>
        <w:t xml:space="preserve"> </w:t>
      </w:r>
      <w:r w:rsidR="00894C28" w:rsidRPr="00894C28">
        <w:rPr>
          <w:rFonts w:ascii="Titillium" w:hAnsi="Titillium"/>
          <w:sz w:val="18"/>
          <w:szCs w:val="18"/>
        </w:rPr>
        <w:t>e dei Servizi. Gli operatori economici possono indicare nella propria offerta il differente contratto collettivo da essi applicato, purché garantisca ai dipendenti le stesse tutele economiche e normative</w:t>
      </w:r>
      <w:r w:rsidR="007D2E10">
        <w:rPr>
          <w:rFonts w:ascii="Titillium" w:hAnsi="Titillium"/>
          <w:sz w:val="18"/>
          <w:szCs w:val="18"/>
        </w:rPr>
        <w:t xml:space="preserve"> </w:t>
      </w:r>
      <w:r w:rsidR="00894C28" w:rsidRPr="00894C28">
        <w:rPr>
          <w:rFonts w:ascii="Titillium" w:hAnsi="Titillium"/>
          <w:sz w:val="18"/>
          <w:szCs w:val="18"/>
        </w:rPr>
        <w:t>di quello indicato</w:t>
      </w:r>
      <w:r w:rsidR="009972C7">
        <w:rPr>
          <w:rFonts w:ascii="Titillium" w:hAnsi="Titillium"/>
          <w:sz w:val="18"/>
          <w:szCs w:val="18"/>
        </w:rPr>
        <w:t xml:space="preserve"> rientrante comunque nel settore servizi a tutela del credito come ad es</w:t>
      </w:r>
      <w:r w:rsidR="007D2E10">
        <w:rPr>
          <w:rFonts w:ascii="Titillium" w:hAnsi="Titillium"/>
          <w:sz w:val="18"/>
          <w:szCs w:val="18"/>
        </w:rPr>
        <w:t>.</w:t>
      </w:r>
      <w:r w:rsidR="009972C7">
        <w:rPr>
          <w:rFonts w:ascii="Titillium" w:hAnsi="Titillium"/>
          <w:sz w:val="18"/>
          <w:szCs w:val="18"/>
        </w:rPr>
        <w:t xml:space="preserve"> il CCNL Studi Professionali</w:t>
      </w:r>
    </w:p>
    <w:p w:rsidR="00B2186C" w:rsidRDefault="00AE28AD" w:rsidP="00AE28AD">
      <w:pPr>
        <w:spacing w:before="60" w:after="60"/>
        <w:rPr>
          <w:rFonts w:ascii="Titillium" w:hAnsi="Titillium"/>
          <w:sz w:val="18"/>
          <w:szCs w:val="18"/>
        </w:rPr>
      </w:pPr>
      <w:r w:rsidRPr="00AF481C">
        <w:rPr>
          <w:rFonts w:ascii="Titillium" w:hAnsi="Titillium" w:cs="Calibri"/>
          <w:sz w:val="18"/>
          <w:szCs w:val="18"/>
        </w:rPr>
        <w:t xml:space="preserve">L’importo </w:t>
      </w:r>
      <w:r w:rsidR="00DE1D8B" w:rsidRPr="00AF481C">
        <w:rPr>
          <w:rFonts w:ascii="Titillium" w:hAnsi="Titillium" w:cs="Calibri"/>
          <w:sz w:val="18"/>
          <w:szCs w:val="18"/>
        </w:rPr>
        <w:t>dei costi del</w:t>
      </w:r>
      <w:r w:rsidRPr="00AF481C">
        <w:rPr>
          <w:rFonts w:ascii="Titillium" w:hAnsi="Titillium" w:cs="Calibri"/>
          <w:sz w:val="18"/>
          <w:szCs w:val="18"/>
        </w:rPr>
        <w:t xml:space="preserve">la sicurezza da interferenze è pari a € 0,00 </w:t>
      </w:r>
      <w:r w:rsidR="00F35AEF">
        <w:rPr>
          <w:rFonts w:ascii="Titillium" w:hAnsi="Titillium" w:cs="Calibri"/>
          <w:sz w:val="18"/>
          <w:szCs w:val="18"/>
        </w:rPr>
        <w:t>date le caratteristiche del servizio richiesto che saranno svolte al di fuori delle Aziende committenti</w:t>
      </w:r>
    </w:p>
    <w:p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 xml:space="preserve">L’importo complessivo è </w:t>
      </w:r>
      <w:r w:rsidR="00037DB4" w:rsidRPr="00B2186C">
        <w:rPr>
          <w:rFonts w:ascii="Titillium" w:hAnsi="Titillium"/>
          <w:b/>
          <w:sz w:val="18"/>
          <w:szCs w:val="18"/>
        </w:rPr>
        <w:t>€ 1.256.024,30</w:t>
      </w:r>
      <w:r w:rsidR="007D2E10">
        <w:rPr>
          <w:rFonts w:ascii="Titillium" w:hAnsi="Titillium"/>
          <w:b/>
          <w:sz w:val="18"/>
          <w:szCs w:val="18"/>
        </w:rPr>
        <w:t xml:space="preserve"> </w:t>
      </w:r>
      <w:r w:rsidRPr="00B2186C">
        <w:rPr>
          <w:rFonts w:ascii="Titillium" w:hAnsi="Titillium"/>
          <w:sz w:val="18"/>
          <w:szCs w:val="18"/>
        </w:rPr>
        <w:t xml:space="preserve">al </w:t>
      </w:r>
      <w:r w:rsidRPr="00B2186C">
        <w:rPr>
          <w:rFonts w:ascii="Titillium" w:hAnsi="Titillium" w:cs="Calibri"/>
          <w:sz w:val="18"/>
          <w:szCs w:val="18"/>
        </w:rPr>
        <w:t>netto di</w:t>
      </w:r>
      <w:r w:rsidR="007D2E10">
        <w:rPr>
          <w:rFonts w:ascii="Titillium" w:hAnsi="Titillium" w:cs="Calibri"/>
          <w:sz w:val="18"/>
          <w:szCs w:val="18"/>
        </w:rPr>
        <w:t xml:space="preserve"> </w:t>
      </w:r>
      <w:r w:rsidRPr="00B2186C">
        <w:rPr>
          <w:rFonts w:ascii="Titillium" w:hAnsi="Titillium" w:cs="Calibri"/>
          <w:sz w:val="18"/>
          <w:szCs w:val="18"/>
        </w:rPr>
        <w:t>Iva.</w:t>
      </w:r>
    </w:p>
    <w:p w:rsidR="00AE28AD" w:rsidRDefault="00AE28AD" w:rsidP="00AE28AD">
      <w:pPr>
        <w:spacing w:before="60" w:after="60"/>
        <w:rPr>
          <w:rFonts w:ascii="Titillium" w:hAnsi="Titillium"/>
          <w:sz w:val="18"/>
          <w:szCs w:val="18"/>
        </w:rPr>
      </w:pPr>
      <w:r w:rsidRPr="00AF481C">
        <w:rPr>
          <w:rFonts w:ascii="Titillium" w:hAnsi="Titillium"/>
          <w:sz w:val="18"/>
          <w:szCs w:val="18"/>
        </w:rPr>
        <w:t>L’appalto è finanziato con</w:t>
      </w:r>
      <w:r w:rsidR="00F35AEF">
        <w:rPr>
          <w:rFonts w:ascii="Titillium" w:hAnsi="Titillium"/>
          <w:sz w:val="18"/>
          <w:szCs w:val="18"/>
        </w:rPr>
        <w:t xml:space="preserve"> fonti delle Aziende Sanitarie committenti</w:t>
      </w:r>
      <w:r w:rsidRPr="00AF481C">
        <w:rPr>
          <w:rFonts w:ascii="Titillium" w:hAnsi="Titillium"/>
          <w:sz w:val="18"/>
          <w:szCs w:val="18"/>
        </w:rPr>
        <w:t>.</w:t>
      </w:r>
    </w:p>
    <w:p w:rsidR="00AE28AD" w:rsidRPr="00AF481C" w:rsidRDefault="00AE28AD" w:rsidP="00225033">
      <w:pPr>
        <w:pStyle w:val="Titolo3"/>
        <w:numPr>
          <w:ilvl w:val="1"/>
          <w:numId w:val="3"/>
        </w:numPr>
        <w:spacing w:before="120"/>
        <w:ind w:left="426" w:hanging="426"/>
      </w:pPr>
      <w:bookmarkStart w:id="87" w:name="_Toc484688264"/>
      <w:bookmarkStart w:id="88" w:name="_Toc484605395"/>
      <w:bookmarkStart w:id="89" w:name="_Toc484605271"/>
      <w:bookmarkStart w:id="90" w:name="_Toc484526551"/>
      <w:bookmarkStart w:id="91" w:name="_Toc484449056"/>
      <w:bookmarkStart w:id="92" w:name="_Toc484448932"/>
      <w:bookmarkStart w:id="93" w:name="_Toc484448808"/>
      <w:bookmarkStart w:id="94" w:name="_Toc484448685"/>
      <w:bookmarkStart w:id="95" w:name="_Toc484448561"/>
      <w:bookmarkStart w:id="96" w:name="_Toc484448437"/>
      <w:bookmarkStart w:id="97" w:name="_Toc484448313"/>
      <w:bookmarkStart w:id="98" w:name="_Toc484448189"/>
      <w:bookmarkStart w:id="99" w:name="_Toc484448064"/>
      <w:bookmarkStart w:id="100" w:name="_Toc484440405"/>
      <w:bookmarkStart w:id="101" w:name="_Toc484440045"/>
      <w:bookmarkStart w:id="102" w:name="_Toc484439921"/>
      <w:bookmarkStart w:id="103" w:name="_Toc484439798"/>
      <w:bookmarkStart w:id="104" w:name="_Toc484438878"/>
      <w:bookmarkStart w:id="105" w:name="_Toc484438754"/>
      <w:bookmarkStart w:id="106" w:name="_Toc484438630"/>
      <w:bookmarkStart w:id="107" w:name="_Toc484429055"/>
      <w:bookmarkStart w:id="108" w:name="_Toc484428885"/>
      <w:bookmarkStart w:id="109" w:name="_Toc484097713"/>
      <w:bookmarkStart w:id="110" w:name="_Toc484011639"/>
      <w:bookmarkStart w:id="111" w:name="_Toc484011164"/>
      <w:bookmarkStart w:id="112" w:name="_Toc484011042"/>
      <w:bookmarkStart w:id="113" w:name="_Toc484010920"/>
      <w:bookmarkStart w:id="114" w:name="_Toc484010796"/>
      <w:bookmarkStart w:id="115" w:name="_Toc484010674"/>
      <w:bookmarkStart w:id="116" w:name="_Toc483906924"/>
      <w:bookmarkStart w:id="117" w:name="_Toc483571547"/>
      <w:bookmarkStart w:id="118" w:name="_Toc483571426"/>
      <w:bookmarkStart w:id="119" w:name="_Toc483473997"/>
      <w:bookmarkStart w:id="120" w:name="_Toc483401200"/>
      <w:bookmarkStart w:id="121" w:name="_Toc483325721"/>
      <w:bookmarkStart w:id="122" w:name="_Toc483316418"/>
      <w:bookmarkStart w:id="123" w:name="_Toc483316287"/>
      <w:bookmarkStart w:id="124" w:name="_Toc483316084"/>
      <w:bookmarkStart w:id="125" w:name="_Toc483315878"/>
      <w:bookmarkStart w:id="126" w:name="_Toc483302328"/>
      <w:bookmarkStart w:id="127" w:name="_Toc485218255"/>
      <w:bookmarkStart w:id="128" w:name="_Toc484688819"/>
      <w:bookmarkStart w:id="129" w:name="_Toc22308746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AF481C">
        <w:rPr>
          <w:rFonts w:ascii="Titillium" w:hAnsi="Titillium"/>
          <w:sz w:val="18"/>
          <w:szCs w:val="18"/>
        </w:rPr>
        <w:t>DURATA</w:t>
      </w:r>
      <w:bookmarkEnd w:id="129"/>
    </w:p>
    <w:p w:rsidR="00AE28AD" w:rsidRPr="00AF481C" w:rsidRDefault="00AE28AD" w:rsidP="00AE28AD">
      <w:pPr>
        <w:spacing w:before="120" w:after="60"/>
        <w:rPr>
          <w:rFonts w:ascii="Titillium" w:hAnsi="Titillium"/>
          <w:sz w:val="18"/>
          <w:szCs w:val="18"/>
        </w:rPr>
      </w:pPr>
      <w:r w:rsidRPr="00AF481C">
        <w:rPr>
          <w:rFonts w:ascii="Titillium" w:hAnsi="Titillium"/>
          <w:sz w:val="18"/>
          <w:szCs w:val="18"/>
        </w:rPr>
        <w:t xml:space="preserve">La durata dell’appalto (escluse le eventuali opzioni) è di </w:t>
      </w:r>
      <w:r w:rsidR="00F35AEF" w:rsidRPr="00B2186C">
        <w:rPr>
          <w:rFonts w:ascii="Titillium" w:hAnsi="Titillium"/>
          <w:b/>
          <w:sz w:val="18"/>
          <w:szCs w:val="18"/>
        </w:rPr>
        <w:t>anni 3</w:t>
      </w:r>
      <w:r w:rsidRPr="00AF481C">
        <w:rPr>
          <w:rFonts w:ascii="Titillium" w:hAnsi="Titillium"/>
          <w:i/>
          <w:iCs/>
          <w:sz w:val="18"/>
          <w:szCs w:val="18"/>
        </w:rPr>
        <w:t>,</w:t>
      </w:r>
      <w:r w:rsidRPr="00AF481C">
        <w:rPr>
          <w:rFonts w:ascii="Titillium" w:hAnsi="Titillium"/>
          <w:sz w:val="18"/>
          <w:szCs w:val="18"/>
        </w:rPr>
        <w:t xml:space="preserve"> decorrenti dalla data di</w:t>
      </w:r>
      <w:r w:rsidR="00522674">
        <w:rPr>
          <w:rFonts w:ascii="Titillium" w:hAnsi="Titillium"/>
          <w:sz w:val="18"/>
          <w:szCs w:val="18"/>
        </w:rPr>
        <w:t xml:space="preserve"> </w:t>
      </w:r>
      <w:r w:rsidRPr="00F35AEF">
        <w:rPr>
          <w:rFonts w:ascii="Titillium" w:hAnsi="Titillium"/>
          <w:iCs/>
          <w:sz w:val="18"/>
          <w:szCs w:val="18"/>
        </w:rPr>
        <w:t>sottoscrizione del contratto</w:t>
      </w:r>
      <w:r w:rsidRPr="00AF481C">
        <w:rPr>
          <w:rFonts w:ascii="Titillium" w:hAnsi="Titillium"/>
          <w:i/>
          <w:iCs/>
          <w:sz w:val="18"/>
          <w:szCs w:val="18"/>
        </w:rPr>
        <w:t>.</w:t>
      </w:r>
    </w:p>
    <w:p w:rsidR="00FA08D2" w:rsidRPr="00AF481C" w:rsidRDefault="00AE28AD" w:rsidP="00225033">
      <w:pPr>
        <w:pStyle w:val="Titolo3"/>
        <w:numPr>
          <w:ilvl w:val="1"/>
          <w:numId w:val="3"/>
        </w:numPr>
        <w:spacing w:before="120"/>
        <w:ind w:left="426" w:hanging="426"/>
        <w:rPr>
          <w:rFonts w:ascii="Titillium" w:hAnsi="Titillium"/>
          <w:b/>
          <w:bCs/>
          <w:sz w:val="18"/>
          <w:szCs w:val="18"/>
        </w:rPr>
      </w:pPr>
      <w:bookmarkStart w:id="130" w:name="_Toc223087467"/>
      <w:r w:rsidRPr="00AF481C">
        <w:rPr>
          <w:rFonts w:ascii="Titillium" w:hAnsi="Titillium"/>
          <w:sz w:val="18"/>
          <w:szCs w:val="18"/>
        </w:rPr>
        <w:t>REVISIONE PREZZI</w:t>
      </w:r>
      <w:bookmarkEnd w:id="130"/>
    </w:p>
    <w:p w:rsidR="000476BA" w:rsidRDefault="00AE28AD" w:rsidP="001F705E">
      <w:pPr>
        <w:spacing w:before="120" w:after="60"/>
        <w:rPr>
          <w:rFonts w:ascii="Titillium" w:hAnsi="Titillium"/>
          <w:sz w:val="18"/>
          <w:szCs w:val="18"/>
        </w:rPr>
      </w:pPr>
      <w:r w:rsidRPr="00AF481C">
        <w:rPr>
          <w:rFonts w:ascii="Titillium" w:hAnsi="Titillium"/>
          <w:bCs/>
          <w:iCs/>
          <w:sz w:val="18"/>
          <w:szCs w:val="18"/>
        </w:rPr>
        <w:t>Q</w:t>
      </w:r>
      <w:r w:rsidRPr="00AF481C">
        <w:rPr>
          <w:rFonts w:ascii="Titillium" w:hAnsi="Titillium"/>
          <w:iCs/>
          <w:sz w:val="18"/>
          <w:szCs w:val="18"/>
        </w:rPr>
        <w:t xml:space="preserve">ualora nel corso di esecuzione del contratto, al verificarsi di particolari condizioni di natura oggettiva, si determina </w:t>
      </w:r>
      <w:r w:rsidRPr="00AF481C">
        <w:rPr>
          <w:rFonts w:ascii="Titillium" w:hAnsi="Titillium" w:cs="Calibri"/>
          <w:iCs/>
          <w:sz w:val="18"/>
          <w:szCs w:val="18"/>
        </w:rPr>
        <w:t>una variazione, in aumento o in diminuzione, del costo del servizio superiore al cinque per cento dell’importo complessivo, i prezzi sono aggiornati automaticamente, nella misura dell’ottanta per cento del</w:t>
      </w:r>
      <w:r w:rsidRPr="00AF481C">
        <w:rPr>
          <w:rFonts w:ascii="Titillium" w:hAnsi="Titillium"/>
          <w:sz w:val="18"/>
          <w:szCs w:val="18"/>
        </w:rPr>
        <w:t xml:space="preserve"> valore eccedente la variazione del 5 per cento applicata alle prestazioni da eseguire.</w:t>
      </w:r>
      <w:r w:rsidR="007A37A3">
        <w:rPr>
          <w:rFonts w:ascii="Titillium" w:hAnsi="Titillium"/>
          <w:sz w:val="18"/>
          <w:szCs w:val="18"/>
        </w:rPr>
        <w:t xml:space="preserve"> </w:t>
      </w:r>
      <w:r w:rsidR="000476BA" w:rsidRPr="000476BA">
        <w:rPr>
          <w:rFonts w:ascii="Titillium" w:hAnsi="Titillium"/>
          <w:sz w:val="18"/>
          <w:szCs w:val="18"/>
        </w:rPr>
        <w:t>Ai fini della determinazione della variazione dei costi e dei prezzi, ai sensi dell’art 11 comma 2 lett b) dell’All.II.2bis al Codice Appalti, rientrando il codice CPV nella tabella D.2 sarà utilizzato il codice con indice TIPOPC INDICE ISTAT[00ST] indice generale senza tabacchi</w:t>
      </w:r>
    </w:p>
    <w:p w:rsidR="001F705E" w:rsidRPr="00336B12" w:rsidRDefault="001F705E" w:rsidP="001F705E">
      <w:pPr>
        <w:spacing w:before="120" w:after="60"/>
        <w:rPr>
          <w:rFonts w:ascii="Titillium" w:hAnsi="Titillium"/>
          <w:sz w:val="18"/>
          <w:szCs w:val="18"/>
        </w:rPr>
      </w:pPr>
      <w:r w:rsidRPr="00336B12">
        <w:rPr>
          <w:rFonts w:ascii="Titillium" w:hAnsi="Titillium"/>
          <w:sz w:val="18"/>
          <w:szCs w:val="18"/>
        </w:rPr>
        <w:t>L'appaltatore potrà presentare richiesta scritta di revisione dei prezzi alla stazione appaltante, corredata dalla documentazione che attesti la variazione degli indici di prezzo.</w:t>
      </w:r>
      <w:r w:rsidR="007A37A3">
        <w:rPr>
          <w:rFonts w:ascii="Titillium" w:hAnsi="Titillium"/>
          <w:sz w:val="18"/>
          <w:szCs w:val="18"/>
        </w:rPr>
        <w:t xml:space="preserve"> </w:t>
      </w:r>
      <w:r w:rsidRPr="00336B12">
        <w:rPr>
          <w:rFonts w:ascii="Titillium" w:hAnsi="Titillium"/>
          <w:sz w:val="18"/>
          <w:szCs w:val="18"/>
        </w:rPr>
        <w:t>La stazione appaltante valuterà la richiesta entro 30 giorni dalla ricezione della stessa. In caso di esito positivo, la revisione dei prezzi sarà formalizzata mediante atto aggiuntivo al contratto. La revisione dei prezzi non potrà, in nessun caso, alterare la natura generale del contratto né comportare una modifica sostanziale delle prestazioni previste. Le nuove condizioni economiche determinate dalla revisione dei prezzi saranno applicabili a partire dal 30° giorno successivo alla data di accettazione da parte della stazione appaltante.</w:t>
      </w:r>
    </w:p>
    <w:p w:rsidR="00AE28AD" w:rsidRPr="00AF481C" w:rsidRDefault="00AE28AD" w:rsidP="00457F5D">
      <w:pPr>
        <w:spacing w:before="120" w:after="60"/>
        <w:rPr>
          <w:rFonts w:ascii="Titillium" w:hAnsi="Titillium"/>
          <w:color w:val="FF0000"/>
          <w:sz w:val="18"/>
          <w:szCs w:val="18"/>
        </w:rPr>
      </w:pPr>
      <w:r w:rsidRPr="00AF481C">
        <w:rPr>
          <w:rFonts w:ascii="Titillium" w:hAnsi="Titillium"/>
          <w:sz w:val="18"/>
          <w:szCs w:val="18"/>
        </w:rPr>
        <w:t>Al verificarsi delle particolari condizioni di natura oggettiva indicate al primo capoverso, si applica la revisione dei prezzi anche ai contratti di subappalto e ai subcontratti comunicati alla stazione appaltante</w:t>
      </w:r>
      <w:r w:rsidR="00AE7349" w:rsidRPr="00AF481C">
        <w:rPr>
          <w:rFonts w:ascii="Titillium" w:hAnsi="Titillium"/>
          <w:sz w:val="18"/>
          <w:szCs w:val="18"/>
        </w:rPr>
        <w:t>.</w:t>
      </w:r>
    </w:p>
    <w:p w:rsidR="00AE28AD" w:rsidRPr="00AF481C" w:rsidRDefault="00AE28AD" w:rsidP="00AE28AD">
      <w:pPr>
        <w:spacing w:before="120" w:after="60"/>
        <w:rPr>
          <w:rFonts w:ascii="Titillium" w:hAnsi="Titillium"/>
          <w:color w:val="FF0000"/>
          <w:sz w:val="18"/>
          <w:szCs w:val="18"/>
        </w:rPr>
      </w:pPr>
    </w:p>
    <w:p w:rsidR="00AE28AD" w:rsidRPr="00AF481C" w:rsidRDefault="00AE28AD" w:rsidP="00604C9A">
      <w:pPr>
        <w:pStyle w:val="Titolo3"/>
        <w:numPr>
          <w:ilvl w:val="1"/>
          <w:numId w:val="3"/>
        </w:numPr>
        <w:spacing w:before="120"/>
        <w:ind w:left="426" w:hanging="426"/>
        <w:rPr>
          <w:rFonts w:ascii="Titillium" w:hAnsi="Titillium"/>
          <w:sz w:val="18"/>
          <w:szCs w:val="18"/>
        </w:rPr>
      </w:pPr>
      <w:bookmarkStart w:id="131" w:name="_Toc223087468"/>
      <w:r w:rsidRPr="00AF481C">
        <w:rPr>
          <w:rFonts w:ascii="Titillium" w:hAnsi="Titillium"/>
          <w:sz w:val="18"/>
          <w:szCs w:val="18"/>
        </w:rPr>
        <w:t>MODIFICA DEL CONTRATTO IN FASE DI ESECUZIONE</w:t>
      </w:r>
      <w:bookmarkEnd w:id="131"/>
    </w:p>
    <w:p w:rsidR="00AE28AD" w:rsidRDefault="00AE28AD" w:rsidP="00AE28AD">
      <w:pPr>
        <w:spacing w:before="120" w:after="60"/>
        <w:rPr>
          <w:rFonts w:ascii="Titillium" w:hAnsi="Titillium"/>
          <w:sz w:val="18"/>
          <w:szCs w:val="18"/>
        </w:rPr>
      </w:pPr>
      <w:r w:rsidRPr="00AF481C">
        <w:rPr>
          <w:rFonts w:ascii="Titillium" w:hAnsi="Titillium"/>
          <w:b/>
          <w:iCs/>
          <w:sz w:val="18"/>
          <w:szCs w:val="18"/>
        </w:rPr>
        <w:t>Opzione di proroga</w:t>
      </w:r>
      <w:r w:rsidR="007A37A3">
        <w:rPr>
          <w:rFonts w:ascii="Titillium" w:hAnsi="Titillium"/>
          <w:b/>
          <w:iCs/>
          <w:sz w:val="18"/>
          <w:szCs w:val="18"/>
        </w:rPr>
        <w:t xml:space="preserve"> </w:t>
      </w:r>
      <w:r w:rsidRPr="00AF481C">
        <w:rPr>
          <w:rFonts w:ascii="Titillium" w:hAnsi="Titillium"/>
          <w:b/>
          <w:iCs/>
          <w:sz w:val="18"/>
          <w:szCs w:val="18"/>
        </w:rPr>
        <w:t>del contratto</w:t>
      </w:r>
      <w:r w:rsidR="00B2186C">
        <w:rPr>
          <w:rFonts w:ascii="Titillium" w:hAnsi="Titillium"/>
          <w:b/>
          <w:iCs/>
          <w:sz w:val="18"/>
          <w:szCs w:val="18"/>
        </w:rPr>
        <w:t xml:space="preserve"> (rinnovo)</w:t>
      </w:r>
      <w:r w:rsidRPr="00AF481C">
        <w:rPr>
          <w:rFonts w:ascii="Titillium" w:hAnsi="Titillium"/>
          <w:bCs/>
          <w:iCs/>
          <w:sz w:val="18"/>
          <w:szCs w:val="18"/>
        </w:rPr>
        <w:t xml:space="preserve">: la stazione appaltante si riserva di </w:t>
      </w:r>
      <w:r w:rsidR="00B2186C">
        <w:rPr>
          <w:rFonts w:ascii="Titillium" w:hAnsi="Titillium"/>
          <w:bCs/>
          <w:iCs/>
          <w:sz w:val="18"/>
          <w:szCs w:val="18"/>
        </w:rPr>
        <w:t>rinnovare il</w:t>
      </w:r>
      <w:r w:rsidRPr="00AF481C">
        <w:rPr>
          <w:rFonts w:ascii="Titillium" w:hAnsi="Titillium"/>
          <w:iCs/>
          <w:sz w:val="18"/>
          <w:szCs w:val="18"/>
        </w:rPr>
        <w:t xml:space="preserve"> contratto per una durata massima pari a</w:t>
      </w:r>
      <w:r w:rsidR="00F35AEF">
        <w:rPr>
          <w:rFonts w:ascii="Titillium" w:hAnsi="Titillium"/>
          <w:iCs/>
          <w:sz w:val="18"/>
          <w:szCs w:val="18"/>
        </w:rPr>
        <w:t xml:space="preserve">d </w:t>
      </w:r>
      <w:r w:rsidR="00F35AEF" w:rsidRPr="00B2186C">
        <w:rPr>
          <w:rFonts w:ascii="Titillium" w:hAnsi="Titillium"/>
          <w:b/>
          <w:iCs/>
          <w:sz w:val="18"/>
          <w:szCs w:val="18"/>
        </w:rPr>
        <w:t xml:space="preserve">anni </w:t>
      </w:r>
      <w:r w:rsidR="00144C77" w:rsidRPr="00B2186C">
        <w:rPr>
          <w:rFonts w:ascii="Titillium" w:hAnsi="Titillium"/>
          <w:b/>
          <w:iCs/>
          <w:sz w:val="18"/>
          <w:szCs w:val="18"/>
        </w:rPr>
        <w:t>2</w:t>
      </w:r>
      <w:r w:rsidR="007A37A3">
        <w:rPr>
          <w:rFonts w:ascii="Titillium" w:hAnsi="Titillium"/>
          <w:b/>
          <w:iCs/>
          <w:sz w:val="18"/>
          <w:szCs w:val="18"/>
        </w:rPr>
        <w:t xml:space="preserve"> </w:t>
      </w:r>
      <w:r w:rsidR="00F3762C" w:rsidRPr="00AF481C">
        <w:rPr>
          <w:rFonts w:ascii="Titillium" w:hAnsi="Titillium"/>
          <w:sz w:val="18"/>
          <w:szCs w:val="18"/>
        </w:rPr>
        <w:t>ai</w:t>
      </w:r>
      <w:r w:rsidRPr="00AF481C">
        <w:rPr>
          <w:rFonts w:ascii="Titillium" w:hAnsi="Titillium"/>
          <w:sz w:val="18"/>
          <w:szCs w:val="18"/>
        </w:rPr>
        <w:t xml:space="preserve"> prezzi, patti e condizioni stabiliti nel contratto</w:t>
      </w:r>
      <w:r w:rsidR="007A37A3">
        <w:rPr>
          <w:rFonts w:ascii="Titillium" w:hAnsi="Titillium"/>
          <w:sz w:val="18"/>
          <w:szCs w:val="18"/>
        </w:rPr>
        <w:t xml:space="preserve"> </w:t>
      </w:r>
      <w:r w:rsidRPr="00F35AEF">
        <w:rPr>
          <w:rFonts w:ascii="Titillium" w:hAnsi="Titillium"/>
          <w:iCs/>
          <w:sz w:val="18"/>
          <w:szCs w:val="18"/>
        </w:rPr>
        <w:t>o, in alternativa</w:t>
      </w:r>
      <w:r w:rsidR="007A37A3">
        <w:rPr>
          <w:rFonts w:ascii="Titillium" w:hAnsi="Titillium"/>
          <w:iCs/>
          <w:sz w:val="18"/>
          <w:szCs w:val="18"/>
        </w:rPr>
        <w:t xml:space="preserve"> </w:t>
      </w:r>
      <w:r w:rsidRPr="00AF481C">
        <w:rPr>
          <w:rFonts w:ascii="Titillium" w:hAnsi="Titillium"/>
          <w:sz w:val="18"/>
          <w:szCs w:val="18"/>
        </w:rPr>
        <w:t>alle condizioni di mercato ove più favorevoli per la stazione appaltante</w:t>
      </w:r>
      <w:r w:rsidRPr="00AF481C">
        <w:rPr>
          <w:rFonts w:ascii="Titillium" w:hAnsi="Titillium"/>
          <w:b/>
          <w:bCs/>
          <w:iCs/>
          <w:sz w:val="18"/>
          <w:szCs w:val="18"/>
        </w:rPr>
        <w:t>.</w:t>
      </w:r>
      <w:r w:rsidRPr="00AF481C">
        <w:rPr>
          <w:rFonts w:ascii="Titillium" w:hAnsi="Titillium"/>
          <w:iCs/>
          <w:sz w:val="18"/>
          <w:szCs w:val="18"/>
        </w:rPr>
        <w:t xml:space="preserve"> L’importo stimato di tale opzione è pari a </w:t>
      </w:r>
      <w:r w:rsidRPr="00144C77">
        <w:rPr>
          <w:rFonts w:ascii="Titillium" w:hAnsi="Titillium"/>
          <w:b/>
          <w:iCs/>
          <w:sz w:val="18"/>
          <w:szCs w:val="18"/>
        </w:rPr>
        <w:t>€</w:t>
      </w:r>
      <w:r w:rsidR="00037DB4" w:rsidRPr="00B2186C">
        <w:rPr>
          <w:rFonts w:ascii="Titillium" w:hAnsi="Titillium"/>
          <w:b/>
          <w:sz w:val="18"/>
          <w:szCs w:val="18"/>
        </w:rPr>
        <w:t>837.349,53</w:t>
      </w:r>
      <w:r w:rsidR="007A37A3">
        <w:rPr>
          <w:rFonts w:ascii="Titillium" w:hAnsi="Titillium"/>
          <w:b/>
          <w:sz w:val="18"/>
          <w:szCs w:val="18"/>
        </w:rPr>
        <w:t xml:space="preserve"> </w:t>
      </w:r>
      <w:r w:rsidRPr="00AF481C">
        <w:rPr>
          <w:rFonts w:ascii="Titillium" w:hAnsi="Titillium"/>
          <w:iCs/>
          <w:sz w:val="18"/>
          <w:szCs w:val="18"/>
        </w:rPr>
        <w:t>al netto di Iva. L’</w:t>
      </w:r>
      <w:r w:rsidRPr="00AF481C">
        <w:rPr>
          <w:rFonts w:ascii="Titillium" w:hAnsi="Titillium"/>
          <w:sz w:val="18"/>
          <w:szCs w:val="18"/>
        </w:rPr>
        <w:t xml:space="preserve">esercizio di tale facoltà è comunicato all’appaltatore almeno </w:t>
      </w:r>
      <w:r w:rsidR="00F35AEF">
        <w:rPr>
          <w:rFonts w:ascii="Titillium" w:hAnsi="Titillium"/>
          <w:sz w:val="18"/>
          <w:szCs w:val="18"/>
        </w:rPr>
        <w:t>30gg</w:t>
      </w:r>
      <w:r w:rsidRPr="00AF481C">
        <w:rPr>
          <w:rFonts w:ascii="Titillium" w:hAnsi="Titillium"/>
          <w:sz w:val="18"/>
          <w:szCs w:val="18"/>
        </w:rPr>
        <w:t xml:space="preserve"> prima della scadenza del contratto.</w:t>
      </w:r>
    </w:p>
    <w:p w:rsidR="00D873D7" w:rsidRPr="00336B12" w:rsidRDefault="00D873D7" w:rsidP="00AE28AD">
      <w:pPr>
        <w:spacing w:before="120" w:after="60"/>
        <w:rPr>
          <w:rFonts w:ascii="Titillium" w:hAnsi="Titillium"/>
          <w:sz w:val="18"/>
          <w:szCs w:val="18"/>
        </w:rPr>
      </w:pPr>
      <w:r w:rsidRPr="00336B12">
        <w:rPr>
          <w:rFonts w:ascii="Titillium" w:hAnsi="Titillium"/>
          <w:sz w:val="18"/>
          <w:szCs w:val="18"/>
        </w:rPr>
        <w:t xml:space="preserve">In casi eccezionali, il contratto in corso di esecuzione può essere prorogato, alla sua scadenza, per ulteriori </w:t>
      </w:r>
      <w:r w:rsidRPr="00B2186C">
        <w:rPr>
          <w:rFonts w:ascii="Titillium" w:hAnsi="Titillium"/>
          <w:b/>
          <w:sz w:val="18"/>
          <w:szCs w:val="18"/>
        </w:rPr>
        <w:t>180 giorni</w:t>
      </w:r>
      <w:r w:rsidRPr="00336B12">
        <w:rPr>
          <w:rFonts w:ascii="Titillium" w:hAnsi="Titillium"/>
          <w:sz w:val="18"/>
          <w:szCs w:val="18"/>
        </w:rPr>
        <w:t xml:space="preserve"> per consentire la conclusione della procedura </w:t>
      </w:r>
      <w:r w:rsidRPr="00336B12">
        <w:rPr>
          <w:rFonts w:ascii="Titillium" w:hAnsi="Titillium"/>
          <w:sz w:val="18"/>
          <w:szCs w:val="18"/>
        </w:rPr>
        <w:lastRenderedPageBreak/>
        <w:t>di individuazione del nuovo contraente se si verificano le condizioni indicate all’articolo 120, comma 11, del Codice. In tal caso il contraente è tenuto all’esecuzione delle prestazioni oggetto del contratto agli stessi prezzi, patti e condizioni previsti nel contratto.</w:t>
      </w:r>
      <w:r w:rsidR="007A37A3">
        <w:rPr>
          <w:rFonts w:ascii="Titillium" w:hAnsi="Titillium"/>
          <w:sz w:val="18"/>
          <w:szCs w:val="18"/>
        </w:rPr>
        <w:t xml:space="preserve"> </w:t>
      </w:r>
      <w:r w:rsidR="00B2186C" w:rsidRPr="00B2186C">
        <w:rPr>
          <w:rFonts w:ascii="Titillium" w:hAnsi="Titillium"/>
          <w:b/>
          <w:sz w:val="18"/>
          <w:szCs w:val="18"/>
        </w:rPr>
        <w:t xml:space="preserve">Importo presunto pari ad </w:t>
      </w:r>
      <w:r w:rsidR="00144C77" w:rsidRPr="00B2186C">
        <w:rPr>
          <w:rFonts w:ascii="Titillium" w:hAnsi="Titillium"/>
          <w:b/>
          <w:sz w:val="18"/>
          <w:szCs w:val="18"/>
        </w:rPr>
        <w:t xml:space="preserve">€ </w:t>
      </w:r>
      <w:r w:rsidR="00037DB4" w:rsidRPr="00B2186C">
        <w:rPr>
          <w:rFonts w:ascii="Titillium" w:hAnsi="Titillium"/>
          <w:b/>
          <w:sz w:val="18"/>
          <w:szCs w:val="18"/>
        </w:rPr>
        <w:t>209.337,38</w:t>
      </w:r>
    </w:p>
    <w:p w:rsidR="00AE28AD" w:rsidRPr="00AF481C" w:rsidRDefault="00AE28AD" w:rsidP="00AE28AD">
      <w:pPr>
        <w:spacing w:before="60" w:after="60"/>
        <w:rPr>
          <w:rFonts w:ascii="Titillium" w:hAnsi="Titillium"/>
          <w:bCs/>
          <w:iCs/>
          <w:sz w:val="18"/>
          <w:szCs w:val="18"/>
        </w:rPr>
      </w:pPr>
      <w:bookmarkStart w:id="132" w:name="_Toc484688266"/>
      <w:bookmarkStart w:id="133" w:name="_Toc484605397"/>
      <w:bookmarkStart w:id="134" w:name="_Toc484605273"/>
      <w:bookmarkStart w:id="135" w:name="_Toc484526553"/>
      <w:bookmarkStart w:id="136" w:name="_Toc484449058"/>
      <w:bookmarkStart w:id="137" w:name="_Toc484448934"/>
      <w:bookmarkStart w:id="138" w:name="_Toc484448810"/>
      <w:bookmarkStart w:id="139" w:name="_Toc484448687"/>
      <w:bookmarkStart w:id="140" w:name="_Toc484448563"/>
      <w:bookmarkStart w:id="141" w:name="_Toc484448439"/>
      <w:bookmarkStart w:id="142" w:name="_Toc484448315"/>
      <w:bookmarkStart w:id="143" w:name="_Toc484448191"/>
      <w:bookmarkStart w:id="144" w:name="_Toc484448066"/>
      <w:bookmarkStart w:id="145" w:name="_Toc484440407"/>
      <w:bookmarkStart w:id="146" w:name="_Toc484440047"/>
      <w:bookmarkStart w:id="147" w:name="_Toc484439923"/>
      <w:bookmarkStart w:id="148" w:name="_Toc484439800"/>
      <w:bookmarkStart w:id="149" w:name="_Toc484438880"/>
      <w:bookmarkStart w:id="150" w:name="_Toc484438756"/>
      <w:bookmarkStart w:id="151" w:name="_Toc484438632"/>
      <w:bookmarkStart w:id="152" w:name="_Toc484429057"/>
      <w:bookmarkStart w:id="153" w:name="_Toc484428887"/>
      <w:bookmarkStart w:id="154" w:name="_Toc484097715"/>
      <w:bookmarkStart w:id="155" w:name="_Toc484011641"/>
      <w:bookmarkStart w:id="156" w:name="_Toc484011166"/>
      <w:bookmarkStart w:id="157" w:name="_Toc484011044"/>
      <w:bookmarkStart w:id="158" w:name="_Toc484010922"/>
      <w:bookmarkStart w:id="159" w:name="_Toc484010798"/>
      <w:bookmarkStart w:id="160" w:name="_Toc484010676"/>
      <w:bookmarkStart w:id="161" w:name="_Toc483906926"/>
      <w:bookmarkStart w:id="162" w:name="_Toc483571549"/>
      <w:bookmarkStart w:id="163" w:name="_Toc483571428"/>
      <w:bookmarkStart w:id="164" w:name="_Toc483473999"/>
      <w:bookmarkStart w:id="165" w:name="_Toc483401202"/>
      <w:bookmarkStart w:id="166" w:name="_Toc483325723"/>
      <w:bookmarkStart w:id="167" w:name="_Toc483316420"/>
      <w:bookmarkStart w:id="168" w:name="_Toc483316289"/>
      <w:bookmarkStart w:id="169" w:name="_Toc483316086"/>
      <w:bookmarkStart w:id="170" w:name="_Toc483315880"/>
      <w:bookmarkStart w:id="171" w:name="_Toc483302330"/>
      <w:bookmarkStart w:id="172" w:name="_Toc482098999"/>
      <w:bookmarkStart w:id="173" w:name="_Toc482097901"/>
      <w:bookmarkStart w:id="174" w:name="_Toc482097709"/>
      <w:bookmarkStart w:id="175" w:name="_Toc482097620"/>
      <w:bookmarkStart w:id="176" w:name="_Toc482097531"/>
      <w:bookmarkStart w:id="177" w:name="_Toc482025708"/>
      <w:bookmarkStart w:id="178" w:name="_Toc485218257"/>
      <w:bookmarkStart w:id="179" w:name="_Toc48468882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AF481C">
        <w:rPr>
          <w:rFonts w:ascii="Titillium" w:hAnsi="Titillium"/>
          <w:b/>
          <w:iCs/>
          <w:sz w:val="18"/>
          <w:szCs w:val="18"/>
        </w:rPr>
        <w:t xml:space="preserve">Variazione fino a concorrenza del quinto dell’importo del contratto: </w:t>
      </w:r>
      <w:r w:rsidRPr="00AF481C">
        <w:rPr>
          <w:rFonts w:ascii="Titillium" w:hAnsi="Titillium"/>
          <w:bCs/>
          <w:iCs/>
          <w:sz w:val="18"/>
          <w:szCs w:val="18"/>
        </w:rPr>
        <w:t xml:space="preserve">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 </w:t>
      </w:r>
    </w:p>
    <w:p w:rsidR="00AE28AD" w:rsidRPr="00AF481C" w:rsidRDefault="00AE28AD" w:rsidP="00AE28AD">
      <w:pPr>
        <w:spacing w:before="60" w:after="60"/>
        <w:rPr>
          <w:rFonts w:ascii="Titillium" w:hAnsi="Titillium" w:cs="Calibri"/>
          <w:i/>
          <w:iCs/>
          <w:sz w:val="18"/>
          <w:szCs w:val="18"/>
        </w:rPr>
      </w:pPr>
    </w:p>
    <w:p w:rsidR="00AE28AD" w:rsidRPr="00AF481C" w:rsidRDefault="00AE28AD" w:rsidP="00AE28AD">
      <w:pPr>
        <w:spacing w:before="60" w:after="60"/>
        <w:rPr>
          <w:i/>
        </w:rPr>
      </w:pPr>
      <w:r w:rsidRPr="00AF481C">
        <w:rPr>
          <w:rFonts w:ascii="Titillium" w:hAnsi="Titillium"/>
          <w:sz w:val="18"/>
          <w:szCs w:val="18"/>
        </w:rPr>
        <w:t xml:space="preserve">Il </w:t>
      </w:r>
      <w:r w:rsidRPr="00AF481C">
        <w:rPr>
          <w:rFonts w:ascii="Titillium" w:hAnsi="Titillium"/>
          <w:b/>
          <w:bCs/>
          <w:sz w:val="18"/>
          <w:szCs w:val="18"/>
        </w:rPr>
        <w:t>valore globale stimato</w:t>
      </w:r>
      <w:r w:rsidRPr="00AF481C">
        <w:rPr>
          <w:rFonts w:ascii="Titillium" w:hAnsi="Titillium"/>
          <w:sz w:val="18"/>
          <w:szCs w:val="18"/>
        </w:rPr>
        <w:t xml:space="preserve"> dell’appalto è pari ad € </w:t>
      </w:r>
      <w:r w:rsidR="00037DB4">
        <w:rPr>
          <w:rFonts w:ascii="Titillium" w:hAnsi="Titillium"/>
          <w:i/>
          <w:iCs/>
          <w:sz w:val="18"/>
          <w:szCs w:val="18"/>
        </w:rPr>
        <w:t>2.553.915,92</w:t>
      </w:r>
    </w:p>
    <w:p w:rsidR="00AE28AD" w:rsidRPr="00AF481C" w:rsidRDefault="00AE28AD" w:rsidP="00AE28AD">
      <w:pPr>
        <w:pStyle w:val="Didascalia"/>
        <w:rPr>
          <w:rFonts w:ascii="Titillium" w:hAnsi="Titillium"/>
          <w:sz w:val="18"/>
        </w:rPr>
      </w:pPr>
      <w:r w:rsidRPr="00AF481C">
        <w:rPr>
          <w:rFonts w:ascii="Titillium" w:hAnsi="Titillium"/>
          <w:sz w:val="18"/>
        </w:rPr>
        <w:t xml:space="preserve">Tabella </w:t>
      </w:r>
      <w:r w:rsidR="00CB00FF" w:rsidRPr="00AF481C">
        <w:rPr>
          <w:rFonts w:ascii="Titillium" w:hAnsi="Titillium"/>
          <w:sz w:val="18"/>
        </w:rPr>
        <w:fldChar w:fldCharType="begin"/>
      </w:r>
      <w:r w:rsidRPr="00AF481C">
        <w:rPr>
          <w:rFonts w:ascii="Titillium" w:hAnsi="Titillium"/>
          <w:sz w:val="18"/>
        </w:rPr>
        <w:instrText>SEQ Tabella \* ARABIC</w:instrText>
      </w:r>
      <w:r w:rsidR="00CB00FF" w:rsidRPr="00AF481C">
        <w:rPr>
          <w:rFonts w:ascii="Titillium" w:hAnsi="Titillium"/>
          <w:sz w:val="18"/>
        </w:rPr>
        <w:fldChar w:fldCharType="separate"/>
      </w:r>
      <w:r w:rsidR="00CA44F6">
        <w:rPr>
          <w:rFonts w:ascii="Titillium" w:hAnsi="Titillium"/>
          <w:noProof/>
          <w:sz w:val="18"/>
        </w:rPr>
        <w:t>1</w:t>
      </w:r>
      <w:r w:rsidR="00CB00FF" w:rsidRPr="00AF481C">
        <w:rPr>
          <w:rFonts w:ascii="Titillium" w:hAnsi="Titillium"/>
          <w:sz w:val="18"/>
        </w:rPr>
        <w:fldChar w:fldCharType="end"/>
      </w:r>
    </w:p>
    <w:tbl>
      <w:tblPr>
        <w:tblStyle w:val="Grigliatabella"/>
        <w:tblW w:w="0" w:type="auto"/>
        <w:tblLook w:val="04A0"/>
      </w:tblPr>
      <w:tblGrid>
        <w:gridCol w:w="5949"/>
        <w:gridCol w:w="3265"/>
      </w:tblGrid>
      <w:tr w:rsidR="00AE28AD" w:rsidRPr="00AF481C" w:rsidTr="00F3762C">
        <w:tc>
          <w:tcPr>
            <w:tcW w:w="5949" w:type="dxa"/>
          </w:tcPr>
          <w:p w:rsidR="00AE28AD" w:rsidRPr="00AF481C" w:rsidRDefault="00AE28AD" w:rsidP="00F3762C">
            <w:pPr>
              <w:rPr>
                <w:rFonts w:ascii="Titillium" w:hAnsi="Titillium"/>
                <w:sz w:val="18"/>
                <w:szCs w:val="18"/>
              </w:rPr>
            </w:pPr>
            <w:r w:rsidRPr="00AF481C">
              <w:rPr>
                <w:rFonts w:ascii="Titillium" w:hAnsi="Titillium"/>
                <w:b/>
                <w:sz w:val="18"/>
                <w:szCs w:val="18"/>
              </w:rPr>
              <w:t>Importo complessivo (A+B)</w:t>
            </w:r>
          </w:p>
        </w:tc>
        <w:tc>
          <w:tcPr>
            <w:tcW w:w="3265" w:type="dxa"/>
          </w:tcPr>
          <w:p w:rsidR="00AE28AD" w:rsidRPr="00AF481C" w:rsidRDefault="00144C77" w:rsidP="00037DB4">
            <w:pPr>
              <w:rPr>
                <w:rFonts w:ascii="Titillium" w:hAnsi="Titillium"/>
                <w:sz w:val="18"/>
                <w:szCs w:val="18"/>
              </w:rPr>
            </w:pPr>
            <w:r>
              <w:rPr>
                <w:rFonts w:ascii="Titillium" w:hAnsi="Titillium"/>
                <w:sz w:val="18"/>
                <w:szCs w:val="18"/>
              </w:rPr>
              <w:t xml:space="preserve">€ </w:t>
            </w:r>
            <w:r w:rsidR="00844039">
              <w:rPr>
                <w:rFonts w:ascii="Titillium" w:hAnsi="Titillium"/>
                <w:sz w:val="18"/>
                <w:szCs w:val="18"/>
              </w:rPr>
              <w:t>1.</w:t>
            </w:r>
            <w:r w:rsidR="00037DB4">
              <w:rPr>
                <w:rFonts w:ascii="Titillium" w:hAnsi="Titillium"/>
                <w:sz w:val="18"/>
                <w:szCs w:val="18"/>
              </w:rPr>
              <w:t>256.024,30</w:t>
            </w:r>
          </w:p>
        </w:tc>
      </w:tr>
      <w:tr w:rsidR="00144C77" w:rsidRPr="00AF481C" w:rsidTr="00F3762C">
        <w:tc>
          <w:tcPr>
            <w:tcW w:w="5949" w:type="dxa"/>
          </w:tcPr>
          <w:p w:rsidR="00144C77" w:rsidRPr="00AF481C" w:rsidRDefault="00144C77" w:rsidP="00F3762C">
            <w:pPr>
              <w:rPr>
                <w:rFonts w:ascii="Titillium" w:hAnsi="Titillium"/>
                <w:sz w:val="18"/>
                <w:szCs w:val="18"/>
              </w:rPr>
            </w:pPr>
            <w:r>
              <w:rPr>
                <w:rFonts w:ascii="Titillium" w:hAnsi="Titillium"/>
                <w:sz w:val="18"/>
                <w:szCs w:val="18"/>
              </w:rPr>
              <w:t>Importo rinnovo contrattuale</w:t>
            </w:r>
          </w:p>
        </w:tc>
        <w:tc>
          <w:tcPr>
            <w:tcW w:w="3265" w:type="dxa"/>
          </w:tcPr>
          <w:p w:rsidR="00144C77" w:rsidRPr="00AF481C" w:rsidRDefault="00144C77" w:rsidP="00037DB4">
            <w:pPr>
              <w:rPr>
                <w:rFonts w:ascii="Titillium" w:hAnsi="Titillium"/>
                <w:sz w:val="18"/>
                <w:szCs w:val="18"/>
              </w:rPr>
            </w:pPr>
            <w:r>
              <w:rPr>
                <w:rFonts w:ascii="Titillium" w:hAnsi="Titillium"/>
                <w:sz w:val="18"/>
                <w:szCs w:val="18"/>
              </w:rPr>
              <w:t xml:space="preserve">€ </w:t>
            </w:r>
            <w:r w:rsidR="00844039">
              <w:rPr>
                <w:rFonts w:ascii="Titillium" w:hAnsi="Titillium"/>
                <w:sz w:val="18"/>
                <w:szCs w:val="18"/>
              </w:rPr>
              <w:t xml:space="preserve">  83</w:t>
            </w:r>
            <w:r w:rsidR="00037DB4">
              <w:rPr>
                <w:rFonts w:ascii="Titillium" w:hAnsi="Titillium"/>
                <w:sz w:val="18"/>
                <w:szCs w:val="18"/>
              </w:rPr>
              <w:t>7.349,53</w:t>
            </w:r>
          </w:p>
        </w:tc>
      </w:tr>
      <w:tr w:rsidR="00AE28AD" w:rsidRPr="00AF481C" w:rsidTr="00F3762C">
        <w:tc>
          <w:tcPr>
            <w:tcW w:w="5949" w:type="dxa"/>
          </w:tcPr>
          <w:p w:rsidR="00AE28AD" w:rsidRPr="00AF481C" w:rsidRDefault="00AE28AD" w:rsidP="00F3762C">
            <w:pPr>
              <w:rPr>
                <w:rFonts w:ascii="Titillium" w:hAnsi="Titillium"/>
                <w:sz w:val="18"/>
                <w:szCs w:val="18"/>
              </w:rPr>
            </w:pPr>
            <w:r w:rsidRPr="00AF481C">
              <w:rPr>
                <w:rFonts w:ascii="Titillium" w:hAnsi="Titillium"/>
                <w:sz w:val="18"/>
                <w:szCs w:val="18"/>
              </w:rPr>
              <w:t>Importo per l’opzione di proroga</w:t>
            </w:r>
            <w:r w:rsidR="0043635C" w:rsidRPr="00AF481C">
              <w:rPr>
                <w:rFonts w:ascii="Titillium" w:hAnsi="Titillium"/>
                <w:sz w:val="18"/>
                <w:szCs w:val="18"/>
              </w:rPr>
              <w:t xml:space="preserve"> contrattuale</w:t>
            </w:r>
          </w:p>
        </w:tc>
        <w:tc>
          <w:tcPr>
            <w:tcW w:w="3265" w:type="dxa"/>
          </w:tcPr>
          <w:p w:rsidR="00AE28AD" w:rsidRPr="00AF481C" w:rsidRDefault="00144C77" w:rsidP="00037DB4">
            <w:pPr>
              <w:rPr>
                <w:rFonts w:ascii="Titillium" w:hAnsi="Titillium"/>
                <w:sz w:val="18"/>
                <w:szCs w:val="18"/>
              </w:rPr>
            </w:pPr>
            <w:r>
              <w:rPr>
                <w:rFonts w:ascii="Titillium" w:hAnsi="Titillium"/>
                <w:sz w:val="18"/>
                <w:szCs w:val="18"/>
              </w:rPr>
              <w:t xml:space="preserve">€   </w:t>
            </w:r>
            <w:r w:rsidR="00037DB4">
              <w:rPr>
                <w:rFonts w:ascii="Titillium" w:hAnsi="Titillium"/>
                <w:sz w:val="18"/>
                <w:szCs w:val="18"/>
              </w:rPr>
              <w:t>209.337,38</w:t>
            </w:r>
          </w:p>
        </w:tc>
      </w:tr>
      <w:tr w:rsidR="00AE28AD" w:rsidRPr="00AF481C" w:rsidTr="00F3762C">
        <w:tc>
          <w:tcPr>
            <w:tcW w:w="5949" w:type="dxa"/>
          </w:tcPr>
          <w:p w:rsidR="00AE28AD" w:rsidRPr="00AF481C" w:rsidRDefault="00AE28AD" w:rsidP="00F3762C">
            <w:pPr>
              <w:rPr>
                <w:rFonts w:ascii="Titillium" w:hAnsi="Titillium"/>
                <w:sz w:val="18"/>
                <w:szCs w:val="18"/>
              </w:rPr>
            </w:pPr>
            <w:r w:rsidRPr="00AF481C">
              <w:rPr>
                <w:rFonts w:ascii="Titillium" w:hAnsi="Titillium"/>
                <w:sz w:val="18"/>
                <w:szCs w:val="18"/>
              </w:rPr>
              <w:t>Importo massimo del quinto d’obbligo, in caso di variazioni in aumento</w:t>
            </w:r>
          </w:p>
        </w:tc>
        <w:tc>
          <w:tcPr>
            <w:tcW w:w="3265" w:type="dxa"/>
          </w:tcPr>
          <w:p w:rsidR="00AE28AD" w:rsidRPr="00AF481C" w:rsidRDefault="00144C77" w:rsidP="00037DB4">
            <w:pPr>
              <w:rPr>
                <w:rFonts w:ascii="Titillium" w:hAnsi="Titillium"/>
                <w:sz w:val="18"/>
                <w:szCs w:val="18"/>
              </w:rPr>
            </w:pPr>
            <w:r>
              <w:rPr>
                <w:rFonts w:ascii="Titillium" w:hAnsi="Titillium"/>
                <w:sz w:val="18"/>
                <w:szCs w:val="18"/>
              </w:rPr>
              <w:t xml:space="preserve">€   </w:t>
            </w:r>
            <w:r w:rsidR="00037DB4">
              <w:rPr>
                <w:rFonts w:ascii="Titillium" w:hAnsi="Titillium"/>
                <w:sz w:val="18"/>
                <w:szCs w:val="18"/>
              </w:rPr>
              <w:t>251.204,86</w:t>
            </w:r>
          </w:p>
        </w:tc>
      </w:tr>
      <w:tr w:rsidR="00AE28AD" w:rsidRPr="00AF481C" w:rsidTr="00F3762C">
        <w:tc>
          <w:tcPr>
            <w:tcW w:w="5949" w:type="dxa"/>
          </w:tcPr>
          <w:p w:rsidR="00AE28AD" w:rsidRPr="00AF481C" w:rsidRDefault="00AE28AD" w:rsidP="00F3762C">
            <w:pPr>
              <w:jc w:val="right"/>
              <w:rPr>
                <w:rFonts w:ascii="Titillium" w:hAnsi="Titillium"/>
                <w:sz w:val="18"/>
                <w:szCs w:val="18"/>
              </w:rPr>
            </w:pPr>
            <w:r w:rsidRPr="00AF481C">
              <w:rPr>
                <w:rFonts w:ascii="Titillium" w:hAnsi="Titillium"/>
                <w:b/>
                <w:bCs/>
                <w:sz w:val="18"/>
                <w:szCs w:val="18"/>
              </w:rPr>
              <w:t>Valore globale stimato</w:t>
            </w:r>
          </w:p>
        </w:tc>
        <w:tc>
          <w:tcPr>
            <w:tcW w:w="3265" w:type="dxa"/>
          </w:tcPr>
          <w:p w:rsidR="00AE28AD" w:rsidRPr="00B2186C" w:rsidRDefault="00144C77" w:rsidP="00037DB4">
            <w:pPr>
              <w:rPr>
                <w:rFonts w:ascii="Titillium" w:hAnsi="Titillium"/>
                <w:b/>
                <w:i/>
                <w:iCs/>
                <w:sz w:val="18"/>
                <w:szCs w:val="18"/>
              </w:rPr>
            </w:pPr>
            <w:r w:rsidRPr="00B2186C">
              <w:rPr>
                <w:rFonts w:ascii="Titillium" w:hAnsi="Titillium"/>
                <w:b/>
                <w:i/>
                <w:iCs/>
                <w:sz w:val="18"/>
                <w:szCs w:val="18"/>
              </w:rPr>
              <w:t xml:space="preserve">€ </w:t>
            </w:r>
            <w:r w:rsidR="00844039" w:rsidRPr="00B2186C">
              <w:rPr>
                <w:rFonts w:ascii="Titillium" w:hAnsi="Titillium"/>
                <w:b/>
                <w:i/>
                <w:iCs/>
                <w:sz w:val="18"/>
                <w:szCs w:val="18"/>
              </w:rPr>
              <w:t>2.</w:t>
            </w:r>
            <w:r w:rsidR="00037DB4" w:rsidRPr="00B2186C">
              <w:rPr>
                <w:rFonts w:ascii="Titillium" w:hAnsi="Titillium"/>
                <w:b/>
                <w:i/>
                <w:iCs/>
                <w:sz w:val="18"/>
                <w:szCs w:val="18"/>
              </w:rPr>
              <w:t>553.915,92</w:t>
            </w:r>
          </w:p>
        </w:tc>
      </w:tr>
    </w:tbl>
    <w:p w:rsidR="00AE28AD" w:rsidRPr="00AF481C" w:rsidRDefault="00AE28AD" w:rsidP="00AE28AD"/>
    <w:p w:rsidR="00AE28AD" w:rsidRPr="00AF481C" w:rsidRDefault="00AE28AD" w:rsidP="00604C9A">
      <w:pPr>
        <w:pStyle w:val="Titolo2"/>
        <w:numPr>
          <w:ilvl w:val="0"/>
          <w:numId w:val="3"/>
        </w:numPr>
        <w:rPr>
          <w:iCs/>
        </w:rPr>
      </w:pPr>
      <w:bookmarkStart w:id="180" w:name="_Toc498419727"/>
      <w:bookmarkStart w:id="181" w:name="_Toc497831535"/>
      <w:bookmarkStart w:id="182" w:name="_Toc223087469"/>
      <w:bookmarkEnd w:id="180"/>
      <w:bookmarkEnd w:id="181"/>
      <w:r w:rsidRPr="00AF481C">
        <w:t>SOGGETTI AMMESSI IN FORMA SINGOLA E ASSOCIATA E CONDIZIONI DI PARTECIPAZIONE</w:t>
      </w:r>
      <w:bookmarkEnd w:id="182"/>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L’esecuzione del contratto è riservata a operatori economici, cooperative sociali o loro consorzi che nell’ambito di programmi di lavoro protetto occupano almeno il trenta percento di lavoratori con disabilità o svantaggiati.</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Gli operatori economici possono partecipare alla presente gara in forma singola o associata.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Ai soggetti costituiti in forma associata si applicano le disposizioni di cui agli articoli 67 e 68 del Codice. </w:t>
      </w:r>
    </w:p>
    <w:p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I consorzi di cui agli articoli 65, comma 2, lett.  d) del Codice che intendono eseguire le prestazioni tramite </w:t>
      </w:r>
      <w:r w:rsidR="0095403A" w:rsidRPr="00AF481C">
        <w:rPr>
          <w:rFonts w:ascii="Titillium" w:hAnsi="Titillium" w:cs="Courier New"/>
          <w:sz w:val="18"/>
          <w:szCs w:val="18"/>
        </w:rPr>
        <w:t>le</w:t>
      </w:r>
      <w:r w:rsidRPr="00AF481C">
        <w:rPr>
          <w:rFonts w:ascii="Titillium" w:hAnsi="Titillium" w:cs="Courier New"/>
          <w:sz w:val="18"/>
          <w:szCs w:val="18"/>
        </w:rPr>
        <w:t xml:space="preserve"> propri</w:t>
      </w:r>
      <w:r w:rsidR="0095403A" w:rsidRPr="00AF481C">
        <w:rPr>
          <w:rFonts w:ascii="Titillium" w:hAnsi="Titillium" w:cs="Courier New"/>
          <w:sz w:val="18"/>
          <w:szCs w:val="18"/>
        </w:rPr>
        <w:t>e</w:t>
      </w:r>
      <w:r w:rsidRPr="00AF481C">
        <w:rPr>
          <w:rFonts w:ascii="Titillium" w:hAnsi="Titillium" w:cs="Courier New"/>
          <w:sz w:val="18"/>
          <w:szCs w:val="18"/>
        </w:rPr>
        <w:t xml:space="preserve"> consorziat</w:t>
      </w:r>
      <w:r w:rsidR="0095403A" w:rsidRPr="00AF481C">
        <w:rPr>
          <w:rFonts w:ascii="Titillium" w:hAnsi="Titillium" w:cs="Courier New"/>
          <w:sz w:val="18"/>
          <w:szCs w:val="18"/>
        </w:rPr>
        <w:t>e</w:t>
      </w:r>
      <w:r w:rsidRPr="00AF481C">
        <w:rPr>
          <w:rFonts w:ascii="Titillium" w:hAnsi="Titillium" w:cs="Courier New"/>
          <w:sz w:val="18"/>
          <w:szCs w:val="18"/>
        </w:rPr>
        <w:t xml:space="preserve"> sono tenuti ad indicare in sede di offerta per quali consorziati il consorzio concorre.</w:t>
      </w:r>
    </w:p>
    <w:p w:rsidR="002D38F9" w:rsidRPr="00AF481C" w:rsidRDefault="002D38F9" w:rsidP="00AE28AD">
      <w:pPr>
        <w:spacing w:before="60" w:after="60"/>
        <w:rPr>
          <w:rFonts w:ascii="Titillium" w:hAnsi="Titillium" w:cs="Courier New"/>
          <w:sz w:val="18"/>
          <w:szCs w:val="18"/>
        </w:rPr>
      </w:pPr>
      <w:r w:rsidRPr="00AF481C">
        <w:rPr>
          <w:rFonts w:ascii="Titillium" w:hAnsi="Titillium" w:cs="Courier New"/>
          <w:sz w:val="18"/>
          <w:szCs w:val="18"/>
        </w:rPr>
        <w:t>I consorzi di cui agli articoli 65, comma 2, lett. b) e c) del Codice sono tenuti ad indicare in sede di offerta per quali consorziati il consorzio concorre.</w:t>
      </w:r>
    </w:p>
    <w:p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Quando la consorziata designata è, a sua volta, un consorzio di cui all'articolo 65, comma 2, lettere b) e c), è tenuto anch'esso a indicare, in sede di offerta, le consorziate per le quali concorre.</w:t>
      </w:r>
    </w:p>
    <w:p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È fatto divieto di partecipare a più di un consorzio stabile. </w:t>
      </w:r>
    </w:p>
    <w:p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Possono essere </w:t>
      </w:r>
      <w:r w:rsidRPr="00AF481C">
        <w:rPr>
          <w:rFonts w:ascii="Titillium" w:hAnsi="Titillium" w:cs="Courier New"/>
          <w:bCs/>
          <w:sz w:val="18"/>
          <w:szCs w:val="18"/>
        </w:rPr>
        <w:t>esclusi</w:t>
      </w:r>
      <w:r w:rsidRPr="00AF481C">
        <w:rPr>
          <w:rFonts w:ascii="Titillium" w:hAnsi="Titillium" w:cs="Courier New"/>
          <w:sz w:val="18"/>
          <w:szCs w:val="18"/>
        </w:rPr>
        <w:t xml:space="preserve"> dalla gara, previo contraddittorio, i raggruppamenti temporanei costituiti da due o più operatori economici che singolarmente hanno i requisiti per partecipare alla gara. Tale facoltà non opera nel caso in cui i raggruppamenti sono costituiti da imprese controllate e/o collegate ai sensi dell’articolo 2359 del Codice civile. </w:t>
      </w:r>
    </w:p>
    <w:p w:rsidR="00AE28AD" w:rsidRPr="00AF481C" w:rsidRDefault="00AE28AD" w:rsidP="00AE28AD">
      <w:pPr>
        <w:spacing w:before="60" w:after="60"/>
        <w:rPr>
          <w:rFonts w:ascii="Titillium" w:hAnsi="Titillium" w:cs="Calibri"/>
          <w:iCs/>
          <w:sz w:val="18"/>
          <w:szCs w:val="18"/>
        </w:rPr>
      </w:pPr>
      <w:r w:rsidRPr="00AF481C">
        <w:rPr>
          <w:rFonts w:ascii="Titillium" w:hAnsi="Titillium" w:cs="Courier New"/>
          <w:sz w:val="18"/>
          <w:szCs w:val="18"/>
        </w:rPr>
        <w:t xml:space="preserve">Il concorrente che partecipa alla gara </w:t>
      </w:r>
      <w:r w:rsidRPr="00AF481C">
        <w:rPr>
          <w:rFonts w:ascii="Titillium" w:hAnsi="Titillium" w:cs="Calibri"/>
          <w:iCs/>
          <w:sz w:val="18"/>
          <w:szCs w:val="18"/>
        </w:rPr>
        <w:t xml:space="preserve">in una delle forme di seguito indicate è escluso nel caso in cui la stazione </w:t>
      </w:r>
      <w:bookmarkStart w:id="183" w:name="_Hlk130830647"/>
      <w:r w:rsidRPr="00AF481C">
        <w:rPr>
          <w:rFonts w:ascii="Titillium" w:hAnsi="Titillium" w:cs="Calibri"/>
          <w:iCs/>
          <w:sz w:val="18"/>
          <w:szCs w:val="18"/>
        </w:rPr>
        <w:t>appaltante accerti la sussistenza di rilevanti indizi tali da far ritenere che le offerte degli operatori economici siano imputabili ad un unico centro decisiona</w:t>
      </w:r>
      <w:bookmarkEnd w:id="183"/>
      <w:r w:rsidRPr="00AF481C">
        <w:rPr>
          <w:rFonts w:ascii="Titillium" w:hAnsi="Titillium" w:cs="Calibri"/>
          <w:iCs/>
          <w:sz w:val="18"/>
          <w:szCs w:val="18"/>
        </w:rPr>
        <w:t>le a cagione di accordi intercorsi con altri operatori economici partecipanti alla stessa gara:</w:t>
      </w:r>
    </w:p>
    <w:p w:rsidR="00AE28AD" w:rsidRPr="00AF481C" w:rsidRDefault="00AE28AD" w:rsidP="00BE4F13">
      <w:pPr>
        <w:pStyle w:val="Paragrafoelenco"/>
        <w:numPr>
          <w:ilvl w:val="0"/>
          <w:numId w:val="29"/>
        </w:numPr>
        <w:spacing w:before="60" w:after="60"/>
        <w:contextualSpacing w:val="0"/>
        <w:rPr>
          <w:rFonts w:ascii="Titillium" w:hAnsi="Titillium" w:cs="Courier New"/>
          <w:sz w:val="18"/>
          <w:szCs w:val="18"/>
        </w:rPr>
      </w:pPr>
      <w:r w:rsidRPr="00AF481C">
        <w:rPr>
          <w:rFonts w:ascii="Titillium" w:hAnsi="Titillium" w:cs="Courier New"/>
          <w:sz w:val="18"/>
          <w:szCs w:val="18"/>
        </w:rPr>
        <w:t xml:space="preserve">partecipazione in piùdi un raggruppamento temporaneo o consorzio ordinario di concorrenti o </w:t>
      </w:r>
      <w:r w:rsidRPr="00AF481C">
        <w:rPr>
          <w:rFonts w:ascii="Titillium" w:hAnsi="Titillium" w:cs="Calibri"/>
          <w:sz w:val="18"/>
          <w:szCs w:val="18"/>
        </w:rPr>
        <w:t xml:space="preserve">aggregazione di operatori economici aderenti al contratto di rete (nel prosieguo, aggregazione </w:t>
      </w:r>
      <w:r w:rsidRPr="00AF481C">
        <w:rPr>
          <w:rFonts w:ascii="Titillium" w:hAnsi="Titillium"/>
          <w:sz w:val="18"/>
          <w:szCs w:val="18"/>
        </w:rPr>
        <w:t>di reti</w:t>
      </w:r>
      <w:r w:rsidRPr="00AF481C">
        <w:rPr>
          <w:rFonts w:ascii="Titillium" w:hAnsi="Titillium" w:cs="Calibri"/>
          <w:sz w:val="18"/>
          <w:szCs w:val="18"/>
        </w:rPr>
        <w:t>sti);</w:t>
      </w:r>
    </w:p>
    <w:p w:rsidR="00AE28AD" w:rsidRPr="00AF481C" w:rsidRDefault="00AE28AD" w:rsidP="00BE4F13">
      <w:pPr>
        <w:pStyle w:val="Paragrafoelenco"/>
        <w:numPr>
          <w:ilvl w:val="0"/>
          <w:numId w:val="29"/>
        </w:numPr>
        <w:spacing w:before="60" w:after="60"/>
        <w:contextualSpacing w:val="0"/>
        <w:rPr>
          <w:rFonts w:ascii="Titillium" w:hAnsi="Titillium" w:cs="Courier New"/>
          <w:sz w:val="18"/>
          <w:szCs w:val="18"/>
        </w:rPr>
      </w:pPr>
      <w:r w:rsidRPr="00AF481C">
        <w:rPr>
          <w:rFonts w:ascii="Titillium" w:hAnsi="Titillium" w:cs="Courier New"/>
          <w:sz w:val="18"/>
          <w:szCs w:val="18"/>
        </w:rPr>
        <w:t>partecipazione sia in raggruppamento o consorzio ordinario di concorrenti sia in forma individuale</w:t>
      </w:r>
      <w:r w:rsidR="00797D68" w:rsidRPr="00AF481C">
        <w:rPr>
          <w:rFonts w:ascii="Titillium" w:hAnsi="Titillium" w:cs="Courier New"/>
          <w:sz w:val="18"/>
          <w:szCs w:val="18"/>
        </w:rPr>
        <w:t>;</w:t>
      </w:r>
    </w:p>
    <w:p w:rsidR="00AE28AD" w:rsidRPr="00AF481C" w:rsidRDefault="00AE28AD" w:rsidP="00BE4F13">
      <w:pPr>
        <w:pStyle w:val="Paragrafoelenco"/>
        <w:numPr>
          <w:ilvl w:val="0"/>
          <w:numId w:val="29"/>
        </w:numPr>
        <w:spacing w:before="60" w:after="60"/>
        <w:contextualSpacing w:val="0"/>
        <w:rPr>
          <w:rFonts w:ascii="Titillium" w:hAnsi="Titillium" w:cs="Calibri"/>
          <w:sz w:val="18"/>
          <w:szCs w:val="18"/>
        </w:rPr>
      </w:pPr>
      <w:r w:rsidRPr="00AF481C">
        <w:rPr>
          <w:rFonts w:ascii="Titillium" w:hAnsi="Titillium" w:cs="Courier New"/>
          <w:sz w:val="18"/>
          <w:szCs w:val="18"/>
        </w:rPr>
        <w:t xml:space="preserve">partecipazione sia in aggregazione di retisti sia in forma individuale. </w:t>
      </w:r>
      <w:r w:rsidRPr="00AF481C">
        <w:rPr>
          <w:rFonts w:ascii="Titillium" w:hAnsi="Titillium" w:cs="Calibri"/>
          <w:sz w:val="18"/>
          <w:szCs w:val="18"/>
        </w:rPr>
        <w:t xml:space="preserve">Tale esclusione non si applica alle retiste </w:t>
      </w:r>
      <w:r w:rsidRPr="00AF481C">
        <w:rPr>
          <w:rFonts w:ascii="Titillium" w:hAnsi="Titillium" w:cs="Courier New"/>
          <w:sz w:val="18"/>
          <w:szCs w:val="18"/>
        </w:rPr>
        <w:t xml:space="preserve">non partecipanti all’aggregazione, le </w:t>
      </w:r>
      <w:r w:rsidRPr="00AF481C">
        <w:rPr>
          <w:rFonts w:ascii="Titillium" w:hAnsi="Titillium" w:cs="Courier New"/>
          <w:sz w:val="18"/>
          <w:szCs w:val="18"/>
        </w:rPr>
        <w:lastRenderedPageBreak/>
        <w:t>quali possono presentare offerta, per la medesima gara, in forma singola o associata;</w:t>
      </w:r>
    </w:p>
    <w:p w:rsidR="00AE28AD" w:rsidRPr="00AF481C" w:rsidRDefault="00AE28AD" w:rsidP="00BE4F13">
      <w:pPr>
        <w:pStyle w:val="Paragrafoelenco"/>
        <w:numPr>
          <w:ilvl w:val="0"/>
          <w:numId w:val="29"/>
        </w:numPr>
        <w:spacing w:before="60" w:after="60"/>
        <w:contextualSpacing w:val="0"/>
        <w:rPr>
          <w:rFonts w:ascii="Titillium" w:hAnsi="Titillium" w:cs="Calibri"/>
          <w:color w:val="FF0000"/>
          <w:sz w:val="18"/>
          <w:szCs w:val="18"/>
        </w:rPr>
      </w:pPr>
      <w:r w:rsidRPr="00AF481C">
        <w:rPr>
          <w:rFonts w:ascii="Titillium" w:hAnsi="Titillium" w:cs="Courier New"/>
          <w:sz w:val="18"/>
          <w:szCs w:val="18"/>
        </w:rPr>
        <w:t xml:space="preserve">partecipazione di un consorzio </w:t>
      </w:r>
      <w:r w:rsidR="0047379B" w:rsidRPr="00AF481C">
        <w:rPr>
          <w:rFonts w:ascii="Titillium" w:hAnsi="Titillium" w:cs="Courier New"/>
          <w:sz w:val="18"/>
          <w:szCs w:val="18"/>
        </w:rPr>
        <w:t>di cui all’articolo 65, comma 2, lett. b)</w:t>
      </w:r>
      <w:r w:rsidR="0043635C" w:rsidRPr="00AF481C">
        <w:rPr>
          <w:rFonts w:ascii="Titillium" w:hAnsi="Titillium" w:cs="Courier New"/>
          <w:sz w:val="18"/>
          <w:szCs w:val="18"/>
        </w:rPr>
        <w:t>,</w:t>
      </w:r>
      <w:r w:rsidR="0047379B" w:rsidRPr="00AF481C">
        <w:rPr>
          <w:rFonts w:ascii="Titillium" w:hAnsi="Titillium" w:cs="Courier New"/>
          <w:sz w:val="18"/>
          <w:szCs w:val="18"/>
        </w:rPr>
        <w:t xml:space="preserve"> c) e d) del Codice </w:t>
      </w:r>
      <w:r w:rsidRPr="00AF481C">
        <w:rPr>
          <w:rFonts w:ascii="Titillium" w:hAnsi="Titillium" w:cs="Courier New"/>
          <w:sz w:val="18"/>
          <w:szCs w:val="18"/>
        </w:rPr>
        <w:t>che ha designato un</w:t>
      </w:r>
      <w:r w:rsidR="0043635C" w:rsidRPr="00AF481C">
        <w:rPr>
          <w:rFonts w:ascii="Titillium" w:hAnsi="Titillium" w:cs="Courier New"/>
          <w:sz w:val="18"/>
          <w:szCs w:val="18"/>
        </w:rPr>
        <w:t>a</w:t>
      </w:r>
      <w:r w:rsidRPr="00AF481C">
        <w:rPr>
          <w:rFonts w:ascii="Titillium" w:hAnsi="Titillium" w:cs="Courier New"/>
          <w:sz w:val="18"/>
          <w:szCs w:val="18"/>
        </w:rPr>
        <w:t xml:space="preserve"> consorziat</w:t>
      </w:r>
      <w:r w:rsidR="0043635C" w:rsidRPr="00AF481C">
        <w:rPr>
          <w:rFonts w:ascii="Titillium" w:hAnsi="Titillium" w:cs="Courier New"/>
          <w:sz w:val="18"/>
          <w:szCs w:val="18"/>
        </w:rPr>
        <w:t>a</w:t>
      </w:r>
      <w:r w:rsidRPr="00AF481C">
        <w:rPr>
          <w:rFonts w:ascii="Titillium" w:hAnsi="Titillium" w:cs="Courier New"/>
          <w:sz w:val="18"/>
          <w:szCs w:val="18"/>
        </w:rPr>
        <w:t xml:space="preserve"> esecut</w:t>
      </w:r>
      <w:r w:rsidR="0043635C" w:rsidRPr="00AF481C">
        <w:rPr>
          <w:rFonts w:ascii="Titillium" w:hAnsi="Titillium" w:cs="Courier New"/>
          <w:sz w:val="18"/>
          <w:szCs w:val="18"/>
        </w:rPr>
        <w:t>rice</w:t>
      </w:r>
      <w:r w:rsidRPr="00AF481C">
        <w:rPr>
          <w:rFonts w:ascii="Titillium" w:hAnsi="Titillium" w:cs="Courier New"/>
          <w:sz w:val="18"/>
          <w:szCs w:val="18"/>
        </w:rPr>
        <w:t xml:space="preserve"> l</w:t>
      </w:r>
      <w:r w:rsidR="0043635C" w:rsidRPr="00AF481C">
        <w:rPr>
          <w:rFonts w:ascii="Titillium" w:hAnsi="Titillium" w:cs="Courier New"/>
          <w:sz w:val="18"/>
          <w:szCs w:val="18"/>
        </w:rPr>
        <w:t>a</w:t>
      </w:r>
      <w:r w:rsidRPr="00AF481C">
        <w:rPr>
          <w:rFonts w:ascii="Titillium" w:hAnsi="Titillium" w:cs="Courier New"/>
          <w:sz w:val="18"/>
          <w:szCs w:val="18"/>
        </w:rPr>
        <w:t xml:space="preserve"> quale, a sua volta, partecipa in una qualsiasi altra forma.</w:t>
      </w:r>
    </w:p>
    <w:p w:rsidR="00AE28AD" w:rsidRPr="00AF481C" w:rsidRDefault="00AE28AD" w:rsidP="00AE28AD">
      <w:pPr>
        <w:spacing w:before="60" w:after="60"/>
        <w:rPr>
          <w:rFonts w:ascii="Titillium" w:hAnsi="Titillium" w:cs="Calibri"/>
          <w:color w:val="FF0000"/>
          <w:sz w:val="18"/>
          <w:szCs w:val="18"/>
        </w:rPr>
      </w:pPr>
    </w:p>
    <w:p w:rsidR="00797D68" w:rsidRDefault="00AE28AD" w:rsidP="00F35AEF">
      <w:pPr>
        <w:spacing w:before="60" w:after="60"/>
        <w:rPr>
          <w:rFonts w:ascii="Titillium" w:hAnsi="Titillium" w:cs="Courier New"/>
          <w:sz w:val="18"/>
          <w:szCs w:val="18"/>
        </w:rPr>
      </w:pPr>
      <w:r w:rsidRPr="00AF481C">
        <w:rPr>
          <w:rFonts w:ascii="Titillium" w:hAnsi="Titillium" w:cs="Calibri"/>
          <w:sz w:val="18"/>
          <w:szCs w:val="18"/>
        </w:rPr>
        <w:t xml:space="preserve">Nel caso venga accertato quanto sopra, si provvede ad informare gli operatori economici coinvolti i quali possono, entro … </w:t>
      </w:r>
      <w:r w:rsidRPr="00AF481C">
        <w:rPr>
          <w:rFonts w:ascii="Titillium" w:hAnsi="Titillium" w:cs="Calibri"/>
          <w:i/>
          <w:iCs/>
          <w:sz w:val="18"/>
          <w:szCs w:val="18"/>
        </w:rPr>
        <w:t xml:space="preserve">[indicare i giorni che verranno assegnati per la risposta] </w:t>
      </w:r>
      <w:r w:rsidRPr="00AF481C">
        <w:rPr>
          <w:rFonts w:ascii="Titillium" w:hAnsi="Titillium" w:cs="Calibri"/>
          <w:sz w:val="18"/>
          <w:szCs w:val="18"/>
        </w:rPr>
        <w:t xml:space="preserve">giorni, dimostrare </w:t>
      </w:r>
      <w:r w:rsidRPr="00AF481C">
        <w:rPr>
          <w:rFonts w:ascii="Titillium" w:hAnsi="Titillium" w:cs="Courier New"/>
          <w:sz w:val="18"/>
          <w:szCs w:val="18"/>
        </w:rPr>
        <w:t xml:space="preserve">che la circostanza non ha influito sulla gara, né è idonea a incidere sulla capacità di rispettare gli obblighi contrattuali. </w:t>
      </w:r>
    </w:p>
    <w:p w:rsidR="00F35AEF" w:rsidRPr="00F35AEF" w:rsidRDefault="00F35AEF" w:rsidP="00F35AEF">
      <w:pPr>
        <w:spacing w:before="60" w:after="60"/>
        <w:rPr>
          <w:rFonts w:ascii="Titillium" w:hAnsi="Titillium" w:cs="Courier New"/>
          <w:sz w:val="18"/>
          <w:szCs w:val="18"/>
        </w:rPr>
      </w:pPr>
    </w:p>
    <w:p w:rsidR="00AE28AD" w:rsidRPr="00AF481C" w:rsidRDefault="00AE28AD" w:rsidP="00604C9A">
      <w:pPr>
        <w:pStyle w:val="Titolo2"/>
        <w:numPr>
          <w:ilvl w:val="0"/>
          <w:numId w:val="3"/>
        </w:numPr>
      </w:pPr>
      <w:bookmarkStart w:id="184" w:name="_Toc406058371"/>
      <w:bookmarkStart w:id="185" w:name="_Toc403471265"/>
      <w:bookmarkStart w:id="186" w:name="_Toc397422858"/>
      <w:bookmarkStart w:id="187" w:name="_Toc397346817"/>
      <w:bookmarkStart w:id="188" w:name="_Toc393706902"/>
      <w:bookmarkStart w:id="189" w:name="_Toc393700829"/>
      <w:bookmarkStart w:id="190" w:name="_Toc393283170"/>
      <w:bookmarkStart w:id="191" w:name="_Toc393272654"/>
      <w:bookmarkStart w:id="192" w:name="_Toc393272596"/>
      <w:bookmarkStart w:id="193" w:name="_Toc393187840"/>
      <w:bookmarkStart w:id="194" w:name="_Toc393112123"/>
      <w:bookmarkStart w:id="195" w:name="_Toc393110559"/>
      <w:bookmarkStart w:id="196" w:name="_Toc392577492"/>
      <w:bookmarkStart w:id="197" w:name="_Toc391036051"/>
      <w:bookmarkStart w:id="198" w:name="_Toc391035978"/>
      <w:bookmarkStart w:id="199" w:name="_Toc380501865"/>
      <w:bookmarkStart w:id="200" w:name="_Toc391036049"/>
      <w:bookmarkStart w:id="201" w:name="_Toc391035976"/>
      <w:bookmarkStart w:id="202" w:name="_Toc485218274"/>
      <w:bookmarkStart w:id="203" w:name="_Toc484688838"/>
      <w:bookmarkStart w:id="204" w:name="_Toc484688283"/>
      <w:bookmarkStart w:id="205" w:name="_Toc484605414"/>
      <w:bookmarkStart w:id="206" w:name="_Toc484605290"/>
      <w:bookmarkStart w:id="207" w:name="_Toc484526570"/>
      <w:bookmarkStart w:id="208" w:name="_Toc484449075"/>
      <w:bookmarkStart w:id="209" w:name="_Toc484448951"/>
      <w:bookmarkStart w:id="210" w:name="_Toc484448827"/>
      <w:bookmarkStart w:id="211" w:name="_Toc484448704"/>
      <w:bookmarkStart w:id="212" w:name="_Toc484448580"/>
      <w:bookmarkStart w:id="213" w:name="_Toc484448456"/>
      <w:bookmarkStart w:id="214" w:name="_Toc484448332"/>
      <w:bookmarkStart w:id="215" w:name="_Toc484448208"/>
      <w:bookmarkStart w:id="216" w:name="_Toc484448083"/>
      <w:bookmarkStart w:id="217" w:name="_Toc484440424"/>
      <w:bookmarkStart w:id="218" w:name="_Toc484440064"/>
      <w:bookmarkStart w:id="219" w:name="_Toc484439940"/>
      <w:bookmarkStart w:id="220" w:name="_Toc484439817"/>
      <w:bookmarkStart w:id="221" w:name="_Toc484438897"/>
      <w:bookmarkStart w:id="222" w:name="_Toc484438773"/>
      <w:bookmarkStart w:id="223" w:name="_Toc484438649"/>
      <w:bookmarkStart w:id="224" w:name="_Toc484429074"/>
      <w:bookmarkStart w:id="225" w:name="_Toc484428904"/>
      <w:bookmarkStart w:id="226" w:name="_Toc484097732"/>
      <w:bookmarkStart w:id="227" w:name="_Toc484011658"/>
      <w:bookmarkStart w:id="228" w:name="_Toc484011183"/>
      <w:bookmarkStart w:id="229" w:name="_Toc484011061"/>
      <w:bookmarkStart w:id="230" w:name="_Toc484010939"/>
      <w:bookmarkStart w:id="231" w:name="_Toc484010815"/>
      <w:bookmarkStart w:id="232" w:name="_Toc484010693"/>
      <w:bookmarkStart w:id="233" w:name="_Toc483906943"/>
      <w:bookmarkStart w:id="234" w:name="_Toc483571566"/>
      <w:bookmarkStart w:id="235" w:name="_Toc483571445"/>
      <w:bookmarkStart w:id="236" w:name="_Toc483474016"/>
      <w:bookmarkStart w:id="237" w:name="_Toc483401219"/>
      <w:bookmarkStart w:id="238" w:name="_Toc483325740"/>
      <w:bookmarkStart w:id="239" w:name="_Toc483316437"/>
      <w:bookmarkStart w:id="240" w:name="_Toc483316306"/>
      <w:bookmarkStart w:id="241" w:name="_Toc483316103"/>
      <w:bookmarkStart w:id="242" w:name="_Toc483315898"/>
      <w:bookmarkStart w:id="243" w:name="_Toc483302348"/>
      <w:bookmarkStart w:id="244" w:name="_Toc483233648"/>
      <w:bookmarkStart w:id="245" w:name="_Toc482979687"/>
      <w:bookmarkStart w:id="246" w:name="_Toc482979589"/>
      <w:bookmarkStart w:id="247" w:name="_Toc482979480"/>
      <w:bookmarkStart w:id="248" w:name="_Toc482979372"/>
      <w:bookmarkStart w:id="249" w:name="_Toc482979263"/>
      <w:bookmarkStart w:id="250" w:name="_Toc482979154"/>
      <w:bookmarkStart w:id="251" w:name="_Toc482979043"/>
      <w:bookmarkStart w:id="252" w:name="_Toc482978935"/>
      <w:bookmarkStart w:id="253" w:name="_Toc482978826"/>
      <w:bookmarkStart w:id="254" w:name="_Toc482959707"/>
      <w:bookmarkStart w:id="255" w:name="_Toc482959597"/>
      <w:bookmarkStart w:id="256" w:name="_Toc482959487"/>
      <w:bookmarkStart w:id="257" w:name="_Toc482712717"/>
      <w:bookmarkStart w:id="258" w:name="_Toc482641271"/>
      <w:bookmarkStart w:id="259" w:name="_Toc482633094"/>
      <w:bookmarkStart w:id="260" w:name="_Toc482352254"/>
      <w:bookmarkStart w:id="261" w:name="_Toc482352164"/>
      <w:bookmarkStart w:id="262" w:name="_Toc482352074"/>
      <w:bookmarkStart w:id="263" w:name="_Toc482351984"/>
      <w:bookmarkStart w:id="264" w:name="_Toc482102120"/>
      <w:bookmarkStart w:id="265" w:name="_Toc482102026"/>
      <w:bookmarkStart w:id="266" w:name="_Toc482101931"/>
      <w:bookmarkStart w:id="267" w:name="_Toc482101836"/>
      <w:bookmarkStart w:id="268" w:name="_Toc482101743"/>
      <w:bookmarkStart w:id="269" w:name="_Toc482101568"/>
      <w:bookmarkStart w:id="270" w:name="_Toc482101453"/>
      <w:bookmarkStart w:id="271" w:name="_Toc482101316"/>
      <w:bookmarkStart w:id="272" w:name="_Toc482100890"/>
      <w:bookmarkStart w:id="273" w:name="_Toc482100733"/>
      <w:bookmarkStart w:id="274" w:name="_Toc482099016"/>
      <w:bookmarkStart w:id="275" w:name="_Toc482097918"/>
      <w:bookmarkStart w:id="276" w:name="_Toc482097726"/>
      <w:bookmarkStart w:id="277" w:name="_Toc482097637"/>
      <w:bookmarkStart w:id="278" w:name="_Toc482097548"/>
      <w:bookmarkStart w:id="279" w:name="_Toc482025725"/>
      <w:bookmarkStart w:id="280" w:name="_Toc485218273"/>
      <w:bookmarkStart w:id="281" w:name="_Toc484688837"/>
      <w:bookmarkStart w:id="282" w:name="_Toc484688282"/>
      <w:bookmarkStart w:id="283" w:name="_Toc484605413"/>
      <w:bookmarkStart w:id="284" w:name="_Toc484605289"/>
      <w:bookmarkStart w:id="285" w:name="_Toc484526569"/>
      <w:bookmarkStart w:id="286" w:name="_Toc484449074"/>
      <w:bookmarkStart w:id="287" w:name="_Toc484448950"/>
      <w:bookmarkStart w:id="288" w:name="_Toc484448826"/>
      <w:bookmarkStart w:id="289" w:name="_Toc484448703"/>
      <w:bookmarkStart w:id="290" w:name="_Toc484448579"/>
      <w:bookmarkStart w:id="291" w:name="_Toc484448455"/>
      <w:bookmarkStart w:id="292" w:name="_Toc484448331"/>
      <w:bookmarkStart w:id="293" w:name="_Toc484448207"/>
      <w:bookmarkStart w:id="294" w:name="_Toc484448082"/>
      <w:bookmarkStart w:id="295" w:name="_Toc484440423"/>
      <w:bookmarkStart w:id="296" w:name="_Toc484440063"/>
      <w:bookmarkStart w:id="297" w:name="_Toc484439939"/>
      <w:bookmarkStart w:id="298" w:name="_Toc484439816"/>
      <w:bookmarkStart w:id="299" w:name="_Toc484438896"/>
      <w:bookmarkStart w:id="300" w:name="_Toc484438772"/>
      <w:bookmarkStart w:id="301" w:name="_Toc484438648"/>
      <w:bookmarkStart w:id="302" w:name="_Toc484429073"/>
      <w:bookmarkStart w:id="303" w:name="_Toc484428903"/>
      <w:bookmarkStart w:id="304" w:name="_Toc484097731"/>
      <w:bookmarkStart w:id="305" w:name="_Toc484011657"/>
      <w:bookmarkStart w:id="306" w:name="_Toc484011182"/>
      <w:bookmarkStart w:id="307" w:name="_Toc484011060"/>
      <w:bookmarkStart w:id="308" w:name="_Toc484010938"/>
      <w:bookmarkStart w:id="309" w:name="_Toc484010814"/>
      <w:bookmarkStart w:id="310" w:name="_Toc484010692"/>
      <w:bookmarkStart w:id="311" w:name="_Toc483906942"/>
      <w:bookmarkStart w:id="312" w:name="_Toc483571565"/>
      <w:bookmarkStart w:id="313" w:name="_Toc483571444"/>
      <w:bookmarkStart w:id="314" w:name="_Toc483474015"/>
      <w:bookmarkStart w:id="315" w:name="_Toc483401218"/>
      <w:bookmarkStart w:id="316" w:name="_Toc483325739"/>
      <w:bookmarkStart w:id="317" w:name="_Toc483316436"/>
      <w:bookmarkStart w:id="318" w:name="_Toc483316305"/>
      <w:bookmarkStart w:id="319" w:name="_Toc483316102"/>
      <w:bookmarkStart w:id="320" w:name="_Toc483315897"/>
      <w:bookmarkStart w:id="321" w:name="_Toc483302347"/>
      <w:bookmarkStart w:id="322" w:name="_Toc483233647"/>
      <w:bookmarkStart w:id="323" w:name="_Toc482979686"/>
      <w:bookmarkStart w:id="324" w:name="_Toc482979588"/>
      <w:bookmarkStart w:id="325" w:name="_Toc482979479"/>
      <w:bookmarkStart w:id="326" w:name="_Toc482979371"/>
      <w:bookmarkStart w:id="327" w:name="_Toc482979262"/>
      <w:bookmarkStart w:id="328" w:name="_Toc482979153"/>
      <w:bookmarkStart w:id="329" w:name="_Toc482979042"/>
      <w:bookmarkStart w:id="330" w:name="_Toc482978934"/>
      <w:bookmarkStart w:id="331" w:name="_Toc482978825"/>
      <w:bookmarkStart w:id="332" w:name="_Toc482959706"/>
      <w:bookmarkStart w:id="333" w:name="_Toc482959596"/>
      <w:bookmarkStart w:id="334" w:name="_Toc482959486"/>
      <w:bookmarkStart w:id="335" w:name="_Toc482712716"/>
      <w:bookmarkStart w:id="336" w:name="_Toc482641270"/>
      <w:bookmarkStart w:id="337" w:name="_Toc482633093"/>
      <w:bookmarkStart w:id="338" w:name="_Toc482352253"/>
      <w:bookmarkStart w:id="339" w:name="_Toc482352163"/>
      <w:bookmarkStart w:id="340" w:name="_Toc482352073"/>
      <w:bookmarkStart w:id="341" w:name="_Toc482351983"/>
      <w:bookmarkStart w:id="342" w:name="_Toc482102119"/>
      <w:bookmarkStart w:id="343" w:name="_Toc482102025"/>
      <w:bookmarkStart w:id="344" w:name="_Toc482101930"/>
      <w:bookmarkStart w:id="345" w:name="_Toc482101835"/>
      <w:bookmarkStart w:id="346" w:name="_Toc482101742"/>
      <w:bookmarkStart w:id="347" w:name="_Toc482101567"/>
      <w:bookmarkStart w:id="348" w:name="_Toc482101452"/>
      <w:bookmarkStart w:id="349" w:name="_Toc482101315"/>
      <w:bookmarkStart w:id="350" w:name="_Toc482100889"/>
      <w:bookmarkStart w:id="351" w:name="_Toc482100732"/>
      <w:bookmarkStart w:id="352" w:name="_Toc482099015"/>
      <w:bookmarkStart w:id="353" w:name="_Toc482097917"/>
      <w:bookmarkStart w:id="354" w:name="_Toc482097725"/>
      <w:bookmarkStart w:id="355" w:name="_Toc482097636"/>
      <w:bookmarkStart w:id="356" w:name="_Toc482097547"/>
      <w:bookmarkStart w:id="357" w:name="_Toc482025724"/>
      <w:bookmarkStart w:id="358" w:name="_Toc485218272"/>
      <w:bookmarkStart w:id="359" w:name="_Toc484688836"/>
      <w:bookmarkStart w:id="360" w:name="_Toc484688281"/>
      <w:bookmarkStart w:id="361" w:name="_Toc484605412"/>
      <w:bookmarkStart w:id="362" w:name="_Toc484605288"/>
      <w:bookmarkStart w:id="363" w:name="_Toc484526568"/>
      <w:bookmarkStart w:id="364" w:name="_Toc484449073"/>
      <w:bookmarkStart w:id="365" w:name="_Toc484448949"/>
      <w:bookmarkStart w:id="366" w:name="_Toc484448825"/>
      <w:bookmarkStart w:id="367" w:name="_Toc484448702"/>
      <w:bookmarkStart w:id="368" w:name="_Toc484448578"/>
      <w:bookmarkStart w:id="369" w:name="_Toc484448454"/>
      <w:bookmarkStart w:id="370" w:name="_Toc484448330"/>
      <w:bookmarkStart w:id="371" w:name="_Toc484448206"/>
      <w:bookmarkStart w:id="372" w:name="_Toc484448081"/>
      <w:bookmarkStart w:id="373" w:name="_Toc484440422"/>
      <w:bookmarkStart w:id="374" w:name="_Toc484440062"/>
      <w:bookmarkStart w:id="375" w:name="_Toc484439938"/>
      <w:bookmarkStart w:id="376" w:name="_Toc484439815"/>
      <w:bookmarkStart w:id="377" w:name="_Toc484438895"/>
      <w:bookmarkStart w:id="378" w:name="_Toc484438771"/>
      <w:bookmarkStart w:id="379" w:name="_Toc484438647"/>
      <w:bookmarkStart w:id="380" w:name="_Toc484429072"/>
      <w:bookmarkStart w:id="381" w:name="_Toc484428902"/>
      <w:bookmarkStart w:id="382" w:name="_Toc484097730"/>
      <w:bookmarkStart w:id="383" w:name="_Toc484011656"/>
      <w:bookmarkStart w:id="384" w:name="_Toc484011181"/>
      <w:bookmarkStart w:id="385" w:name="_Toc484011059"/>
      <w:bookmarkStart w:id="386" w:name="_Toc484010937"/>
      <w:bookmarkStart w:id="387" w:name="_Toc484010813"/>
      <w:bookmarkStart w:id="388" w:name="_Toc484010691"/>
      <w:bookmarkStart w:id="389" w:name="_Toc483906941"/>
      <w:bookmarkStart w:id="390" w:name="_Toc483571564"/>
      <w:bookmarkStart w:id="391" w:name="_Toc483571443"/>
      <w:bookmarkStart w:id="392" w:name="_Toc483474014"/>
      <w:bookmarkStart w:id="393" w:name="_Toc483401217"/>
      <w:bookmarkStart w:id="394" w:name="_Toc483325738"/>
      <w:bookmarkStart w:id="395" w:name="_Toc483316435"/>
      <w:bookmarkStart w:id="396" w:name="_Toc483316304"/>
      <w:bookmarkStart w:id="397" w:name="_Toc483316101"/>
      <w:bookmarkStart w:id="398" w:name="_Toc483315896"/>
      <w:bookmarkStart w:id="399" w:name="_Toc483302346"/>
      <w:bookmarkStart w:id="400" w:name="_Toc483233646"/>
      <w:bookmarkStart w:id="401" w:name="_Toc482979685"/>
      <w:bookmarkStart w:id="402" w:name="_Toc482979587"/>
      <w:bookmarkStart w:id="403" w:name="_Toc482979478"/>
      <w:bookmarkStart w:id="404" w:name="_Toc482979370"/>
      <w:bookmarkStart w:id="405" w:name="_Toc482979261"/>
      <w:bookmarkStart w:id="406" w:name="_Toc482979152"/>
      <w:bookmarkStart w:id="407" w:name="_Toc482979041"/>
      <w:bookmarkStart w:id="408" w:name="_Toc482978933"/>
      <w:bookmarkStart w:id="409" w:name="_Toc482978824"/>
      <w:bookmarkStart w:id="410" w:name="_Toc482959705"/>
      <w:bookmarkStart w:id="411" w:name="_Toc482959595"/>
      <w:bookmarkStart w:id="412" w:name="_Toc482959485"/>
      <w:bookmarkStart w:id="413" w:name="_Toc482712715"/>
      <w:bookmarkStart w:id="414" w:name="_Toc482641269"/>
      <w:bookmarkStart w:id="415" w:name="_Toc482633092"/>
      <w:bookmarkStart w:id="416" w:name="_Toc482352252"/>
      <w:bookmarkStart w:id="417" w:name="_Toc482352162"/>
      <w:bookmarkStart w:id="418" w:name="_Toc482352072"/>
      <w:bookmarkStart w:id="419" w:name="_Toc482351982"/>
      <w:bookmarkStart w:id="420" w:name="_Toc482102118"/>
      <w:bookmarkStart w:id="421" w:name="_Toc482102024"/>
      <w:bookmarkStart w:id="422" w:name="_Toc482101929"/>
      <w:bookmarkStart w:id="423" w:name="_Toc482101834"/>
      <w:bookmarkStart w:id="424" w:name="_Toc482101741"/>
      <w:bookmarkStart w:id="425" w:name="_Toc482101566"/>
      <w:bookmarkStart w:id="426" w:name="_Toc482101451"/>
      <w:bookmarkStart w:id="427" w:name="_Toc482101314"/>
      <w:bookmarkStart w:id="428" w:name="_Toc482100888"/>
      <w:bookmarkStart w:id="429" w:name="_Toc482100731"/>
      <w:bookmarkStart w:id="430" w:name="_Toc482099014"/>
      <w:bookmarkStart w:id="431" w:name="_Toc482097916"/>
      <w:bookmarkStart w:id="432" w:name="_Toc482097724"/>
      <w:bookmarkStart w:id="433" w:name="_Toc482097635"/>
      <w:bookmarkStart w:id="434" w:name="_Toc482097546"/>
      <w:bookmarkStart w:id="435" w:name="_Toc482025723"/>
      <w:bookmarkStart w:id="436" w:name="_Toc485218271"/>
      <w:bookmarkStart w:id="437" w:name="_Toc484688835"/>
      <w:bookmarkStart w:id="438" w:name="_Toc484688280"/>
      <w:bookmarkStart w:id="439" w:name="_Toc484605411"/>
      <w:bookmarkStart w:id="440" w:name="_Toc484605287"/>
      <w:bookmarkStart w:id="441" w:name="_Toc484526567"/>
      <w:bookmarkStart w:id="442" w:name="_Toc484449072"/>
      <w:bookmarkStart w:id="443" w:name="_Toc484448948"/>
      <w:bookmarkStart w:id="444" w:name="_Toc484448824"/>
      <w:bookmarkStart w:id="445" w:name="_Toc484448701"/>
      <w:bookmarkStart w:id="446" w:name="_Toc484448577"/>
      <w:bookmarkStart w:id="447" w:name="_Toc484448453"/>
      <w:bookmarkStart w:id="448" w:name="_Toc484448329"/>
      <w:bookmarkStart w:id="449" w:name="_Toc484448205"/>
      <w:bookmarkStart w:id="450" w:name="_Toc484448080"/>
      <w:bookmarkStart w:id="451" w:name="_Toc484440421"/>
      <w:bookmarkStart w:id="452" w:name="_Toc484440061"/>
      <w:bookmarkStart w:id="453" w:name="_Toc484439937"/>
      <w:bookmarkStart w:id="454" w:name="_Toc484439814"/>
      <w:bookmarkStart w:id="455" w:name="_Toc484438894"/>
      <w:bookmarkStart w:id="456" w:name="_Toc484438770"/>
      <w:bookmarkStart w:id="457" w:name="_Toc484438646"/>
      <w:bookmarkStart w:id="458" w:name="_Toc484429071"/>
      <w:bookmarkStart w:id="459" w:name="_Toc484428901"/>
      <w:bookmarkStart w:id="460" w:name="_Toc484097729"/>
      <w:bookmarkStart w:id="461" w:name="_Toc484011655"/>
      <w:bookmarkStart w:id="462" w:name="_Toc484011180"/>
      <w:bookmarkStart w:id="463" w:name="_Toc484011058"/>
      <w:bookmarkStart w:id="464" w:name="_Toc484010936"/>
      <w:bookmarkStart w:id="465" w:name="_Toc484010812"/>
      <w:bookmarkStart w:id="466" w:name="_Toc484010690"/>
      <w:bookmarkStart w:id="467" w:name="_Toc483906940"/>
      <w:bookmarkStart w:id="468" w:name="_Toc483571563"/>
      <w:bookmarkStart w:id="469" w:name="_Toc483571442"/>
      <w:bookmarkStart w:id="470" w:name="_Toc483474013"/>
      <w:bookmarkStart w:id="471" w:name="_Toc483401216"/>
      <w:bookmarkStart w:id="472" w:name="_Toc483325737"/>
      <w:bookmarkStart w:id="473" w:name="_Toc483316434"/>
      <w:bookmarkStart w:id="474" w:name="_Toc483316303"/>
      <w:bookmarkStart w:id="475" w:name="_Toc483316100"/>
      <w:bookmarkStart w:id="476" w:name="_Toc483315895"/>
      <w:bookmarkStart w:id="477" w:name="_Toc483302345"/>
      <w:bookmarkStart w:id="478" w:name="_Toc483233645"/>
      <w:bookmarkStart w:id="479" w:name="_Toc482979684"/>
      <w:bookmarkStart w:id="480" w:name="_Toc482979586"/>
      <w:bookmarkStart w:id="481" w:name="_Toc482979477"/>
      <w:bookmarkStart w:id="482" w:name="_Toc482979369"/>
      <w:bookmarkStart w:id="483" w:name="_Toc482979260"/>
      <w:bookmarkStart w:id="484" w:name="_Toc482979151"/>
      <w:bookmarkStart w:id="485" w:name="_Toc482979040"/>
      <w:bookmarkStart w:id="486" w:name="_Toc482978932"/>
      <w:bookmarkStart w:id="487" w:name="_Toc482978823"/>
      <w:bookmarkStart w:id="488" w:name="_Toc482959704"/>
      <w:bookmarkStart w:id="489" w:name="_Toc482959594"/>
      <w:bookmarkStart w:id="490" w:name="_Toc482959484"/>
      <w:bookmarkStart w:id="491" w:name="_Toc482712714"/>
      <w:bookmarkStart w:id="492" w:name="_Toc482641268"/>
      <w:bookmarkStart w:id="493" w:name="_Toc482633091"/>
      <w:bookmarkStart w:id="494" w:name="_Toc482352251"/>
      <w:bookmarkStart w:id="495" w:name="_Toc482352161"/>
      <w:bookmarkStart w:id="496" w:name="_Toc482352071"/>
      <w:bookmarkStart w:id="497" w:name="_Toc482351981"/>
      <w:bookmarkStart w:id="498" w:name="_Toc482102117"/>
      <w:bookmarkStart w:id="499" w:name="_Toc482102023"/>
      <w:bookmarkStart w:id="500" w:name="_Toc482101928"/>
      <w:bookmarkStart w:id="501" w:name="_Toc482101833"/>
      <w:bookmarkStart w:id="502" w:name="_Toc482101740"/>
      <w:bookmarkStart w:id="503" w:name="_Toc482101565"/>
      <w:bookmarkStart w:id="504" w:name="_Toc482101450"/>
      <w:bookmarkStart w:id="505" w:name="_Toc482101313"/>
      <w:bookmarkStart w:id="506" w:name="_Toc482100887"/>
      <w:bookmarkStart w:id="507" w:name="_Toc482100730"/>
      <w:bookmarkStart w:id="508" w:name="_Toc482099013"/>
      <w:bookmarkStart w:id="509" w:name="_Toc482097915"/>
      <w:bookmarkStart w:id="510" w:name="_Toc482097723"/>
      <w:bookmarkStart w:id="511" w:name="_Toc482097634"/>
      <w:bookmarkStart w:id="512" w:name="_Toc482097545"/>
      <w:bookmarkStart w:id="513" w:name="_Toc482025722"/>
      <w:bookmarkStart w:id="514" w:name="_Toc485218270"/>
      <w:bookmarkStart w:id="515" w:name="_Toc484688834"/>
      <w:bookmarkStart w:id="516" w:name="_Toc484688279"/>
      <w:bookmarkStart w:id="517" w:name="_Toc484605410"/>
      <w:bookmarkStart w:id="518" w:name="_Toc484605286"/>
      <w:bookmarkStart w:id="519" w:name="_Toc484526566"/>
      <w:bookmarkStart w:id="520" w:name="_Toc484449071"/>
      <w:bookmarkStart w:id="521" w:name="_Toc484448947"/>
      <w:bookmarkStart w:id="522" w:name="_Toc484448823"/>
      <w:bookmarkStart w:id="523" w:name="_Toc484448700"/>
      <w:bookmarkStart w:id="524" w:name="_Toc484448576"/>
      <w:bookmarkStart w:id="525" w:name="_Toc484448452"/>
      <w:bookmarkStart w:id="526" w:name="_Toc484448328"/>
      <w:bookmarkStart w:id="527" w:name="_Toc484448204"/>
      <w:bookmarkStart w:id="528" w:name="_Toc484448079"/>
      <w:bookmarkStart w:id="529" w:name="_Toc484440420"/>
      <w:bookmarkStart w:id="530" w:name="_Toc484440060"/>
      <w:bookmarkStart w:id="531" w:name="_Toc484439936"/>
      <w:bookmarkStart w:id="532" w:name="_Toc484439813"/>
      <w:bookmarkStart w:id="533" w:name="_Toc484438893"/>
      <w:bookmarkStart w:id="534" w:name="_Toc484438769"/>
      <w:bookmarkStart w:id="535" w:name="_Toc484438645"/>
      <w:bookmarkStart w:id="536" w:name="_Toc484429070"/>
      <w:bookmarkStart w:id="537" w:name="_Toc484428900"/>
      <w:bookmarkStart w:id="538" w:name="_Toc484097728"/>
      <w:bookmarkStart w:id="539" w:name="_Toc484011654"/>
      <w:bookmarkStart w:id="540" w:name="_Toc484011179"/>
      <w:bookmarkStart w:id="541" w:name="_Toc484011057"/>
      <w:bookmarkStart w:id="542" w:name="_Toc484010935"/>
      <w:bookmarkStart w:id="543" w:name="_Toc484010811"/>
      <w:bookmarkStart w:id="544" w:name="_Toc484010689"/>
      <w:bookmarkStart w:id="545" w:name="_Toc483906939"/>
      <w:bookmarkStart w:id="546" w:name="_Toc483571562"/>
      <w:bookmarkStart w:id="547" w:name="_Toc483571441"/>
      <w:bookmarkStart w:id="548" w:name="_Toc483474012"/>
      <w:bookmarkStart w:id="549" w:name="_Toc483401215"/>
      <w:bookmarkStart w:id="550" w:name="_Toc483325736"/>
      <w:bookmarkStart w:id="551" w:name="_Toc483316433"/>
      <w:bookmarkStart w:id="552" w:name="_Toc483316302"/>
      <w:bookmarkStart w:id="553" w:name="_Toc483316099"/>
      <w:bookmarkStart w:id="554" w:name="_Toc483315894"/>
      <w:bookmarkStart w:id="555" w:name="_Toc483302344"/>
      <w:bookmarkStart w:id="556" w:name="_Toc483233644"/>
      <w:bookmarkStart w:id="557" w:name="_Toc482979683"/>
      <w:bookmarkStart w:id="558" w:name="_Toc482979585"/>
      <w:bookmarkStart w:id="559" w:name="_Toc482979476"/>
      <w:bookmarkStart w:id="560" w:name="_Toc482979368"/>
      <w:bookmarkStart w:id="561" w:name="_Toc482979259"/>
      <w:bookmarkStart w:id="562" w:name="_Toc482979150"/>
      <w:bookmarkStart w:id="563" w:name="_Toc482979039"/>
      <w:bookmarkStart w:id="564" w:name="_Toc482978931"/>
      <w:bookmarkStart w:id="565" w:name="_Toc482978822"/>
      <w:bookmarkStart w:id="566" w:name="_Toc482959703"/>
      <w:bookmarkStart w:id="567" w:name="_Toc482959593"/>
      <w:bookmarkStart w:id="568" w:name="_Toc482959483"/>
      <w:bookmarkStart w:id="569" w:name="_Toc482712713"/>
      <w:bookmarkStart w:id="570" w:name="_Toc482641267"/>
      <w:bookmarkStart w:id="571" w:name="_Toc482633090"/>
      <w:bookmarkStart w:id="572" w:name="_Toc482352250"/>
      <w:bookmarkStart w:id="573" w:name="_Toc482352160"/>
      <w:bookmarkStart w:id="574" w:name="_Toc482352070"/>
      <w:bookmarkStart w:id="575" w:name="_Toc482351980"/>
      <w:bookmarkStart w:id="576" w:name="_Toc482102116"/>
      <w:bookmarkStart w:id="577" w:name="_Toc482102022"/>
      <w:bookmarkStart w:id="578" w:name="_Toc482101927"/>
      <w:bookmarkStart w:id="579" w:name="_Toc482101832"/>
      <w:bookmarkStart w:id="580" w:name="_Toc482101739"/>
      <w:bookmarkStart w:id="581" w:name="_Toc482101564"/>
      <w:bookmarkStart w:id="582" w:name="_Toc482101449"/>
      <w:bookmarkStart w:id="583" w:name="_Toc482101312"/>
      <w:bookmarkStart w:id="584" w:name="_Toc482100886"/>
      <w:bookmarkStart w:id="585" w:name="_Toc482100729"/>
      <w:bookmarkStart w:id="586" w:name="_Toc482099012"/>
      <w:bookmarkStart w:id="587" w:name="_Toc482097914"/>
      <w:bookmarkStart w:id="588" w:name="_Toc482097722"/>
      <w:bookmarkStart w:id="589" w:name="_Toc482097633"/>
      <w:bookmarkStart w:id="590" w:name="_Toc482097544"/>
      <w:bookmarkStart w:id="591" w:name="_Toc482025721"/>
      <w:bookmarkStart w:id="592" w:name="_Toc485218269"/>
      <w:bookmarkStart w:id="593" w:name="_Toc484688833"/>
      <w:bookmarkStart w:id="594" w:name="_Toc484688278"/>
      <w:bookmarkStart w:id="595" w:name="_Toc484605409"/>
      <w:bookmarkStart w:id="596" w:name="_Toc484605285"/>
      <w:bookmarkStart w:id="597" w:name="_Toc484526565"/>
      <w:bookmarkStart w:id="598" w:name="_Toc484449070"/>
      <w:bookmarkStart w:id="599" w:name="_Toc484448946"/>
      <w:bookmarkStart w:id="600" w:name="_Toc484448822"/>
      <w:bookmarkStart w:id="601" w:name="_Toc484448699"/>
      <w:bookmarkStart w:id="602" w:name="_Toc484448575"/>
      <w:bookmarkStart w:id="603" w:name="_Toc484448451"/>
      <w:bookmarkStart w:id="604" w:name="_Toc484448327"/>
      <w:bookmarkStart w:id="605" w:name="_Toc484448203"/>
      <w:bookmarkStart w:id="606" w:name="_Toc484448078"/>
      <w:bookmarkStart w:id="607" w:name="_Toc484440419"/>
      <w:bookmarkStart w:id="608" w:name="_Toc484440059"/>
      <w:bookmarkStart w:id="609" w:name="_Toc484439935"/>
      <w:bookmarkStart w:id="610" w:name="_Toc484439812"/>
      <w:bookmarkStart w:id="611" w:name="_Toc484438892"/>
      <w:bookmarkStart w:id="612" w:name="_Toc484438768"/>
      <w:bookmarkStart w:id="613" w:name="_Toc484438644"/>
      <w:bookmarkStart w:id="614" w:name="_Toc484429069"/>
      <w:bookmarkStart w:id="615" w:name="_Toc484428899"/>
      <w:bookmarkStart w:id="616" w:name="_Toc484097727"/>
      <w:bookmarkStart w:id="617" w:name="_Toc484011653"/>
      <w:bookmarkStart w:id="618" w:name="_Toc484011178"/>
      <w:bookmarkStart w:id="619" w:name="_Toc484011056"/>
      <w:bookmarkStart w:id="620" w:name="_Toc484010934"/>
      <w:bookmarkStart w:id="621" w:name="_Toc484010810"/>
      <w:bookmarkStart w:id="622" w:name="_Toc484010688"/>
      <w:bookmarkStart w:id="623" w:name="_Toc483906938"/>
      <w:bookmarkStart w:id="624" w:name="_Toc483571561"/>
      <w:bookmarkStart w:id="625" w:name="_Toc483571440"/>
      <w:bookmarkStart w:id="626" w:name="_Toc483474011"/>
      <w:bookmarkStart w:id="627" w:name="_Toc483401214"/>
      <w:bookmarkStart w:id="628" w:name="_Toc483325735"/>
      <w:bookmarkStart w:id="629" w:name="_Toc483316432"/>
      <w:bookmarkStart w:id="630" w:name="_Toc483316301"/>
      <w:bookmarkStart w:id="631" w:name="_Toc483316098"/>
      <w:bookmarkStart w:id="632" w:name="_Toc483315893"/>
      <w:bookmarkStart w:id="633" w:name="_Toc483302343"/>
      <w:bookmarkStart w:id="634" w:name="_Toc483233643"/>
      <w:bookmarkStart w:id="635" w:name="_Toc482979682"/>
      <w:bookmarkStart w:id="636" w:name="_Toc482979584"/>
      <w:bookmarkStart w:id="637" w:name="_Toc482979475"/>
      <w:bookmarkStart w:id="638" w:name="_Toc482979367"/>
      <w:bookmarkStart w:id="639" w:name="_Toc482979258"/>
      <w:bookmarkStart w:id="640" w:name="_Toc482979149"/>
      <w:bookmarkStart w:id="641" w:name="_Toc482979038"/>
      <w:bookmarkStart w:id="642" w:name="_Toc482978930"/>
      <w:bookmarkStart w:id="643" w:name="_Toc482978821"/>
      <w:bookmarkStart w:id="644" w:name="_Toc482959702"/>
      <w:bookmarkStart w:id="645" w:name="_Toc482959592"/>
      <w:bookmarkStart w:id="646" w:name="_Toc482959482"/>
      <w:bookmarkStart w:id="647" w:name="_Toc482712712"/>
      <w:bookmarkStart w:id="648" w:name="_Toc482641266"/>
      <w:bookmarkStart w:id="649" w:name="_Toc482633089"/>
      <w:bookmarkStart w:id="650" w:name="_Toc482352249"/>
      <w:bookmarkStart w:id="651" w:name="_Toc482352159"/>
      <w:bookmarkStart w:id="652" w:name="_Toc482352069"/>
      <w:bookmarkStart w:id="653" w:name="_Toc482351979"/>
      <w:bookmarkStart w:id="654" w:name="_Toc482102115"/>
      <w:bookmarkStart w:id="655" w:name="_Toc482102021"/>
      <w:bookmarkStart w:id="656" w:name="_Toc482101926"/>
      <w:bookmarkStart w:id="657" w:name="_Toc482101831"/>
      <w:bookmarkStart w:id="658" w:name="_Toc482101738"/>
      <w:bookmarkStart w:id="659" w:name="_Toc482101563"/>
      <w:bookmarkStart w:id="660" w:name="_Toc482101448"/>
      <w:bookmarkStart w:id="661" w:name="_Toc482101311"/>
      <w:bookmarkStart w:id="662" w:name="_Toc482100885"/>
      <w:bookmarkStart w:id="663" w:name="_Toc482100728"/>
      <w:bookmarkStart w:id="664" w:name="_Toc482099011"/>
      <w:bookmarkStart w:id="665" w:name="_Toc482097913"/>
      <w:bookmarkStart w:id="666" w:name="_Toc482097721"/>
      <w:bookmarkStart w:id="667" w:name="_Toc482097632"/>
      <w:bookmarkStart w:id="668" w:name="_Toc482097543"/>
      <w:bookmarkStart w:id="669" w:name="_Toc482025720"/>
      <w:bookmarkStart w:id="670" w:name="_Toc485218268"/>
      <w:bookmarkStart w:id="671" w:name="_Toc484688832"/>
      <w:bookmarkStart w:id="672" w:name="_Toc484688277"/>
      <w:bookmarkStart w:id="673" w:name="_Toc484605408"/>
      <w:bookmarkStart w:id="674" w:name="_Toc484605284"/>
      <w:bookmarkStart w:id="675" w:name="_Toc484526564"/>
      <w:bookmarkStart w:id="676" w:name="_Toc484449069"/>
      <w:bookmarkStart w:id="677" w:name="_Toc484448945"/>
      <w:bookmarkStart w:id="678" w:name="_Toc484448821"/>
      <w:bookmarkStart w:id="679" w:name="_Toc484448698"/>
      <w:bookmarkStart w:id="680" w:name="_Toc484448574"/>
      <w:bookmarkStart w:id="681" w:name="_Toc484448450"/>
      <w:bookmarkStart w:id="682" w:name="_Toc484448326"/>
      <w:bookmarkStart w:id="683" w:name="_Toc484448202"/>
      <w:bookmarkStart w:id="684" w:name="_Toc484448077"/>
      <w:bookmarkStart w:id="685" w:name="_Toc484440418"/>
      <w:bookmarkStart w:id="686" w:name="_Toc484440058"/>
      <w:bookmarkStart w:id="687" w:name="_Toc484439934"/>
      <w:bookmarkStart w:id="688" w:name="_Toc484439811"/>
      <w:bookmarkStart w:id="689" w:name="_Toc484438891"/>
      <w:bookmarkStart w:id="690" w:name="_Toc484438767"/>
      <w:bookmarkStart w:id="691" w:name="_Toc484438643"/>
      <w:bookmarkStart w:id="692" w:name="_Toc484429068"/>
      <w:bookmarkStart w:id="693" w:name="_Toc484428898"/>
      <w:bookmarkStart w:id="694" w:name="_Toc484097726"/>
      <w:bookmarkStart w:id="695" w:name="_Toc484011652"/>
      <w:bookmarkStart w:id="696" w:name="_Toc484011177"/>
      <w:bookmarkStart w:id="697" w:name="_Toc484011055"/>
      <w:bookmarkStart w:id="698" w:name="_Toc484010933"/>
      <w:bookmarkStart w:id="699" w:name="_Toc484010809"/>
      <w:bookmarkStart w:id="700" w:name="_Toc484010687"/>
      <w:bookmarkStart w:id="701" w:name="_Toc483906937"/>
      <w:bookmarkStart w:id="702" w:name="_Toc483571560"/>
      <w:bookmarkStart w:id="703" w:name="_Toc483571439"/>
      <w:bookmarkStart w:id="704" w:name="_Toc483474010"/>
      <w:bookmarkStart w:id="705" w:name="_Toc483401213"/>
      <w:bookmarkStart w:id="706" w:name="_Toc483325734"/>
      <w:bookmarkStart w:id="707" w:name="_Toc483316431"/>
      <w:bookmarkStart w:id="708" w:name="_Toc483316300"/>
      <w:bookmarkStart w:id="709" w:name="_Toc483316097"/>
      <w:bookmarkStart w:id="710" w:name="_Toc483315892"/>
      <w:bookmarkStart w:id="711" w:name="_Toc483302342"/>
      <w:bookmarkStart w:id="712" w:name="_Toc483233642"/>
      <w:bookmarkStart w:id="713" w:name="_Toc482979681"/>
      <w:bookmarkStart w:id="714" w:name="_Toc482979583"/>
      <w:bookmarkStart w:id="715" w:name="_Toc482979474"/>
      <w:bookmarkStart w:id="716" w:name="_Toc482979366"/>
      <w:bookmarkStart w:id="717" w:name="_Toc482979257"/>
      <w:bookmarkStart w:id="718" w:name="_Toc482979148"/>
      <w:bookmarkStart w:id="719" w:name="_Toc482979037"/>
      <w:bookmarkStart w:id="720" w:name="_Toc482978929"/>
      <w:bookmarkStart w:id="721" w:name="_Toc482978820"/>
      <w:bookmarkStart w:id="722" w:name="_Toc482959701"/>
      <w:bookmarkStart w:id="723" w:name="_Toc482959591"/>
      <w:bookmarkStart w:id="724" w:name="_Toc482959481"/>
      <w:bookmarkStart w:id="725" w:name="_Toc482712711"/>
      <w:bookmarkStart w:id="726" w:name="_Toc482641265"/>
      <w:bookmarkStart w:id="727" w:name="_Toc482633088"/>
      <w:bookmarkStart w:id="728" w:name="_Toc482352248"/>
      <w:bookmarkStart w:id="729" w:name="_Toc482352158"/>
      <w:bookmarkStart w:id="730" w:name="_Toc482352068"/>
      <w:bookmarkStart w:id="731" w:name="_Toc482351978"/>
      <w:bookmarkStart w:id="732" w:name="_Toc482102114"/>
      <w:bookmarkStart w:id="733" w:name="_Toc482102020"/>
      <w:bookmarkStart w:id="734" w:name="_Toc482101925"/>
      <w:bookmarkStart w:id="735" w:name="_Toc482101830"/>
      <w:bookmarkStart w:id="736" w:name="_Toc482101737"/>
      <w:bookmarkStart w:id="737" w:name="_Toc482101562"/>
      <w:bookmarkStart w:id="738" w:name="_Toc482101447"/>
      <w:bookmarkStart w:id="739" w:name="_Toc482101310"/>
      <w:bookmarkStart w:id="740" w:name="_Toc482100884"/>
      <w:bookmarkStart w:id="741" w:name="_Toc482100727"/>
      <w:bookmarkStart w:id="742" w:name="_Toc482099010"/>
      <w:bookmarkStart w:id="743" w:name="_Toc482097912"/>
      <w:bookmarkStart w:id="744" w:name="_Toc482097720"/>
      <w:bookmarkStart w:id="745" w:name="_Toc482097631"/>
      <w:bookmarkStart w:id="746" w:name="_Toc482097542"/>
      <w:bookmarkStart w:id="747" w:name="_Toc482025719"/>
      <w:bookmarkStart w:id="748" w:name="_Toc485218267"/>
      <w:bookmarkStart w:id="749" w:name="_Toc484688831"/>
      <w:bookmarkStart w:id="750" w:name="_Toc484688276"/>
      <w:bookmarkStart w:id="751" w:name="_Toc484605407"/>
      <w:bookmarkStart w:id="752" w:name="_Toc484605283"/>
      <w:bookmarkStart w:id="753" w:name="_Toc484526563"/>
      <w:bookmarkStart w:id="754" w:name="_Toc484449068"/>
      <w:bookmarkStart w:id="755" w:name="_Toc484448944"/>
      <w:bookmarkStart w:id="756" w:name="_Toc484448820"/>
      <w:bookmarkStart w:id="757" w:name="_Toc484448697"/>
      <w:bookmarkStart w:id="758" w:name="_Toc484448573"/>
      <w:bookmarkStart w:id="759" w:name="_Toc484448449"/>
      <w:bookmarkStart w:id="760" w:name="_Toc484448325"/>
      <w:bookmarkStart w:id="761" w:name="_Toc484448201"/>
      <w:bookmarkStart w:id="762" w:name="_Toc484448076"/>
      <w:bookmarkStart w:id="763" w:name="_Toc484440417"/>
      <w:bookmarkStart w:id="764" w:name="_Toc484440057"/>
      <w:bookmarkStart w:id="765" w:name="_Toc484439933"/>
      <w:bookmarkStart w:id="766" w:name="_Toc484439810"/>
      <w:bookmarkStart w:id="767" w:name="_Toc484438890"/>
      <w:bookmarkStart w:id="768" w:name="_Toc484438766"/>
      <w:bookmarkStart w:id="769" w:name="_Toc484438642"/>
      <w:bookmarkStart w:id="770" w:name="_Toc484429067"/>
      <w:bookmarkStart w:id="771" w:name="_Toc484428897"/>
      <w:bookmarkStart w:id="772" w:name="_Toc484097725"/>
      <w:bookmarkStart w:id="773" w:name="_Toc484011651"/>
      <w:bookmarkStart w:id="774" w:name="_Toc484011176"/>
      <w:bookmarkStart w:id="775" w:name="_Toc484011054"/>
      <w:bookmarkStart w:id="776" w:name="_Toc484010932"/>
      <w:bookmarkStart w:id="777" w:name="_Toc484010808"/>
      <w:bookmarkStart w:id="778" w:name="_Toc484010686"/>
      <w:bookmarkStart w:id="779" w:name="_Toc483906936"/>
      <w:bookmarkStart w:id="780" w:name="_Toc483571559"/>
      <w:bookmarkStart w:id="781" w:name="_Toc483571438"/>
      <w:bookmarkStart w:id="782" w:name="_Toc483474009"/>
      <w:bookmarkStart w:id="783" w:name="_Toc483401212"/>
      <w:bookmarkStart w:id="784" w:name="_Toc483325733"/>
      <w:bookmarkStart w:id="785" w:name="_Toc483316430"/>
      <w:bookmarkStart w:id="786" w:name="_Toc483316299"/>
      <w:bookmarkStart w:id="787" w:name="_Toc483316096"/>
      <w:bookmarkStart w:id="788" w:name="_Toc483315891"/>
      <w:bookmarkStart w:id="789" w:name="_Toc483302341"/>
      <w:bookmarkStart w:id="790" w:name="_Toc483233641"/>
      <w:bookmarkStart w:id="791" w:name="_Toc482979680"/>
      <w:bookmarkStart w:id="792" w:name="_Toc482979582"/>
      <w:bookmarkStart w:id="793" w:name="_Toc482979473"/>
      <w:bookmarkStart w:id="794" w:name="_Toc482979365"/>
      <w:bookmarkStart w:id="795" w:name="_Toc482979256"/>
      <w:bookmarkStart w:id="796" w:name="_Toc482979147"/>
      <w:bookmarkStart w:id="797" w:name="_Toc482979036"/>
      <w:bookmarkStart w:id="798" w:name="_Toc482978928"/>
      <w:bookmarkStart w:id="799" w:name="_Toc482978819"/>
      <w:bookmarkStart w:id="800" w:name="_Toc482959700"/>
      <w:bookmarkStart w:id="801" w:name="_Toc482959590"/>
      <w:bookmarkStart w:id="802" w:name="_Toc482959480"/>
      <w:bookmarkStart w:id="803" w:name="_Toc482712710"/>
      <w:bookmarkStart w:id="804" w:name="_Toc482641264"/>
      <w:bookmarkStart w:id="805" w:name="_Toc482633087"/>
      <w:bookmarkStart w:id="806" w:name="_Toc482352247"/>
      <w:bookmarkStart w:id="807" w:name="_Toc482352157"/>
      <w:bookmarkStart w:id="808" w:name="_Toc482352067"/>
      <w:bookmarkStart w:id="809" w:name="_Toc482351977"/>
      <w:bookmarkStart w:id="810" w:name="_Toc482102113"/>
      <w:bookmarkStart w:id="811" w:name="_Toc482102019"/>
      <w:bookmarkStart w:id="812" w:name="_Toc482101924"/>
      <w:bookmarkStart w:id="813" w:name="_Toc482101829"/>
      <w:bookmarkStart w:id="814" w:name="_Toc482101736"/>
      <w:bookmarkStart w:id="815" w:name="_Toc482101561"/>
      <w:bookmarkStart w:id="816" w:name="_Toc482101446"/>
      <w:bookmarkStart w:id="817" w:name="_Toc482101309"/>
      <w:bookmarkStart w:id="818" w:name="_Toc482100883"/>
      <w:bookmarkStart w:id="819" w:name="_Toc482100726"/>
      <w:bookmarkStart w:id="820" w:name="_Toc482099009"/>
      <w:bookmarkStart w:id="821" w:name="_Toc482097911"/>
      <w:bookmarkStart w:id="822" w:name="_Toc482097719"/>
      <w:bookmarkStart w:id="823" w:name="_Toc482097630"/>
      <w:bookmarkStart w:id="824" w:name="_Toc482097541"/>
      <w:bookmarkStart w:id="825" w:name="_Toc482025718"/>
      <w:bookmarkStart w:id="826" w:name="_Toc485218266"/>
      <w:bookmarkStart w:id="827" w:name="_Toc484688830"/>
      <w:bookmarkStart w:id="828" w:name="_Toc484688275"/>
      <w:bookmarkStart w:id="829" w:name="_Toc484605406"/>
      <w:bookmarkStart w:id="830" w:name="_Toc484605282"/>
      <w:bookmarkStart w:id="831" w:name="_Toc484526562"/>
      <w:bookmarkStart w:id="832" w:name="_Toc484449067"/>
      <w:bookmarkStart w:id="833" w:name="_Toc484448943"/>
      <w:bookmarkStart w:id="834" w:name="_Toc484448819"/>
      <w:bookmarkStart w:id="835" w:name="_Toc484448696"/>
      <w:bookmarkStart w:id="836" w:name="_Toc484448572"/>
      <w:bookmarkStart w:id="837" w:name="_Toc484448448"/>
      <w:bookmarkStart w:id="838" w:name="_Toc484448324"/>
      <w:bookmarkStart w:id="839" w:name="_Toc484448200"/>
      <w:bookmarkStart w:id="840" w:name="_Toc484448075"/>
      <w:bookmarkStart w:id="841" w:name="_Toc484440416"/>
      <w:bookmarkStart w:id="842" w:name="_Toc484440056"/>
      <w:bookmarkStart w:id="843" w:name="_Toc484439932"/>
      <w:bookmarkStart w:id="844" w:name="_Toc484439809"/>
      <w:bookmarkStart w:id="845" w:name="_Toc484438889"/>
      <w:bookmarkStart w:id="846" w:name="_Toc484438765"/>
      <w:bookmarkStart w:id="847" w:name="_Toc484438641"/>
      <w:bookmarkStart w:id="848" w:name="_Toc484429066"/>
      <w:bookmarkStart w:id="849" w:name="_Toc484428896"/>
      <w:bookmarkStart w:id="850" w:name="_Toc484097724"/>
      <w:bookmarkStart w:id="851" w:name="_Toc484011650"/>
      <w:bookmarkStart w:id="852" w:name="_Toc484011175"/>
      <w:bookmarkStart w:id="853" w:name="_Toc484011053"/>
      <w:bookmarkStart w:id="854" w:name="_Toc484010931"/>
      <w:bookmarkStart w:id="855" w:name="_Toc484010807"/>
      <w:bookmarkStart w:id="856" w:name="_Toc484010685"/>
      <w:bookmarkStart w:id="857" w:name="_Toc483906935"/>
      <w:bookmarkStart w:id="858" w:name="_Toc483571558"/>
      <w:bookmarkStart w:id="859" w:name="_Toc483571437"/>
      <w:bookmarkStart w:id="860" w:name="_Toc483474008"/>
      <w:bookmarkStart w:id="861" w:name="_Toc483401211"/>
      <w:bookmarkStart w:id="862" w:name="_Toc483325732"/>
      <w:bookmarkStart w:id="863" w:name="_Toc483316429"/>
      <w:bookmarkStart w:id="864" w:name="_Toc483316298"/>
      <w:bookmarkStart w:id="865" w:name="_Toc483316095"/>
      <w:bookmarkStart w:id="866" w:name="_Toc483315890"/>
      <w:bookmarkStart w:id="867" w:name="_Toc483302340"/>
      <w:bookmarkStart w:id="868" w:name="_Toc483233640"/>
      <w:bookmarkStart w:id="869" w:name="_Toc482979679"/>
      <w:bookmarkStart w:id="870" w:name="_Toc482979581"/>
      <w:bookmarkStart w:id="871" w:name="_Toc482979472"/>
      <w:bookmarkStart w:id="872" w:name="_Toc482979364"/>
      <w:bookmarkStart w:id="873" w:name="_Toc482979255"/>
      <w:bookmarkStart w:id="874" w:name="_Toc482979146"/>
      <w:bookmarkStart w:id="875" w:name="_Toc482979035"/>
      <w:bookmarkStart w:id="876" w:name="_Toc482978927"/>
      <w:bookmarkStart w:id="877" w:name="_Toc482978818"/>
      <w:bookmarkStart w:id="878" w:name="_Toc482959699"/>
      <w:bookmarkStart w:id="879" w:name="_Toc482959589"/>
      <w:bookmarkStart w:id="880" w:name="_Toc482959479"/>
      <w:bookmarkStart w:id="881" w:name="_Toc482712709"/>
      <w:bookmarkStart w:id="882" w:name="_Toc482641263"/>
      <w:bookmarkStart w:id="883" w:name="_Toc482633086"/>
      <w:bookmarkStart w:id="884" w:name="_Toc482352246"/>
      <w:bookmarkStart w:id="885" w:name="_Toc482352156"/>
      <w:bookmarkStart w:id="886" w:name="_Toc482352066"/>
      <w:bookmarkStart w:id="887" w:name="_Toc482351976"/>
      <w:bookmarkStart w:id="888" w:name="_Toc482102112"/>
      <w:bookmarkStart w:id="889" w:name="_Toc482102018"/>
      <w:bookmarkStart w:id="890" w:name="_Toc482101923"/>
      <w:bookmarkStart w:id="891" w:name="_Toc482101828"/>
      <w:bookmarkStart w:id="892" w:name="_Toc482101735"/>
      <w:bookmarkStart w:id="893" w:name="_Toc482101560"/>
      <w:bookmarkStart w:id="894" w:name="_Toc482101445"/>
      <w:bookmarkStart w:id="895" w:name="_Toc482101308"/>
      <w:bookmarkStart w:id="896" w:name="_Toc482100882"/>
      <w:bookmarkStart w:id="897" w:name="_Toc482100725"/>
      <w:bookmarkStart w:id="898" w:name="_Toc482099008"/>
      <w:bookmarkStart w:id="899" w:name="_Toc482097910"/>
      <w:bookmarkStart w:id="900" w:name="_Toc482097718"/>
      <w:bookmarkStart w:id="901" w:name="_Toc482097629"/>
      <w:bookmarkStart w:id="902" w:name="_Toc482097540"/>
      <w:bookmarkStart w:id="903" w:name="_Toc482025717"/>
      <w:bookmarkStart w:id="904" w:name="_Toc485218265"/>
      <w:bookmarkStart w:id="905" w:name="_Toc484688829"/>
      <w:bookmarkStart w:id="906" w:name="_Toc484688274"/>
      <w:bookmarkStart w:id="907" w:name="_Toc484605405"/>
      <w:bookmarkStart w:id="908" w:name="_Toc484605281"/>
      <w:bookmarkStart w:id="909" w:name="_Toc484526561"/>
      <w:bookmarkStart w:id="910" w:name="_Toc484449066"/>
      <w:bookmarkStart w:id="911" w:name="_Toc484448942"/>
      <w:bookmarkStart w:id="912" w:name="_Toc484448818"/>
      <w:bookmarkStart w:id="913" w:name="_Toc484448695"/>
      <w:bookmarkStart w:id="914" w:name="_Toc484448571"/>
      <w:bookmarkStart w:id="915" w:name="_Toc484448447"/>
      <w:bookmarkStart w:id="916" w:name="_Toc484448323"/>
      <w:bookmarkStart w:id="917" w:name="_Toc484448199"/>
      <w:bookmarkStart w:id="918" w:name="_Toc484448074"/>
      <w:bookmarkStart w:id="919" w:name="_Toc484440415"/>
      <w:bookmarkStart w:id="920" w:name="_Toc484440055"/>
      <w:bookmarkStart w:id="921" w:name="_Toc484439931"/>
      <w:bookmarkStart w:id="922" w:name="_Toc484439808"/>
      <w:bookmarkStart w:id="923" w:name="_Toc484438888"/>
      <w:bookmarkStart w:id="924" w:name="_Toc484438764"/>
      <w:bookmarkStart w:id="925" w:name="_Toc484438640"/>
      <w:bookmarkStart w:id="926" w:name="_Toc484429065"/>
      <w:bookmarkStart w:id="927" w:name="_Toc484428895"/>
      <w:bookmarkStart w:id="928" w:name="_Toc484097723"/>
      <w:bookmarkStart w:id="929" w:name="_Toc484011649"/>
      <w:bookmarkStart w:id="930" w:name="_Toc484011174"/>
      <w:bookmarkStart w:id="931" w:name="_Toc484011052"/>
      <w:bookmarkStart w:id="932" w:name="_Toc484010930"/>
      <w:bookmarkStart w:id="933" w:name="_Toc484010806"/>
      <w:bookmarkStart w:id="934" w:name="_Toc484010684"/>
      <w:bookmarkStart w:id="935" w:name="_Toc483906934"/>
      <w:bookmarkStart w:id="936" w:name="_Toc483571557"/>
      <w:bookmarkStart w:id="937" w:name="_Toc483571436"/>
      <w:bookmarkStart w:id="938" w:name="_Toc483474007"/>
      <w:bookmarkStart w:id="939" w:name="_Toc483401210"/>
      <w:bookmarkStart w:id="940" w:name="_Toc483325731"/>
      <w:bookmarkStart w:id="941" w:name="_Toc483316428"/>
      <w:bookmarkStart w:id="942" w:name="_Toc483316297"/>
      <w:bookmarkStart w:id="943" w:name="_Toc483316094"/>
      <w:bookmarkStart w:id="944" w:name="_Toc483315889"/>
      <w:bookmarkStart w:id="945" w:name="_Toc483302339"/>
      <w:bookmarkStart w:id="946" w:name="_Toc483233639"/>
      <w:bookmarkStart w:id="947" w:name="_Toc482979678"/>
      <w:bookmarkStart w:id="948" w:name="_Toc482979580"/>
      <w:bookmarkStart w:id="949" w:name="_Toc482979471"/>
      <w:bookmarkStart w:id="950" w:name="_Toc482979363"/>
      <w:bookmarkStart w:id="951" w:name="_Toc482979254"/>
      <w:bookmarkStart w:id="952" w:name="_Toc482979145"/>
      <w:bookmarkStart w:id="953" w:name="_Toc482979034"/>
      <w:bookmarkStart w:id="954" w:name="_Toc482978926"/>
      <w:bookmarkStart w:id="955" w:name="_Toc482978817"/>
      <w:bookmarkStart w:id="956" w:name="_Toc482959698"/>
      <w:bookmarkStart w:id="957" w:name="_Toc482959588"/>
      <w:bookmarkStart w:id="958" w:name="_Toc482959478"/>
      <w:bookmarkStart w:id="959" w:name="_Toc482712708"/>
      <w:bookmarkStart w:id="960" w:name="_Toc482641262"/>
      <w:bookmarkStart w:id="961" w:name="_Toc482633085"/>
      <w:bookmarkStart w:id="962" w:name="_Toc482352245"/>
      <w:bookmarkStart w:id="963" w:name="_Toc482352155"/>
      <w:bookmarkStart w:id="964" w:name="_Toc482352065"/>
      <w:bookmarkStart w:id="965" w:name="_Toc482351975"/>
      <w:bookmarkStart w:id="966" w:name="_Toc482102111"/>
      <w:bookmarkStart w:id="967" w:name="_Toc482102017"/>
      <w:bookmarkStart w:id="968" w:name="_Toc482101922"/>
      <w:bookmarkStart w:id="969" w:name="_Toc482101827"/>
      <w:bookmarkStart w:id="970" w:name="_Toc482101734"/>
      <w:bookmarkStart w:id="971" w:name="_Toc482101559"/>
      <w:bookmarkStart w:id="972" w:name="_Toc482101444"/>
      <w:bookmarkStart w:id="973" w:name="_Toc482101307"/>
      <w:bookmarkStart w:id="974" w:name="_Toc482100881"/>
      <w:bookmarkStart w:id="975" w:name="_Toc482100724"/>
      <w:bookmarkStart w:id="976" w:name="_Toc482099007"/>
      <w:bookmarkStart w:id="977" w:name="_Toc482097909"/>
      <w:bookmarkStart w:id="978" w:name="_Toc482097717"/>
      <w:bookmarkStart w:id="979" w:name="_Toc482097628"/>
      <w:bookmarkStart w:id="980" w:name="_Toc482097539"/>
      <w:bookmarkStart w:id="981" w:name="_Toc482025716"/>
      <w:bookmarkStart w:id="982" w:name="_Toc485218264"/>
      <w:bookmarkStart w:id="983" w:name="_Toc484688828"/>
      <w:bookmarkStart w:id="984" w:name="_Toc484688273"/>
      <w:bookmarkStart w:id="985" w:name="_Toc484605404"/>
      <w:bookmarkStart w:id="986" w:name="_Toc484605280"/>
      <w:bookmarkStart w:id="987" w:name="_Toc484526560"/>
      <w:bookmarkStart w:id="988" w:name="_Toc484449065"/>
      <w:bookmarkStart w:id="989" w:name="_Toc484448941"/>
      <w:bookmarkStart w:id="990" w:name="_Toc484448817"/>
      <w:bookmarkStart w:id="991" w:name="_Toc484448694"/>
      <w:bookmarkStart w:id="992" w:name="_Toc484448570"/>
      <w:bookmarkStart w:id="993" w:name="_Toc484448446"/>
      <w:bookmarkStart w:id="994" w:name="_Toc484448322"/>
      <w:bookmarkStart w:id="995" w:name="_Toc484448198"/>
      <w:bookmarkStart w:id="996" w:name="_Toc484448073"/>
      <w:bookmarkStart w:id="997" w:name="_Toc484440414"/>
      <w:bookmarkStart w:id="998" w:name="_Toc484440054"/>
      <w:bookmarkStart w:id="999" w:name="_Toc484439930"/>
      <w:bookmarkStart w:id="1000" w:name="_Toc484439807"/>
      <w:bookmarkStart w:id="1001" w:name="_Toc484438887"/>
      <w:bookmarkStart w:id="1002" w:name="_Toc484438763"/>
      <w:bookmarkStart w:id="1003" w:name="_Toc484438639"/>
      <w:bookmarkStart w:id="1004" w:name="_Toc484429064"/>
      <w:bookmarkStart w:id="1005" w:name="_Toc484428894"/>
      <w:bookmarkStart w:id="1006" w:name="_Toc484097722"/>
      <w:bookmarkStart w:id="1007" w:name="_Toc484011648"/>
      <w:bookmarkStart w:id="1008" w:name="_Toc484011173"/>
      <w:bookmarkStart w:id="1009" w:name="_Toc484011051"/>
      <w:bookmarkStart w:id="1010" w:name="_Toc484010929"/>
      <w:bookmarkStart w:id="1011" w:name="_Toc484010805"/>
      <w:bookmarkStart w:id="1012" w:name="_Toc484010683"/>
      <w:bookmarkStart w:id="1013" w:name="_Toc483906933"/>
      <w:bookmarkStart w:id="1014" w:name="_Toc483571556"/>
      <w:bookmarkStart w:id="1015" w:name="_Toc483571435"/>
      <w:bookmarkStart w:id="1016" w:name="_Toc483474006"/>
      <w:bookmarkStart w:id="1017" w:name="_Toc483401209"/>
      <w:bookmarkStart w:id="1018" w:name="_Toc483325730"/>
      <w:bookmarkStart w:id="1019" w:name="_Toc483316427"/>
      <w:bookmarkStart w:id="1020" w:name="_Toc483316296"/>
      <w:bookmarkStart w:id="1021" w:name="_Toc483316093"/>
      <w:bookmarkStart w:id="1022" w:name="_Toc483315888"/>
      <w:bookmarkStart w:id="1023" w:name="_Toc483302338"/>
      <w:bookmarkStart w:id="1024" w:name="_Toc483233638"/>
      <w:bookmarkStart w:id="1025" w:name="_Toc482979677"/>
      <w:bookmarkStart w:id="1026" w:name="_Toc482979579"/>
      <w:bookmarkStart w:id="1027" w:name="_Toc482979470"/>
      <w:bookmarkStart w:id="1028" w:name="_Toc482979362"/>
      <w:bookmarkStart w:id="1029" w:name="_Toc482979253"/>
      <w:bookmarkStart w:id="1030" w:name="_Toc482979144"/>
      <w:bookmarkStart w:id="1031" w:name="_Toc482979033"/>
      <w:bookmarkStart w:id="1032" w:name="_Toc482978925"/>
      <w:bookmarkStart w:id="1033" w:name="_Toc482978816"/>
      <w:bookmarkStart w:id="1034" w:name="_Toc482959697"/>
      <w:bookmarkStart w:id="1035" w:name="_Toc482959587"/>
      <w:bookmarkStart w:id="1036" w:name="_Toc482959477"/>
      <w:bookmarkStart w:id="1037" w:name="_Toc482712707"/>
      <w:bookmarkStart w:id="1038" w:name="_Toc482641261"/>
      <w:bookmarkStart w:id="1039" w:name="_Toc482633084"/>
      <w:bookmarkStart w:id="1040" w:name="_Toc482352244"/>
      <w:bookmarkStart w:id="1041" w:name="_Toc482352154"/>
      <w:bookmarkStart w:id="1042" w:name="_Toc482352064"/>
      <w:bookmarkStart w:id="1043" w:name="_Toc482351974"/>
      <w:bookmarkStart w:id="1044" w:name="_Toc482102110"/>
      <w:bookmarkStart w:id="1045" w:name="_Toc482102016"/>
      <w:bookmarkStart w:id="1046" w:name="_Toc482101921"/>
      <w:bookmarkStart w:id="1047" w:name="_Toc482101826"/>
      <w:bookmarkStart w:id="1048" w:name="_Toc482101733"/>
      <w:bookmarkStart w:id="1049" w:name="_Toc482101558"/>
      <w:bookmarkStart w:id="1050" w:name="_Toc482101443"/>
      <w:bookmarkStart w:id="1051" w:name="_Toc482101306"/>
      <w:bookmarkStart w:id="1052" w:name="_Toc482100880"/>
      <w:bookmarkStart w:id="1053" w:name="_Toc482100723"/>
      <w:bookmarkStart w:id="1054" w:name="_Toc482099006"/>
      <w:bookmarkStart w:id="1055" w:name="_Toc482097908"/>
      <w:bookmarkStart w:id="1056" w:name="_Toc482097716"/>
      <w:bookmarkStart w:id="1057" w:name="_Toc482097627"/>
      <w:bookmarkStart w:id="1058" w:name="_Toc482097538"/>
      <w:bookmarkStart w:id="1059" w:name="_Toc482025715"/>
      <w:bookmarkStart w:id="1060" w:name="_Toc485218263"/>
      <w:bookmarkStart w:id="1061" w:name="_Toc484688827"/>
      <w:bookmarkStart w:id="1062" w:name="_Toc484688272"/>
      <w:bookmarkStart w:id="1063" w:name="_Toc484605403"/>
      <w:bookmarkStart w:id="1064" w:name="_Toc484605279"/>
      <w:bookmarkStart w:id="1065" w:name="_Toc484526559"/>
      <w:bookmarkStart w:id="1066" w:name="_Toc484449064"/>
      <w:bookmarkStart w:id="1067" w:name="_Toc484448940"/>
      <w:bookmarkStart w:id="1068" w:name="_Toc484448816"/>
      <w:bookmarkStart w:id="1069" w:name="_Toc484448693"/>
      <w:bookmarkStart w:id="1070" w:name="_Toc484448569"/>
      <w:bookmarkStart w:id="1071" w:name="_Toc484448445"/>
      <w:bookmarkStart w:id="1072" w:name="_Toc484448321"/>
      <w:bookmarkStart w:id="1073" w:name="_Toc484448197"/>
      <w:bookmarkStart w:id="1074" w:name="_Toc484448072"/>
      <w:bookmarkStart w:id="1075" w:name="_Toc484440413"/>
      <w:bookmarkStart w:id="1076" w:name="_Toc484440053"/>
      <w:bookmarkStart w:id="1077" w:name="_Toc484439929"/>
      <w:bookmarkStart w:id="1078" w:name="_Toc484439806"/>
      <w:bookmarkStart w:id="1079" w:name="_Toc484438886"/>
      <w:bookmarkStart w:id="1080" w:name="_Toc484438762"/>
      <w:bookmarkStart w:id="1081" w:name="_Toc484438638"/>
      <w:bookmarkStart w:id="1082" w:name="_Toc484429063"/>
      <w:bookmarkStart w:id="1083" w:name="_Toc484428893"/>
      <w:bookmarkStart w:id="1084" w:name="_Toc484097721"/>
      <w:bookmarkStart w:id="1085" w:name="_Toc484011647"/>
      <w:bookmarkStart w:id="1086" w:name="_Toc484011172"/>
      <w:bookmarkStart w:id="1087" w:name="_Toc484011050"/>
      <w:bookmarkStart w:id="1088" w:name="_Toc484010928"/>
      <w:bookmarkStart w:id="1089" w:name="_Toc484010804"/>
      <w:bookmarkStart w:id="1090" w:name="_Toc484010682"/>
      <w:bookmarkStart w:id="1091" w:name="_Toc483906932"/>
      <w:bookmarkStart w:id="1092" w:name="_Toc483571555"/>
      <w:bookmarkStart w:id="1093" w:name="_Toc483571434"/>
      <w:bookmarkStart w:id="1094" w:name="_Toc483474005"/>
      <w:bookmarkStart w:id="1095" w:name="_Toc483401208"/>
      <w:bookmarkStart w:id="1096" w:name="_Toc483325729"/>
      <w:bookmarkStart w:id="1097" w:name="_Toc483316426"/>
      <w:bookmarkStart w:id="1098" w:name="_Toc483316295"/>
      <w:bookmarkStart w:id="1099" w:name="_Toc483316092"/>
      <w:bookmarkStart w:id="1100" w:name="_Toc483315887"/>
      <w:bookmarkStart w:id="1101" w:name="_Toc483302337"/>
      <w:bookmarkStart w:id="1102" w:name="_Toc483233637"/>
      <w:bookmarkStart w:id="1103" w:name="_Toc482979676"/>
      <w:bookmarkStart w:id="1104" w:name="_Toc482979578"/>
      <w:bookmarkStart w:id="1105" w:name="_Toc482979469"/>
      <w:bookmarkStart w:id="1106" w:name="_Toc482979361"/>
      <w:bookmarkStart w:id="1107" w:name="_Toc482979252"/>
      <w:bookmarkStart w:id="1108" w:name="_Toc482979143"/>
      <w:bookmarkStart w:id="1109" w:name="_Toc482979032"/>
      <w:bookmarkStart w:id="1110" w:name="_Toc482978924"/>
      <w:bookmarkStart w:id="1111" w:name="_Toc482978815"/>
      <w:bookmarkStart w:id="1112" w:name="_Toc482959696"/>
      <w:bookmarkStart w:id="1113" w:name="_Toc482959586"/>
      <w:bookmarkStart w:id="1114" w:name="_Toc482959476"/>
      <w:bookmarkStart w:id="1115" w:name="_Toc482712706"/>
      <w:bookmarkStart w:id="1116" w:name="_Toc482641260"/>
      <w:bookmarkStart w:id="1117" w:name="_Toc482633083"/>
      <w:bookmarkStart w:id="1118" w:name="_Toc482352243"/>
      <w:bookmarkStart w:id="1119" w:name="_Toc482352153"/>
      <w:bookmarkStart w:id="1120" w:name="_Toc482352063"/>
      <w:bookmarkStart w:id="1121" w:name="_Toc482351973"/>
      <w:bookmarkStart w:id="1122" w:name="_Toc482102109"/>
      <w:bookmarkStart w:id="1123" w:name="_Toc482102015"/>
      <w:bookmarkStart w:id="1124" w:name="_Toc482101920"/>
      <w:bookmarkStart w:id="1125" w:name="_Toc482101825"/>
      <w:bookmarkStart w:id="1126" w:name="_Toc482101732"/>
      <w:bookmarkStart w:id="1127" w:name="_Toc482101557"/>
      <w:bookmarkStart w:id="1128" w:name="_Toc482101442"/>
      <w:bookmarkStart w:id="1129" w:name="_Toc482101305"/>
      <w:bookmarkStart w:id="1130" w:name="_Toc482100879"/>
      <w:bookmarkStart w:id="1131" w:name="_Toc482100722"/>
      <w:bookmarkStart w:id="1132" w:name="_Toc482099005"/>
      <w:bookmarkStart w:id="1133" w:name="_Toc482097907"/>
      <w:bookmarkStart w:id="1134" w:name="_Toc482097715"/>
      <w:bookmarkStart w:id="1135" w:name="_Toc482097626"/>
      <w:bookmarkStart w:id="1136" w:name="_Toc482097537"/>
      <w:bookmarkStart w:id="1137" w:name="_Toc482025714"/>
      <w:bookmarkStart w:id="1138" w:name="_Toc485218262"/>
      <w:bookmarkStart w:id="1139" w:name="_Toc484688826"/>
      <w:bookmarkStart w:id="1140" w:name="_Toc484688271"/>
      <w:bookmarkStart w:id="1141" w:name="_Toc484605402"/>
      <w:bookmarkStart w:id="1142" w:name="_Toc484605278"/>
      <w:bookmarkStart w:id="1143" w:name="_Toc484526558"/>
      <w:bookmarkStart w:id="1144" w:name="_Toc484449063"/>
      <w:bookmarkStart w:id="1145" w:name="_Toc484448939"/>
      <w:bookmarkStart w:id="1146" w:name="_Toc484448815"/>
      <w:bookmarkStart w:id="1147" w:name="_Toc484448692"/>
      <w:bookmarkStart w:id="1148" w:name="_Toc484448568"/>
      <w:bookmarkStart w:id="1149" w:name="_Toc484448444"/>
      <w:bookmarkStart w:id="1150" w:name="_Toc484448320"/>
      <w:bookmarkStart w:id="1151" w:name="_Toc484448196"/>
      <w:bookmarkStart w:id="1152" w:name="_Toc484448071"/>
      <w:bookmarkStart w:id="1153" w:name="_Toc484440412"/>
      <w:bookmarkStart w:id="1154" w:name="_Toc484440052"/>
      <w:bookmarkStart w:id="1155" w:name="_Toc484439928"/>
      <w:bookmarkStart w:id="1156" w:name="_Toc484439805"/>
      <w:bookmarkStart w:id="1157" w:name="_Toc484438885"/>
      <w:bookmarkStart w:id="1158" w:name="_Toc484438761"/>
      <w:bookmarkStart w:id="1159" w:name="_Toc484438637"/>
      <w:bookmarkStart w:id="1160" w:name="_Toc484429062"/>
      <w:bookmarkStart w:id="1161" w:name="_Toc484428892"/>
      <w:bookmarkStart w:id="1162" w:name="_Toc484097720"/>
      <w:bookmarkStart w:id="1163" w:name="_Toc484011646"/>
      <w:bookmarkStart w:id="1164" w:name="_Toc484011171"/>
      <w:bookmarkStart w:id="1165" w:name="_Toc484011049"/>
      <w:bookmarkStart w:id="1166" w:name="_Toc484010927"/>
      <w:bookmarkStart w:id="1167" w:name="_Toc484010803"/>
      <w:bookmarkStart w:id="1168" w:name="_Toc484010681"/>
      <w:bookmarkStart w:id="1169" w:name="_Toc483906931"/>
      <w:bookmarkStart w:id="1170" w:name="_Toc483571554"/>
      <w:bookmarkStart w:id="1171" w:name="_Toc483571433"/>
      <w:bookmarkStart w:id="1172" w:name="_Toc483474004"/>
      <w:bookmarkStart w:id="1173" w:name="_Toc483401207"/>
      <w:bookmarkStart w:id="1174" w:name="_Toc483325728"/>
      <w:bookmarkStart w:id="1175" w:name="_Toc483316425"/>
      <w:bookmarkStart w:id="1176" w:name="_Toc483316294"/>
      <w:bookmarkStart w:id="1177" w:name="_Toc483316091"/>
      <w:bookmarkStart w:id="1178" w:name="_Toc483315886"/>
      <w:bookmarkStart w:id="1179" w:name="_Toc483302336"/>
      <w:bookmarkStart w:id="1180" w:name="_Toc483233636"/>
      <w:bookmarkStart w:id="1181" w:name="_Toc482979675"/>
      <w:bookmarkStart w:id="1182" w:name="_Toc482979577"/>
      <w:bookmarkStart w:id="1183" w:name="_Toc482979468"/>
      <w:bookmarkStart w:id="1184" w:name="_Toc482979360"/>
      <w:bookmarkStart w:id="1185" w:name="_Toc482979251"/>
      <w:bookmarkStart w:id="1186" w:name="_Toc482979142"/>
      <w:bookmarkStart w:id="1187" w:name="_Toc482979031"/>
      <w:bookmarkStart w:id="1188" w:name="_Toc482978923"/>
      <w:bookmarkStart w:id="1189" w:name="_Toc482978814"/>
      <w:bookmarkStart w:id="1190" w:name="_Toc482959695"/>
      <w:bookmarkStart w:id="1191" w:name="_Toc482959585"/>
      <w:bookmarkStart w:id="1192" w:name="_Toc482959475"/>
      <w:bookmarkStart w:id="1193" w:name="_Toc482712705"/>
      <w:bookmarkStart w:id="1194" w:name="_Toc482641259"/>
      <w:bookmarkStart w:id="1195" w:name="_Toc482633082"/>
      <w:bookmarkStart w:id="1196" w:name="_Toc482352242"/>
      <w:bookmarkStart w:id="1197" w:name="_Toc482352152"/>
      <w:bookmarkStart w:id="1198" w:name="_Toc482352062"/>
      <w:bookmarkStart w:id="1199" w:name="_Toc482351972"/>
      <w:bookmarkStart w:id="1200" w:name="_Toc482102108"/>
      <w:bookmarkStart w:id="1201" w:name="_Toc482102014"/>
      <w:bookmarkStart w:id="1202" w:name="_Toc482101919"/>
      <w:bookmarkStart w:id="1203" w:name="_Toc482101824"/>
      <w:bookmarkStart w:id="1204" w:name="_Toc482101731"/>
      <w:bookmarkStart w:id="1205" w:name="_Toc482101556"/>
      <w:bookmarkStart w:id="1206" w:name="_Toc482101441"/>
      <w:bookmarkStart w:id="1207" w:name="_Toc482101304"/>
      <w:bookmarkStart w:id="1208" w:name="_Toc482100878"/>
      <w:bookmarkStart w:id="1209" w:name="_Toc482100721"/>
      <w:bookmarkStart w:id="1210" w:name="_Toc482099004"/>
      <w:bookmarkStart w:id="1211" w:name="_Toc482097906"/>
      <w:bookmarkStart w:id="1212" w:name="_Toc482097714"/>
      <w:bookmarkStart w:id="1213" w:name="_Toc482097625"/>
      <w:bookmarkStart w:id="1214" w:name="_Toc482097536"/>
      <w:bookmarkStart w:id="1215" w:name="_Toc482025713"/>
      <w:bookmarkStart w:id="1216" w:name="_Toc485218261"/>
      <w:bookmarkStart w:id="1217" w:name="_Toc484688825"/>
      <w:bookmarkStart w:id="1218" w:name="_Toc484688270"/>
      <w:bookmarkStart w:id="1219" w:name="_Toc484605401"/>
      <w:bookmarkStart w:id="1220" w:name="_Toc484605277"/>
      <w:bookmarkStart w:id="1221" w:name="_Toc484526557"/>
      <w:bookmarkStart w:id="1222" w:name="_Toc484449062"/>
      <w:bookmarkStart w:id="1223" w:name="_Toc484448938"/>
      <w:bookmarkStart w:id="1224" w:name="_Toc484448814"/>
      <w:bookmarkStart w:id="1225" w:name="_Toc484448691"/>
      <w:bookmarkStart w:id="1226" w:name="_Toc484448567"/>
      <w:bookmarkStart w:id="1227" w:name="_Toc484448443"/>
      <w:bookmarkStart w:id="1228" w:name="_Toc484448319"/>
      <w:bookmarkStart w:id="1229" w:name="_Toc484448195"/>
      <w:bookmarkStart w:id="1230" w:name="_Toc484448070"/>
      <w:bookmarkStart w:id="1231" w:name="_Toc484440411"/>
      <w:bookmarkStart w:id="1232" w:name="_Toc484440051"/>
      <w:bookmarkStart w:id="1233" w:name="_Toc484439927"/>
      <w:bookmarkStart w:id="1234" w:name="_Toc484439804"/>
      <w:bookmarkStart w:id="1235" w:name="_Toc484438884"/>
      <w:bookmarkStart w:id="1236" w:name="_Toc484438760"/>
      <w:bookmarkStart w:id="1237" w:name="_Toc484438636"/>
      <w:bookmarkStart w:id="1238" w:name="_Toc484429061"/>
      <w:bookmarkStart w:id="1239" w:name="_Toc484428891"/>
      <w:bookmarkStart w:id="1240" w:name="_Toc484097719"/>
      <w:bookmarkStart w:id="1241" w:name="_Toc484011645"/>
      <w:bookmarkStart w:id="1242" w:name="_Toc484011170"/>
      <w:bookmarkStart w:id="1243" w:name="_Toc484011048"/>
      <w:bookmarkStart w:id="1244" w:name="_Toc484010926"/>
      <w:bookmarkStart w:id="1245" w:name="_Toc484010802"/>
      <w:bookmarkStart w:id="1246" w:name="_Toc484010680"/>
      <w:bookmarkStart w:id="1247" w:name="_Toc483906930"/>
      <w:bookmarkStart w:id="1248" w:name="_Toc483571553"/>
      <w:bookmarkStart w:id="1249" w:name="_Toc483571432"/>
      <w:bookmarkStart w:id="1250" w:name="_Toc483474003"/>
      <w:bookmarkStart w:id="1251" w:name="_Toc483401206"/>
      <w:bookmarkStart w:id="1252" w:name="_Toc483325727"/>
      <w:bookmarkStart w:id="1253" w:name="_Toc483316424"/>
      <w:bookmarkStart w:id="1254" w:name="_Toc483316293"/>
      <w:bookmarkStart w:id="1255" w:name="_Toc483316090"/>
      <w:bookmarkStart w:id="1256" w:name="_Toc483315885"/>
      <w:bookmarkStart w:id="1257" w:name="_Toc483302335"/>
      <w:bookmarkStart w:id="1258" w:name="_Toc483233635"/>
      <w:bookmarkStart w:id="1259" w:name="_Toc482979674"/>
      <w:bookmarkStart w:id="1260" w:name="_Toc482979576"/>
      <w:bookmarkStart w:id="1261" w:name="_Toc482979467"/>
      <w:bookmarkStart w:id="1262" w:name="_Toc482979359"/>
      <w:bookmarkStart w:id="1263" w:name="_Toc482979250"/>
      <w:bookmarkStart w:id="1264" w:name="_Toc482979141"/>
      <w:bookmarkStart w:id="1265" w:name="_Toc482979030"/>
      <w:bookmarkStart w:id="1266" w:name="_Toc482978922"/>
      <w:bookmarkStart w:id="1267" w:name="_Toc482978813"/>
      <w:bookmarkStart w:id="1268" w:name="_Toc482959694"/>
      <w:bookmarkStart w:id="1269" w:name="_Toc482959584"/>
      <w:bookmarkStart w:id="1270" w:name="_Toc482959474"/>
      <w:bookmarkStart w:id="1271" w:name="_Toc482712704"/>
      <w:bookmarkStart w:id="1272" w:name="_Toc482641258"/>
      <w:bookmarkStart w:id="1273" w:name="_Toc482633081"/>
      <w:bookmarkStart w:id="1274" w:name="_Toc482352241"/>
      <w:bookmarkStart w:id="1275" w:name="_Toc482352151"/>
      <w:bookmarkStart w:id="1276" w:name="_Toc482352061"/>
      <w:bookmarkStart w:id="1277" w:name="_Toc482351971"/>
      <w:bookmarkStart w:id="1278" w:name="_Toc482102107"/>
      <w:bookmarkStart w:id="1279" w:name="_Toc482102013"/>
      <w:bookmarkStart w:id="1280" w:name="_Toc482101918"/>
      <w:bookmarkStart w:id="1281" w:name="_Toc482101823"/>
      <w:bookmarkStart w:id="1282" w:name="_Toc482101730"/>
      <w:bookmarkStart w:id="1283" w:name="_Toc482101555"/>
      <w:bookmarkStart w:id="1284" w:name="_Toc482101440"/>
      <w:bookmarkStart w:id="1285" w:name="_Toc482101303"/>
      <w:bookmarkStart w:id="1286" w:name="_Toc482100877"/>
      <w:bookmarkStart w:id="1287" w:name="_Toc482100720"/>
      <w:bookmarkStart w:id="1288" w:name="_Toc482099003"/>
      <w:bookmarkStart w:id="1289" w:name="_Toc482097905"/>
      <w:bookmarkStart w:id="1290" w:name="_Toc482097713"/>
      <w:bookmarkStart w:id="1291" w:name="_Toc482097624"/>
      <w:bookmarkStart w:id="1292" w:name="_Toc482097535"/>
      <w:bookmarkStart w:id="1293" w:name="_Toc482025712"/>
      <w:bookmarkStart w:id="1294" w:name="_Toc416423357"/>
      <w:bookmarkStart w:id="1295" w:name="_Toc406754172"/>
      <w:bookmarkStart w:id="1296" w:name="_Ref531184613"/>
      <w:bookmarkStart w:id="1297" w:name="_Ref128477566"/>
      <w:bookmarkStart w:id="1298" w:name="_Toc223087470"/>
      <w:bookmarkStart w:id="1299" w:name="_Hlk19405426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r w:rsidRPr="00AF481C">
        <w:t>REQUISITI DI ORDINE GENERALE</w:t>
      </w:r>
      <w:bookmarkEnd w:id="1296"/>
      <w:bookmarkEnd w:id="1297"/>
      <w:r w:rsidRPr="00AF481C">
        <w:t xml:space="preserve"> E ALTRE CAUSE DI ESCLUSIONE</w:t>
      </w:r>
      <w:bookmarkEnd w:id="1298"/>
    </w:p>
    <w:bookmarkEnd w:id="1299"/>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 concorrenti devono essere in possesso, a pena di esclusione, dei requisiti di ordine generale previsti dal Codice nonché degli ulteriori requisiti indicati nel presente </w:t>
      </w:r>
      <w:r w:rsidR="000E16FD" w:rsidRPr="00AF481C">
        <w:rPr>
          <w:rFonts w:ascii="Titillium" w:hAnsi="Titillium" w:cs="Arial"/>
          <w:sz w:val="18"/>
          <w:szCs w:val="18"/>
        </w:rPr>
        <w:t>paragrafo</w:t>
      </w:r>
      <w:r w:rsidRPr="00AF481C">
        <w:rPr>
          <w:rFonts w:ascii="Titillium" w:hAnsi="Titillium" w:cs="Arial"/>
          <w:sz w:val="18"/>
          <w:szCs w:val="18"/>
        </w:rPr>
        <w:t>.</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La stazione appaltante verifica il possesso dei requisiti di ordine generale accedendo al fascicolo virtuale dell’operatore economico (di seguito: FVOE)</w:t>
      </w:r>
      <w:r w:rsidR="009C0BA8" w:rsidRPr="00AF481C">
        <w:rPr>
          <w:rFonts w:ascii="Titillium" w:hAnsi="Titillium" w:cs="Arial"/>
          <w:sz w:val="18"/>
          <w:szCs w:val="18"/>
        </w:rPr>
        <w:t>, fatto salvo quanto previsto nel</w:t>
      </w:r>
      <w:r w:rsidR="0043635C" w:rsidRPr="00AF481C">
        <w:rPr>
          <w:rFonts w:ascii="Titillium" w:hAnsi="Titillium" w:cs="Arial"/>
          <w:sz w:val="18"/>
          <w:szCs w:val="18"/>
        </w:rPr>
        <w:t xml:space="preserve"> paragrafo</w:t>
      </w:r>
      <w:r w:rsidR="009C0BA8" w:rsidRPr="00AF481C">
        <w:rPr>
          <w:rFonts w:ascii="Titillium" w:hAnsi="Titillium" w:cs="Arial"/>
          <w:sz w:val="18"/>
          <w:szCs w:val="18"/>
        </w:rPr>
        <w:t xml:space="preserve"> 2</w:t>
      </w:r>
      <w:r w:rsidR="002501A9" w:rsidRPr="00AF481C">
        <w:rPr>
          <w:rFonts w:ascii="Titillium" w:hAnsi="Titillium" w:cs="Arial"/>
          <w:sz w:val="18"/>
          <w:szCs w:val="18"/>
        </w:rPr>
        <w:t>5</w:t>
      </w:r>
      <w:r w:rsidR="009C0BA8" w:rsidRPr="00AF481C">
        <w:rPr>
          <w:rFonts w:ascii="Titillium" w:hAnsi="Titillium" w:cs="Arial"/>
          <w:sz w:val="18"/>
          <w:szCs w:val="18"/>
        </w:rPr>
        <w:t>.</w:t>
      </w:r>
    </w:p>
    <w:p w:rsidR="00AE28AD" w:rsidRPr="00AF481C" w:rsidRDefault="00AE28AD" w:rsidP="00AE28AD">
      <w:pPr>
        <w:spacing w:before="60" w:after="60"/>
        <w:rPr>
          <w:rFonts w:ascii="Titillium" w:hAnsi="Titillium" w:cs="Arial"/>
          <w:sz w:val="18"/>
          <w:szCs w:val="18"/>
        </w:rPr>
      </w:pPr>
      <w:r w:rsidRPr="00AF481C">
        <w:rPr>
          <w:rFonts w:ascii="Titillium" w:hAnsi="Titillium" w:cs="Arial"/>
          <w:sz w:val="18"/>
          <w:szCs w:val="18"/>
        </w:rPr>
        <w:t>Nella domanda di partecipazione, gli operatori economici acconsentono al trattamento dei dati tramite il FVOE, nel rispetto di quanto previsto dal codice in materia di protezione dei dati personali, di cui al decreto legislativo 30 giugno 2003, n.196.</w:t>
      </w:r>
      <w:r w:rsidRPr="00AF481C">
        <w:rPr>
          <w:rFonts w:ascii="Calibri" w:hAnsi="Calibri" w:cs="Calibri"/>
          <w:sz w:val="18"/>
          <w:szCs w:val="18"/>
        </w:rPr>
        <w:t> </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Le circostanze di cui all’articolo 94 del Codice sono cause di esclusione automatica. La sussistenza delle circostanze di cui all’articolo 95 del Codice è accertata previo contraddittorio con l’operatore economico.</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In caso di partecipazione di consorzi di cui all’articolo 65, comma 2, lettere b) e c) e d) del Codice, i requisiti di cui al </w:t>
      </w:r>
      <w:r w:rsidR="00142F6B" w:rsidRPr="00AF481C">
        <w:rPr>
          <w:rFonts w:ascii="Titillium" w:hAnsi="Titillium" w:cs="Arial"/>
          <w:sz w:val="18"/>
          <w:szCs w:val="18"/>
        </w:rPr>
        <w:t xml:space="preserve">presente paragrafo </w:t>
      </w:r>
      <w:r w:rsidRPr="00AF481C">
        <w:rPr>
          <w:rFonts w:ascii="Titillium" w:hAnsi="Titillium" w:cs="Arial"/>
          <w:sz w:val="18"/>
          <w:szCs w:val="18"/>
        </w:rPr>
        <w:t>sono posseduti dal consorzio, dalle consorziate indicate quali esecutrici e dalle consorziate che prestano i requisiti.</w:t>
      </w:r>
    </w:p>
    <w:p w:rsidR="00AE28AD" w:rsidRPr="00AF481C" w:rsidRDefault="00AE28AD" w:rsidP="00AE28AD">
      <w:pPr>
        <w:spacing w:before="60"/>
        <w:rPr>
          <w:rFonts w:ascii="Titillium" w:hAnsi="Titillium" w:cs="Arial"/>
          <w:b/>
          <w:bCs/>
          <w:sz w:val="18"/>
          <w:szCs w:val="18"/>
        </w:rPr>
      </w:pPr>
    </w:p>
    <w:p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Self cleaning</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prima della presentazione dell’offerta, l’operatore economico indica nel DGUE la causa ostativa e, alternativamente:</w:t>
      </w:r>
    </w:p>
    <w:p w:rsidR="00AE28AD" w:rsidRPr="00AF481C" w:rsidRDefault="00AE28AD" w:rsidP="00BE4F13">
      <w:pPr>
        <w:pStyle w:val="Paragrafoelenco"/>
        <w:numPr>
          <w:ilvl w:val="1"/>
          <w:numId w:val="45"/>
        </w:numPr>
        <w:spacing w:before="60"/>
        <w:ind w:left="426"/>
        <w:rPr>
          <w:rFonts w:ascii="Titillium" w:hAnsi="Titillium" w:cs="Arial"/>
          <w:sz w:val="18"/>
          <w:szCs w:val="18"/>
        </w:rPr>
      </w:pPr>
      <w:r w:rsidRPr="00AF481C">
        <w:rPr>
          <w:rFonts w:ascii="Titillium" w:hAnsi="Titillium" w:cs="Arial"/>
          <w:sz w:val="18"/>
          <w:szCs w:val="18"/>
        </w:rPr>
        <w:t>descrive le misure adottate ai sensi dell’articolo 96, comma 6 del Codice;</w:t>
      </w:r>
    </w:p>
    <w:p w:rsidR="00AE28AD" w:rsidRPr="00AF481C" w:rsidRDefault="00AE28AD" w:rsidP="00BE4F13">
      <w:pPr>
        <w:pStyle w:val="Paragrafoelenco"/>
        <w:numPr>
          <w:ilvl w:val="1"/>
          <w:numId w:val="45"/>
        </w:numPr>
        <w:spacing w:before="60"/>
        <w:ind w:left="426"/>
        <w:rPr>
          <w:rFonts w:ascii="Titillium" w:hAnsi="Titillium" w:cs="Arial"/>
          <w:sz w:val="18"/>
          <w:szCs w:val="18"/>
        </w:rPr>
      </w:pPr>
      <w:r w:rsidRPr="00AF481C">
        <w:rPr>
          <w:rFonts w:ascii="Titillium" w:hAnsi="Titillium" w:cs="Arial"/>
          <w:sz w:val="18"/>
          <w:szCs w:val="18"/>
        </w:rPr>
        <w:t xml:space="preserve">motiva l’impossibilità ad adottare dette misure e si impegna a provvedere successivamente. L’adozione delle misure è comunicata alla stazione appaltante. </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successivamente alla presentazione dell’offerta, l’operatore economico adotta le misure di cui al comma 6 dell’articolo 96 del Codice dandone comunicazione alla stazione appaltante.</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sidR="0045595F" w:rsidRPr="00AF481C">
        <w:rPr>
          <w:rFonts w:ascii="Titillium" w:hAnsi="Titillium" w:cs="Arial"/>
          <w:sz w:val="18"/>
          <w:szCs w:val="18"/>
        </w:rPr>
        <w:t>.</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Se le misure adottate sono ritenute sufficienti e tempestive, l’operatore economico non è escluso. Se dette misure sono ritenute insufficienti e intempestive, la stazione appaltante ne comunica le ragioni all’operatore economico. </w:t>
      </w:r>
    </w:p>
    <w:p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Non può avvalersi del self-cleaning l’operatore economico escluso con sentenza definitiva dalla partecipazione alle procedure di affidamento, nel corso del periodo di esclusione derivante da tale sentenza.</w:t>
      </w:r>
    </w:p>
    <w:p w:rsidR="00AE28AD" w:rsidRPr="00AF481C" w:rsidRDefault="00AE28AD" w:rsidP="00AE28AD">
      <w:pPr>
        <w:spacing w:before="60" w:after="60"/>
        <w:rPr>
          <w:rFonts w:ascii="Titillium" w:hAnsi="Titillium"/>
          <w:sz w:val="18"/>
          <w:szCs w:val="24"/>
        </w:rPr>
      </w:pPr>
      <w:r w:rsidRPr="00AF481C">
        <w:rPr>
          <w:rFonts w:ascii="Titillium" w:hAnsi="Titillium"/>
          <w:sz w:val="18"/>
          <w:szCs w:val="24"/>
        </w:rPr>
        <w:lastRenderedPageBreak/>
        <w:t>Nel caso in cui un raggruppamento/consorzio abbia estromesso o sostituito un partecipante/esecut</w:t>
      </w:r>
      <w:r w:rsidR="005D079F" w:rsidRPr="00AF481C">
        <w:rPr>
          <w:rFonts w:ascii="Titillium" w:hAnsi="Titillium"/>
          <w:sz w:val="18"/>
          <w:szCs w:val="24"/>
        </w:rPr>
        <w:t>rice</w:t>
      </w:r>
      <w:r w:rsidR="003708F9" w:rsidRPr="00AF481C">
        <w:rPr>
          <w:rFonts w:ascii="Titillium" w:hAnsi="Titillium"/>
          <w:sz w:val="18"/>
          <w:szCs w:val="24"/>
        </w:rPr>
        <w:t>/consorziata</w:t>
      </w:r>
      <w:r w:rsidR="00F04A84" w:rsidRPr="00AF481C">
        <w:rPr>
          <w:rFonts w:ascii="Titillium" w:hAnsi="Titillium"/>
          <w:sz w:val="18"/>
          <w:szCs w:val="24"/>
        </w:rPr>
        <w:t>,</w:t>
      </w:r>
      <w:r w:rsidR="003708F9" w:rsidRPr="00AF481C">
        <w:rPr>
          <w:rFonts w:ascii="Titillium" w:hAnsi="Titillium"/>
          <w:sz w:val="18"/>
          <w:szCs w:val="24"/>
        </w:rPr>
        <w:t xml:space="preserve"> avente i requisiti di cui i consorzi si avvalgono</w:t>
      </w:r>
      <w:r w:rsidR="00F04A84" w:rsidRPr="00AF481C">
        <w:rPr>
          <w:rFonts w:ascii="Titillium" w:hAnsi="Titillium"/>
          <w:sz w:val="18"/>
          <w:szCs w:val="24"/>
        </w:rPr>
        <w:t>,</w:t>
      </w:r>
      <w:r w:rsidRPr="00AF481C">
        <w:rPr>
          <w:rFonts w:ascii="Titillium" w:hAnsi="Titillium"/>
          <w:sz w:val="18"/>
          <w:szCs w:val="24"/>
        </w:rPr>
        <w:t xml:space="preserve"> interessato da una clausola di esclusione di cui agli articoli 94 e 95 del Codice, si valutano le misure adottate ai sensi dell’articolo 97 del Codice al fine di decidere sull’esclusione. </w:t>
      </w:r>
    </w:p>
    <w:p w:rsidR="00AE28AD" w:rsidRPr="00AF481C" w:rsidRDefault="00AE28AD" w:rsidP="00AE28AD">
      <w:pPr>
        <w:spacing w:before="60"/>
        <w:rPr>
          <w:rFonts w:ascii="Titillium" w:hAnsi="Titillium" w:cs="Arial"/>
          <w:sz w:val="18"/>
          <w:szCs w:val="18"/>
        </w:rPr>
      </w:pPr>
    </w:p>
    <w:p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Altre cause di esclusione</w:t>
      </w:r>
    </w:p>
    <w:p w:rsidR="00AE28AD" w:rsidRPr="00AF481C" w:rsidRDefault="00AE28AD" w:rsidP="00AE28AD">
      <w:pPr>
        <w:spacing w:before="120" w:after="60"/>
      </w:pPr>
      <w:r w:rsidRPr="00AF481C">
        <w:rPr>
          <w:rFonts w:ascii="Titillium" w:hAnsi="Titillium" w:cs="Arial"/>
          <w:sz w:val="18"/>
          <w:szCs w:val="18"/>
        </w:rPr>
        <w:t>Sono esclusi gli</w:t>
      </w:r>
      <w:r w:rsidR="007D2E10">
        <w:rPr>
          <w:rFonts w:ascii="Titillium" w:hAnsi="Titillium" w:cs="Arial"/>
          <w:sz w:val="18"/>
          <w:szCs w:val="18"/>
        </w:rPr>
        <w:t xml:space="preserve"> </w:t>
      </w:r>
      <w:r w:rsidRPr="00AF481C">
        <w:rPr>
          <w:rFonts w:ascii="Titillium" w:hAnsi="Titillium" w:cs="Calibri"/>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rsidR="009154B4" w:rsidRPr="00AF481C" w:rsidRDefault="00AE28AD" w:rsidP="009154B4">
      <w:pPr>
        <w:spacing w:before="120" w:after="60"/>
        <w:rPr>
          <w:rFonts w:ascii="Titillium" w:hAnsi="Titillium" w:cs="Calibri"/>
          <w:sz w:val="18"/>
          <w:szCs w:val="18"/>
        </w:rPr>
      </w:pPr>
      <w:r w:rsidRPr="00AF481C">
        <w:rPr>
          <w:rFonts w:ascii="Titillium" w:hAnsi="Titillium" w:cs="Arial"/>
          <w:sz w:val="18"/>
          <w:szCs w:val="18"/>
        </w:rPr>
        <w:t xml:space="preserve">La mancata accettazione delle clausole contenute nel protocollo di legalità/patto di integrità e il mancato rispetto dello stesso costituiscono causa di </w:t>
      </w:r>
      <w:r w:rsidRPr="00AF481C">
        <w:rPr>
          <w:rFonts w:ascii="Titillium" w:hAnsi="Titillium" w:cs="Arial"/>
          <w:bCs/>
          <w:sz w:val="18"/>
          <w:szCs w:val="18"/>
        </w:rPr>
        <w:t xml:space="preserve">esclusione </w:t>
      </w:r>
      <w:r w:rsidRPr="00AF481C">
        <w:rPr>
          <w:rFonts w:ascii="Titillium" w:hAnsi="Titillium" w:cs="Arial"/>
          <w:sz w:val="18"/>
          <w:szCs w:val="18"/>
        </w:rPr>
        <w:t>dalla gara, ai sensi dell’articolo 83-bis del decreto legislativo n. 159/2011.</w:t>
      </w:r>
    </w:p>
    <w:p w:rsidR="00AE28AD" w:rsidRPr="00F35AEF" w:rsidRDefault="00AE28AD" w:rsidP="00457F5D">
      <w:pPr>
        <w:spacing w:before="120" w:after="60"/>
        <w:rPr>
          <w:rFonts w:ascii="Titillium" w:hAnsi="Titillium" w:cs="Calibri"/>
          <w:sz w:val="18"/>
          <w:szCs w:val="18"/>
        </w:rPr>
      </w:pPr>
      <w:r w:rsidRPr="00F35AEF">
        <w:rPr>
          <w:rFonts w:ascii="Titillium" w:hAnsi="Titillium" w:cs="Arial"/>
          <w:sz w:val="18"/>
          <w:szCs w:val="18"/>
        </w:rPr>
        <w:t>Sono esclusi dalla procedura di gara  gli operatori economici</w:t>
      </w:r>
      <w:r w:rsidRPr="00F35AEF">
        <w:rPr>
          <w:rFonts w:ascii="Titillium" w:hAnsi="Titillium" w:cs="Calibri"/>
          <w:sz w:val="18"/>
          <w:szCs w:val="18"/>
        </w:rPr>
        <w:t xml:space="preserve"> che occupano oltre cinquanta dipendenti che, al momento della presentazione dell'offerta, non caricano nel FVOE (ove non sia già presente), copia dell'ultimo rapporto periodico sulla situazione del personale </w:t>
      </w:r>
      <w:r w:rsidRPr="00F35AEF">
        <w:rPr>
          <w:rFonts w:ascii="Titillium" w:hAnsi="Titillium" w:cs="Courier New"/>
          <w:sz w:val="18"/>
          <w:szCs w:val="18"/>
        </w:rPr>
        <w:t>maschile e femminile redatto ai sensi dell’articolo 46, decreto legislativo n. 198 del 2006,</w:t>
      </w:r>
      <w:r w:rsidRPr="00F35AEF">
        <w:rPr>
          <w:rFonts w:ascii="Titillium" w:hAnsi="Titillium" w:cs="Calibri"/>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434C88" w:rsidRPr="00AF481C" w:rsidRDefault="00AE28AD" w:rsidP="00604C9A">
      <w:pPr>
        <w:spacing w:before="60"/>
        <w:rPr>
          <w:rFonts w:ascii="Titillium" w:hAnsi="Titillium" w:cs="Arial"/>
          <w:sz w:val="18"/>
          <w:szCs w:val="18"/>
        </w:rPr>
      </w:pPr>
      <w:r w:rsidRPr="00F35AEF">
        <w:rPr>
          <w:rFonts w:ascii="Titillium" w:hAnsi="Titillium" w:cs="Arial"/>
          <w:sz w:val="18"/>
          <w:szCs w:val="18"/>
        </w:rPr>
        <w:t xml:space="preserve">Sono esclusi dalla procedura di gara gli operatori economici </w:t>
      </w:r>
      <w:r w:rsidRPr="00F35AEF">
        <w:rPr>
          <w:rFonts w:ascii="Titillium" w:hAnsi="Titillium" w:cs="Courier New"/>
          <w:sz w:val="18"/>
          <w:szCs w:val="18"/>
        </w:rPr>
        <w:t>che occupano un numero di dipendenti pari o superiore a quindici e non superiore a cinquanta,</w:t>
      </w:r>
      <w:r w:rsidRPr="00F35AEF">
        <w:rPr>
          <w:rFonts w:ascii="Titillium" w:hAnsi="Titillium" w:cs="Arial"/>
          <w:sz w:val="18"/>
          <w:szCs w:val="18"/>
        </w:rPr>
        <w:t xml:space="preserve"> che nei dodici mesi precedenti al termine di presentazione dell’offerta</w:t>
      </w:r>
      <w:r w:rsidR="00266661" w:rsidRPr="00F35AEF">
        <w:rPr>
          <w:rFonts w:ascii="Titillium" w:hAnsi="Titillium" w:cs="Arial"/>
          <w:sz w:val="18"/>
          <w:szCs w:val="18"/>
        </w:rPr>
        <w:t>,</w:t>
      </w:r>
      <w:r w:rsidRPr="00F35AEF">
        <w:rPr>
          <w:rFonts w:ascii="Titillium" w:hAnsi="Titillium" w:cs="Arial"/>
          <w:sz w:val="18"/>
          <w:szCs w:val="18"/>
        </w:rPr>
        <w:t xml:space="preserve"> hanno omesso di produrre alla stazione appaltante </w:t>
      </w:r>
      <w:r w:rsidRPr="00F35AEF">
        <w:rPr>
          <w:rFonts w:ascii="Titillium" w:hAnsi="Titillium" w:cs="Courier New"/>
          <w:sz w:val="18"/>
          <w:szCs w:val="18"/>
        </w:rPr>
        <w:t>di un precedente contratto d’appalto</w:t>
      </w:r>
      <w:r w:rsidRPr="00F35AEF">
        <w:rPr>
          <w:rFonts w:ascii="Titillium" w:hAnsi="Titillium" w:cs="Arial"/>
          <w:sz w:val="18"/>
          <w:szCs w:val="18"/>
        </w:rPr>
        <w:t xml:space="preserve"> la relazione </w:t>
      </w:r>
      <w:r w:rsidR="00303C8B" w:rsidRPr="00F35AEF">
        <w:rPr>
          <w:rFonts w:ascii="Titillium" w:hAnsi="Titillium" w:cs="Arial"/>
          <w:sz w:val="18"/>
          <w:szCs w:val="18"/>
        </w:rPr>
        <w:t xml:space="preserve">di cui all’articolo 47, comma 3, </w:t>
      </w:r>
      <w:r w:rsidRPr="00F35AEF">
        <w:rPr>
          <w:rFonts w:ascii="Titillium" w:hAnsi="Titillium" w:cs="Arial"/>
          <w:sz w:val="18"/>
          <w:szCs w:val="18"/>
        </w:rPr>
        <w:t xml:space="preserve">del </w:t>
      </w:r>
      <w:r w:rsidR="00C50270" w:rsidRPr="00F35AEF">
        <w:rPr>
          <w:rFonts w:ascii="Titillium" w:hAnsi="Titillium" w:cs="Arial"/>
          <w:sz w:val="18"/>
          <w:szCs w:val="18"/>
        </w:rPr>
        <w:t>decreto-legge</w:t>
      </w:r>
      <w:r w:rsidRPr="00F35AEF">
        <w:rPr>
          <w:rFonts w:ascii="Titillium" w:hAnsi="Titillium" w:cs="Arial"/>
          <w:sz w:val="18"/>
          <w:szCs w:val="18"/>
        </w:rPr>
        <w:t xml:space="preserve"> n. 77 del 2021 </w:t>
      </w:r>
      <w:r w:rsidR="00266661" w:rsidRPr="00F35AEF">
        <w:rPr>
          <w:rFonts w:ascii="Titillium" w:hAnsi="Titillium" w:cs="Arial"/>
          <w:sz w:val="18"/>
          <w:szCs w:val="18"/>
        </w:rPr>
        <w:t>o</w:t>
      </w:r>
      <w:r w:rsidRPr="00F35AEF">
        <w:rPr>
          <w:rFonts w:ascii="Titillium" w:hAnsi="Titillium" w:cs="Arial"/>
          <w:sz w:val="18"/>
          <w:szCs w:val="18"/>
        </w:rPr>
        <w:t xml:space="preserve"> di cui all'</w:t>
      </w:r>
      <w:r w:rsidR="00266661" w:rsidRPr="00F35AEF">
        <w:rPr>
          <w:rFonts w:ascii="Titillium" w:hAnsi="Titillium" w:cs="Arial"/>
          <w:sz w:val="18"/>
          <w:szCs w:val="18"/>
        </w:rPr>
        <w:t>articolo 1, comma 2, dell’Allegato II.3 del Codice.</w:t>
      </w:r>
      <w:bookmarkStart w:id="1300" w:name="_Ref497211510"/>
    </w:p>
    <w:p w:rsidR="006028F9" w:rsidRPr="00AF481C" w:rsidRDefault="006028F9" w:rsidP="002268BB"/>
    <w:p w:rsidR="00AE28AD" w:rsidRPr="00AF481C" w:rsidRDefault="00AE28AD" w:rsidP="00604C9A">
      <w:pPr>
        <w:pStyle w:val="Titolo2"/>
        <w:numPr>
          <w:ilvl w:val="0"/>
          <w:numId w:val="3"/>
        </w:numPr>
      </w:pPr>
      <w:bookmarkStart w:id="1301" w:name="_Toc223087471"/>
      <w:r w:rsidRPr="00AF481C">
        <w:t>REQUISITI DI ORDINE SPECIALE E MEZZI DI PROVA</w:t>
      </w:r>
      <w:bookmarkEnd w:id="1300"/>
      <w:bookmarkEnd w:id="1301"/>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concorrenti devono possedere, </w:t>
      </w:r>
      <w:r w:rsidRPr="00AF481C">
        <w:rPr>
          <w:rFonts w:ascii="Titillium" w:hAnsi="Titillium" w:cs="Calibri"/>
          <w:bCs/>
          <w:sz w:val="18"/>
          <w:szCs w:val="18"/>
        </w:rPr>
        <w:t>a pena di esclusione</w:t>
      </w:r>
      <w:r w:rsidRPr="00AF481C">
        <w:rPr>
          <w:rFonts w:ascii="Titillium" w:hAnsi="Titillium" w:cs="Calibri"/>
          <w:sz w:val="18"/>
          <w:szCs w:val="18"/>
        </w:rPr>
        <w:t xml:space="preserve">, i requisiti previsti nei commi seguenti. </w:t>
      </w:r>
    </w:p>
    <w:p w:rsidR="007979FF" w:rsidRPr="00F35AEF" w:rsidRDefault="00AE28AD" w:rsidP="00AE28AD">
      <w:pPr>
        <w:spacing w:before="60" w:after="60"/>
        <w:rPr>
          <w:rFonts w:ascii="Titillium" w:hAnsi="Titillium" w:cs="Calibri"/>
          <w:color w:val="153D63" w:themeColor="text2" w:themeTint="E6"/>
          <w:sz w:val="18"/>
          <w:szCs w:val="18"/>
        </w:rPr>
      </w:pPr>
      <w:r w:rsidRPr="00AF481C">
        <w:rPr>
          <w:rFonts w:ascii="Titillium" w:hAnsi="Titillium" w:cs="Calibri"/>
          <w:sz w:val="18"/>
          <w:szCs w:val="18"/>
        </w:rPr>
        <w:t>La stazione appaltante verifica il possesso dei requisiti di ordine speciale accedendo al fascicolo virtuale dell’operatore economico (FVOE)</w:t>
      </w:r>
      <w:r w:rsidR="009C0BA8" w:rsidRPr="00AF481C">
        <w:rPr>
          <w:rFonts w:ascii="Titillium" w:hAnsi="Titillium" w:cs="Calibri"/>
          <w:sz w:val="18"/>
          <w:szCs w:val="18"/>
        </w:rPr>
        <w:t xml:space="preserve">, </w:t>
      </w:r>
      <w:r w:rsidR="009C0BA8" w:rsidRPr="00F35AEF">
        <w:rPr>
          <w:rFonts w:ascii="Titillium" w:hAnsi="Titillium" w:cs="Calibri"/>
          <w:sz w:val="18"/>
          <w:szCs w:val="18"/>
        </w:rPr>
        <w:t>fatto salvo quanto previsto nel</w:t>
      </w:r>
      <w:r w:rsidR="00676B98" w:rsidRPr="00F35AEF">
        <w:rPr>
          <w:rFonts w:ascii="Titillium" w:hAnsi="Titillium" w:cs="Calibri"/>
          <w:sz w:val="18"/>
          <w:szCs w:val="18"/>
        </w:rPr>
        <w:t xml:space="preserve"> paragrafo</w:t>
      </w:r>
      <w:r w:rsidR="009C0BA8" w:rsidRPr="00F35AEF">
        <w:rPr>
          <w:rFonts w:ascii="Titillium" w:hAnsi="Titillium" w:cs="Calibri"/>
          <w:sz w:val="18"/>
          <w:szCs w:val="18"/>
        </w:rPr>
        <w:t xml:space="preserve"> 2</w:t>
      </w:r>
      <w:r w:rsidR="002501A9" w:rsidRPr="00F35AEF">
        <w:rPr>
          <w:rFonts w:ascii="Titillium" w:hAnsi="Titillium" w:cs="Calibri"/>
          <w:sz w:val="18"/>
          <w:szCs w:val="18"/>
        </w:rPr>
        <w:t>5</w:t>
      </w:r>
      <w:r w:rsidRPr="00F35AEF">
        <w:rPr>
          <w:rFonts w:ascii="Titillium" w:hAnsi="Titillium" w:cs="Calibri"/>
          <w:sz w:val="18"/>
          <w:szCs w:val="18"/>
        </w:rPr>
        <w:t xml:space="preserv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rsidR="009142A6" w:rsidRPr="00AF481C" w:rsidRDefault="009142A6" w:rsidP="00AE28AD">
      <w:pPr>
        <w:spacing w:before="60" w:after="60"/>
        <w:rPr>
          <w:rFonts w:ascii="Titillium" w:hAnsi="Titillium" w:cs="Calibri"/>
          <w:sz w:val="18"/>
          <w:szCs w:val="18"/>
        </w:rPr>
      </w:pPr>
    </w:p>
    <w:p w:rsidR="00AE28AD" w:rsidRPr="00AF481C" w:rsidRDefault="00AE28AD" w:rsidP="00225033">
      <w:pPr>
        <w:pStyle w:val="Titolo3"/>
        <w:numPr>
          <w:ilvl w:val="1"/>
          <w:numId w:val="3"/>
        </w:numPr>
        <w:ind w:left="426" w:hanging="426"/>
      </w:pPr>
      <w:bookmarkStart w:id="1302" w:name="_Toc497728144"/>
      <w:bookmarkStart w:id="1303" w:name="_Toc497484946"/>
      <w:bookmarkStart w:id="1304" w:name="_Toc498419731"/>
      <w:bookmarkStart w:id="1305" w:name="_Toc497831539"/>
      <w:bookmarkStart w:id="1306" w:name="_Ref128476563"/>
      <w:bookmarkStart w:id="1307" w:name="_Ref128681470"/>
      <w:bookmarkStart w:id="1308" w:name="_Toc223087472"/>
      <w:bookmarkEnd w:id="1302"/>
      <w:bookmarkEnd w:id="1303"/>
      <w:bookmarkEnd w:id="1304"/>
      <w:bookmarkEnd w:id="1305"/>
      <w:r w:rsidRPr="00AF481C">
        <w:rPr>
          <w:rFonts w:ascii="Titillium" w:hAnsi="Titillium"/>
          <w:sz w:val="18"/>
          <w:szCs w:val="18"/>
        </w:rPr>
        <w:t>REQUISITI DI IDONEITÀ</w:t>
      </w:r>
      <w:bookmarkEnd w:id="1306"/>
      <w:r w:rsidRPr="00AF481C">
        <w:rPr>
          <w:rFonts w:ascii="Titillium" w:hAnsi="Titillium"/>
          <w:sz w:val="18"/>
          <w:szCs w:val="18"/>
        </w:rPr>
        <w:t xml:space="preserve"> PROFESSIONALE</w:t>
      </w:r>
      <w:bookmarkEnd w:id="1307"/>
      <w:bookmarkEnd w:id="1308"/>
    </w:p>
    <w:p w:rsidR="00AE28AD" w:rsidRPr="00AF481C" w:rsidRDefault="00AE28AD" w:rsidP="00225033">
      <w:pPr>
        <w:pStyle w:val="Paragrafoelenco"/>
        <w:numPr>
          <w:ilvl w:val="0"/>
          <w:numId w:val="4"/>
        </w:numPr>
        <w:spacing w:before="60" w:after="60"/>
        <w:ind w:left="284" w:hanging="284"/>
        <w:contextualSpacing w:val="0"/>
      </w:pPr>
      <w:bookmarkStart w:id="1309" w:name="_Ref128681493"/>
      <w:r w:rsidRPr="00AF481C">
        <w:rPr>
          <w:rFonts w:ascii="Titillium" w:hAnsi="Titillium" w:cs="Arial"/>
          <w:bCs/>
          <w:sz w:val="18"/>
          <w:szCs w:val="18"/>
        </w:rPr>
        <w:t>Iscrizione n</w:t>
      </w:r>
      <w:r w:rsidRPr="00AF481C">
        <w:rPr>
          <w:rFonts w:ascii="Titillium" w:hAnsi="Titillium" w:cs="Arial"/>
          <w:sz w:val="18"/>
          <w:szCs w:val="18"/>
        </w:rPr>
        <w:t>el R</w:t>
      </w:r>
      <w:r w:rsidRPr="00AF481C">
        <w:rPr>
          <w:rFonts w:ascii="Titillium" w:hAnsi="Titillium" w:cs="Calibri"/>
          <w:sz w:val="18"/>
          <w:szCs w:val="18"/>
        </w:rPr>
        <w:t>egistro delle Imprese oppure nell’Albo delle Imprese artigiane per attività pertinenti con quelle oggetto della prese</w:t>
      </w:r>
      <w:bookmarkStart w:id="1310" w:name="_Ref495411492"/>
      <w:bookmarkEnd w:id="1310"/>
      <w:r w:rsidRPr="00AF481C">
        <w:rPr>
          <w:rFonts w:ascii="Titillium" w:hAnsi="Titillium" w:cs="Calibri"/>
          <w:sz w:val="18"/>
          <w:szCs w:val="18"/>
        </w:rPr>
        <w:t>nte procedura di gara.</w:t>
      </w:r>
      <w:bookmarkEnd w:id="1309"/>
    </w:p>
    <w:p w:rsidR="00AE28AD" w:rsidRPr="00AF481C" w:rsidRDefault="00AE28AD" w:rsidP="00673DFD">
      <w:pPr>
        <w:spacing w:before="60" w:after="60"/>
        <w:rPr>
          <w:rFonts w:ascii="Titillium" w:hAnsi="Titillium" w:cs="Calibri"/>
          <w:sz w:val="18"/>
          <w:szCs w:val="18"/>
        </w:rPr>
      </w:pPr>
      <w:r w:rsidRPr="00AF481C">
        <w:rPr>
          <w:rFonts w:ascii="Titillium" w:hAnsi="Titillium" w:cs="Calibri"/>
          <w:sz w:val="18"/>
          <w:szCs w:val="18"/>
        </w:rPr>
        <w:t>Per l’operatore economico di altro Stato membro, non residente in Italia: iscrizione in uno dei registri professionali o commerciali degli altri Stati membri di cui all’allegato II.11 del Codice;</w:t>
      </w:r>
    </w:p>
    <w:p w:rsidR="00F35AEF" w:rsidRDefault="00AE28AD" w:rsidP="00F35AEF">
      <w:pPr>
        <w:spacing w:before="60" w:after="60"/>
        <w:rPr>
          <w:rFonts w:ascii="Titillium" w:hAnsi="Titillium"/>
          <w:sz w:val="18"/>
          <w:szCs w:val="18"/>
        </w:rPr>
      </w:pPr>
      <w:r w:rsidRPr="00AF481C">
        <w:rPr>
          <w:rFonts w:ascii="Titillium" w:hAnsi="Titillium" w:cs="Calibri"/>
          <w:sz w:val="18"/>
          <w:szCs w:val="18"/>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w:t>
      </w:r>
      <w:r w:rsidR="007D2E10">
        <w:rPr>
          <w:rFonts w:ascii="Titillium" w:hAnsi="Titillium" w:cs="Calibri"/>
          <w:sz w:val="18"/>
          <w:szCs w:val="18"/>
        </w:rPr>
        <w:t xml:space="preserve"> </w:t>
      </w:r>
      <w:r w:rsidRPr="00AF481C">
        <w:rPr>
          <w:rFonts w:ascii="Titillium" w:hAnsi="Titillium" w:cs="Calibri"/>
          <w:sz w:val="18"/>
          <w:szCs w:val="18"/>
        </w:rPr>
        <w:t>i dati e le informazioni utili alla comprova del requisito, se disponibili</w:t>
      </w:r>
      <w:r w:rsidRPr="00AF481C">
        <w:rPr>
          <w:rFonts w:ascii="Titillium" w:hAnsi="Titillium"/>
          <w:sz w:val="18"/>
          <w:szCs w:val="18"/>
        </w:rPr>
        <w:t>.</w:t>
      </w:r>
    </w:p>
    <w:p w:rsidR="00F35AEF" w:rsidRDefault="00F35AEF" w:rsidP="00F35AEF">
      <w:pPr>
        <w:spacing w:before="60" w:after="60"/>
        <w:rPr>
          <w:rFonts w:ascii="Titillium" w:hAnsi="Titillium"/>
          <w:sz w:val="18"/>
          <w:szCs w:val="18"/>
        </w:rPr>
      </w:pPr>
    </w:p>
    <w:p w:rsidR="00F35AEF" w:rsidRDefault="00F35AEF" w:rsidP="00F35AEF">
      <w:pPr>
        <w:spacing w:before="60" w:after="60"/>
        <w:rPr>
          <w:rFonts w:ascii="Titillium" w:hAnsi="Titillium" w:cs="Arial"/>
          <w:bCs/>
          <w:sz w:val="18"/>
          <w:szCs w:val="18"/>
        </w:rPr>
      </w:pPr>
      <w:r w:rsidRPr="00F35AEF">
        <w:rPr>
          <w:rFonts w:ascii="Titillium" w:hAnsi="Titillium"/>
          <w:b/>
          <w:sz w:val="18"/>
          <w:szCs w:val="18"/>
        </w:rPr>
        <w:lastRenderedPageBreak/>
        <w:t>b</w:t>
      </w:r>
      <w:r w:rsidRPr="00F35AEF">
        <w:rPr>
          <w:rFonts w:ascii="Titillium" w:hAnsi="Titillium" w:cs="Arial"/>
          <w:b/>
          <w:bCs/>
          <w:sz w:val="18"/>
          <w:szCs w:val="18"/>
        </w:rPr>
        <w:t>)</w:t>
      </w:r>
      <w:r w:rsidRPr="00F35AEF">
        <w:rPr>
          <w:rFonts w:ascii="Titillium" w:hAnsi="Titillium" w:cs="Arial"/>
          <w:bCs/>
          <w:sz w:val="18"/>
          <w:szCs w:val="18"/>
        </w:rPr>
        <w:t xml:space="preserve"> Essere in possesso di licenza per l'esercizio di recupero crediti per conto terzi ai sensi dell'art.115 del TULPS, appr</w:t>
      </w:r>
      <w:r>
        <w:rPr>
          <w:rFonts w:ascii="Titillium" w:hAnsi="Titillium" w:cs="Arial"/>
          <w:bCs/>
          <w:sz w:val="18"/>
          <w:szCs w:val="18"/>
        </w:rPr>
        <w:t>ovato con R.D. 18.06.1931 n.773</w:t>
      </w:r>
      <w:r w:rsidRPr="00F35AEF">
        <w:rPr>
          <w:rFonts w:ascii="Titillium" w:hAnsi="Titillium" w:cs="Arial"/>
          <w:bCs/>
          <w:sz w:val="18"/>
          <w:szCs w:val="18"/>
        </w:rPr>
        <w:t>.</w:t>
      </w:r>
    </w:p>
    <w:p w:rsidR="00AE28AD" w:rsidRPr="00AF481C" w:rsidRDefault="00AE28AD" w:rsidP="00F35AEF">
      <w:pPr>
        <w:spacing w:before="60" w:after="60"/>
        <w:rPr>
          <w:rFonts w:ascii="Titillium" w:hAnsi="Titillium" w:cs="Calibri"/>
          <w:sz w:val="18"/>
          <w:szCs w:val="18"/>
        </w:rPr>
      </w:pPr>
      <w:r w:rsidRPr="00AF481C">
        <w:rPr>
          <w:rFonts w:ascii="Titillium" w:hAnsi="Titillium" w:cs="Calibri"/>
          <w:sz w:val="18"/>
          <w:szCs w:val="18"/>
        </w:rPr>
        <w:t>Per l’operatore economico di altro Stato membro, non residente in Italia: secondo le modalità vigenti nello Stato nel quale è stabilito.</w:t>
      </w:r>
    </w:p>
    <w:p w:rsidR="00AE28AD" w:rsidRPr="00B2186C" w:rsidRDefault="00AE28AD" w:rsidP="00AE28AD">
      <w:pPr>
        <w:pStyle w:val="Paragrafoelenco"/>
        <w:spacing w:before="60" w:after="60"/>
        <w:ind w:left="0"/>
        <w:rPr>
          <w:rFonts w:ascii="Titillium" w:hAnsi="Titillium" w:cs="Arial"/>
          <w:b/>
          <w:i/>
          <w:iCs/>
          <w:sz w:val="18"/>
          <w:szCs w:val="18"/>
          <w:u w:val="single"/>
        </w:rPr>
      </w:pPr>
      <w:r w:rsidRPr="00B2186C">
        <w:rPr>
          <w:rFonts w:ascii="Titillium" w:hAnsi="Titillium" w:cs="Arial"/>
          <w:b/>
          <w:sz w:val="18"/>
          <w:szCs w:val="18"/>
          <w:u w:val="single"/>
        </w:rPr>
        <w:t xml:space="preserve">La comprova di tale requisito è fornita mediante </w:t>
      </w:r>
      <w:r w:rsidR="00F35AEF" w:rsidRPr="00B2186C">
        <w:rPr>
          <w:rFonts w:ascii="Titillium" w:hAnsi="Titillium" w:cs="Arial"/>
          <w:b/>
          <w:sz w:val="18"/>
          <w:szCs w:val="18"/>
          <w:u w:val="single"/>
        </w:rPr>
        <w:t>messa a disposizione di copia della licenza in allegato alla domanda di partecipazione</w:t>
      </w:r>
    </w:p>
    <w:p w:rsidR="00673DFD" w:rsidRPr="00AF481C" w:rsidRDefault="00673DFD" w:rsidP="00AE28AD">
      <w:pPr>
        <w:pStyle w:val="Paragrafoelenco"/>
        <w:spacing w:before="60" w:after="60"/>
        <w:ind w:left="0"/>
        <w:rPr>
          <w:rFonts w:ascii="Titillium" w:hAnsi="Titillium" w:cs="Arial"/>
          <w:i/>
          <w:iCs/>
          <w:sz w:val="18"/>
          <w:szCs w:val="18"/>
        </w:rPr>
      </w:pPr>
    </w:p>
    <w:p w:rsidR="00AE28AD" w:rsidRPr="00AF481C" w:rsidRDefault="00AE28AD" w:rsidP="00225033">
      <w:pPr>
        <w:pStyle w:val="Titolo3"/>
        <w:numPr>
          <w:ilvl w:val="1"/>
          <w:numId w:val="3"/>
        </w:numPr>
        <w:ind w:left="426" w:hanging="426"/>
      </w:pPr>
      <w:bookmarkStart w:id="1311" w:name="_Toc484688287"/>
      <w:bookmarkStart w:id="1312" w:name="_Toc484605418"/>
      <w:bookmarkStart w:id="1313" w:name="_Toc484605294"/>
      <w:bookmarkStart w:id="1314" w:name="_Toc484526574"/>
      <w:bookmarkStart w:id="1315" w:name="_Toc484449079"/>
      <w:bookmarkStart w:id="1316" w:name="_Toc484448955"/>
      <w:bookmarkStart w:id="1317" w:name="_Toc484448831"/>
      <w:bookmarkStart w:id="1318" w:name="_Toc484448708"/>
      <w:bookmarkStart w:id="1319" w:name="_Toc484448584"/>
      <w:bookmarkStart w:id="1320" w:name="_Toc484448460"/>
      <w:bookmarkStart w:id="1321" w:name="_Toc484448336"/>
      <w:bookmarkStart w:id="1322" w:name="_Toc484448212"/>
      <w:bookmarkStart w:id="1323" w:name="_Toc484448087"/>
      <w:bookmarkStart w:id="1324" w:name="_Toc484440428"/>
      <w:bookmarkStart w:id="1325" w:name="_Toc484440068"/>
      <w:bookmarkStart w:id="1326" w:name="_Toc484439944"/>
      <w:bookmarkStart w:id="1327" w:name="_Toc484439821"/>
      <w:bookmarkStart w:id="1328" w:name="_Toc484438901"/>
      <w:bookmarkStart w:id="1329" w:name="_Toc484438777"/>
      <w:bookmarkStart w:id="1330" w:name="_Toc484438653"/>
      <w:bookmarkStart w:id="1331" w:name="_Toc484429078"/>
      <w:bookmarkStart w:id="1332" w:name="_Toc484428908"/>
      <w:bookmarkStart w:id="1333" w:name="_Toc484097736"/>
      <w:bookmarkStart w:id="1334" w:name="_Toc484011662"/>
      <w:bookmarkStart w:id="1335" w:name="_Toc484011187"/>
      <w:bookmarkStart w:id="1336" w:name="_Toc484011065"/>
      <w:bookmarkStart w:id="1337" w:name="_Toc484010943"/>
      <w:bookmarkStart w:id="1338" w:name="_Toc484010819"/>
      <w:bookmarkStart w:id="1339" w:name="_Toc484010697"/>
      <w:bookmarkStart w:id="1340" w:name="_Toc483906947"/>
      <w:bookmarkStart w:id="1341" w:name="_Toc483571570"/>
      <w:bookmarkStart w:id="1342" w:name="_Toc483571449"/>
      <w:bookmarkStart w:id="1343" w:name="_Toc483474020"/>
      <w:bookmarkStart w:id="1344" w:name="_Toc483401223"/>
      <w:bookmarkStart w:id="1345" w:name="_Toc483325744"/>
      <w:bookmarkStart w:id="1346" w:name="_Toc483316441"/>
      <w:bookmarkStart w:id="1347" w:name="_Toc483316310"/>
      <w:bookmarkStart w:id="1348" w:name="_Toc483316107"/>
      <w:bookmarkStart w:id="1349" w:name="_Toc483315902"/>
      <w:bookmarkStart w:id="1350" w:name="_Toc483302352"/>
      <w:bookmarkStart w:id="1351" w:name="_Toc485218278"/>
      <w:bookmarkStart w:id="1352" w:name="_Toc484688842"/>
      <w:bookmarkStart w:id="1353" w:name="_Ref495411575"/>
      <w:bookmarkStart w:id="1354" w:name="_Toc223087473"/>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sidRPr="00AF481C">
        <w:rPr>
          <w:rFonts w:ascii="Titillium" w:hAnsi="Titillium"/>
          <w:sz w:val="18"/>
          <w:szCs w:val="18"/>
        </w:rPr>
        <w:t>REQUISITI DI CAPACITÀ ECONOMICA E FINANZIARIA</w:t>
      </w:r>
      <w:bookmarkEnd w:id="1353"/>
      <w:bookmarkEnd w:id="1354"/>
    </w:p>
    <w:p w:rsidR="00673DFD" w:rsidRPr="00AF481C" w:rsidRDefault="00844039" w:rsidP="00AE28AD">
      <w:pPr>
        <w:pStyle w:val="Paragrafoelenco"/>
        <w:spacing w:before="60" w:after="60"/>
        <w:ind w:left="0"/>
        <w:rPr>
          <w:rFonts w:ascii="Titillium" w:hAnsi="Titillium" w:cs="Arial"/>
          <w:sz w:val="18"/>
          <w:szCs w:val="18"/>
        </w:rPr>
      </w:pPr>
      <w:r>
        <w:rPr>
          <w:rFonts w:ascii="Titillium" w:hAnsi="Titillium" w:cs="Arial"/>
          <w:bCs/>
          <w:iCs/>
          <w:sz w:val="18"/>
          <w:szCs w:val="18"/>
        </w:rPr>
        <w:t>Non previsto</w:t>
      </w:r>
    </w:p>
    <w:p w:rsidR="00AE28AD" w:rsidRPr="00AF481C" w:rsidRDefault="00AE28AD" w:rsidP="00225033">
      <w:pPr>
        <w:pStyle w:val="Titolo3"/>
        <w:numPr>
          <w:ilvl w:val="1"/>
          <w:numId w:val="3"/>
        </w:numPr>
        <w:ind w:left="426" w:hanging="426"/>
        <w:rPr>
          <w:rFonts w:ascii="Titillium" w:hAnsi="Titillium"/>
          <w:sz w:val="18"/>
          <w:szCs w:val="18"/>
        </w:rPr>
      </w:pPr>
      <w:bookmarkStart w:id="1355" w:name="_Ref495506173"/>
      <w:bookmarkStart w:id="1356" w:name="_Ref495482790"/>
      <w:bookmarkStart w:id="1357" w:name="_Ref495482769"/>
      <w:bookmarkStart w:id="1358" w:name="_Ref495411584"/>
      <w:bookmarkStart w:id="1359" w:name="_Ref496707577"/>
      <w:bookmarkStart w:id="1360" w:name="_Ref495920623"/>
      <w:bookmarkStart w:id="1361" w:name="_Toc223087474"/>
      <w:r w:rsidRPr="00AF481C">
        <w:rPr>
          <w:rFonts w:ascii="Titillium" w:hAnsi="Titillium"/>
          <w:sz w:val="18"/>
          <w:szCs w:val="18"/>
        </w:rPr>
        <w:t>REQUISITI DI CAPACITÀ TECNICA E PROFESSIONALE</w:t>
      </w:r>
      <w:bookmarkEnd w:id="1355"/>
      <w:bookmarkEnd w:id="1356"/>
      <w:bookmarkEnd w:id="1357"/>
      <w:bookmarkEnd w:id="1358"/>
      <w:bookmarkEnd w:id="1359"/>
      <w:bookmarkEnd w:id="1360"/>
      <w:bookmarkEnd w:id="1361"/>
    </w:p>
    <w:p w:rsidR="00AE28AD" w:rsidRPr="00AF481C" w:rsidRDefault="00AE28AD" w:rsidP="00BE4F13">
      <w:pPr>
        <w:pStyle w:val="Paragrafoelenco"/>
        <w:numPr>
          <w:ilvl w:val="0"/>
          <w:numId w:val="31"/>
        </w:numPr>
        <w:spacing w:before="60" w:after="60"/>
        <w:ind w:left="284" w:hanging="284"/>
        <w:contextualSpacing w:val="0"/>
      </w:pPr>
      <w:bookmarkStart w:id="1362" w:name="_Ref497922628"/>
      <w:r w:rsidRPr="00AF481C">
        <w:rPr>
          <w:rFonts w:ascii="Titillium" w:hAnsi="Titillium" w:cs="Arial"/>
          <w:bCs/>
          <w:iCs/>
          <w:sz w:val="18"/>
          <w:szCs w:val="18"/>
        </w:rPr>
        <w:t xml:space="preserve">Esecuzione negli ultimi dieci anni dalla data di pubblicazione della gara di almeno n. </w:t>
      </w:r>
      <w:r w:rsidR="00566844">
        <w:rPr>
          <w:rFonts w:ascii="Titillium" w:hAnsi="Titillium" w:cs="Arial"/>
          <w:bCs/>
          <w:iCs/>
          <w:sz w:val="18"/>
          <w:szCs w:val="18"/>
        </w:rPr>
        <w:t>2</w:t>
      </w:r>
      <w:r w:rsidR="00A74AF9">
        <w:rPr>
          <w:rFonts w:ascii="Titillium" w:hAnsi="Titillium" w:cs="Arial"/>
          <w:bCs/>
          <w:iCs/>
          <w:sz w:val="18"/>
          <w:szCs w:val="18"/>
        </w:rPr>
        <w:t xml:space="preserve"> </w:t>
      </w:r>
      <w:r w:rsidRPr="00AF481C">
        <w:rPr>
          <w:rFonts w:ascii="Titillium" w:hAnsi="Titillium" w:cs="Calibri"/>
          <w:bCs/>
          <w:sz w:val="18"/>
          <w:szCs w:val="18"/>
        </w:rPr>
        <w:t>servizi analoghi</w:t>
      </w:r>
      <w:r w:rsidR="00A74AF9">
        <w:rPr>
          <w:rFonts w:ascii="Titillium" w:hAnsi="Titillium" w:cs="Calibri"/>
          <w:bCs/>
          <w:sz w:val="18"/>
          <w:szCs w:val="18"/>
        </w:rPr>
        <w:t xml:space="preserve"> </w:t>
      </w:r>
      <w:r w:rsidR="00F35AEF">
        <w:rPr>
          <w:rFonts w:ascii="Titillium" w:hAnsi="Titillium" w:cs="Calibri"/>
          <w:bCs/>
          <w:sz w:val="18"/>
          <w:szCs w:val="18"/>
        </w:rPr>
        <w:t>di recupero crediti all’estero</w:t>
      </w:r>
      <w:r w:rsidR="00566844">
        <w:rPr>
          <w:rFonts w:ascii="Titillium" w:hAnsi="Titillium" w:cs="Calibri"/>
          <w:bCs/>
          <w:sz w:val="18"/>
          <w:szCs w:val="18"/>
        </w:rPr>
        <w:t xml:space="preserve"> o n.1 di importo pari alla base di gara.</w:t>
      </w:r>
    </w:p>
    <w:bookmarkEnd w:id="1362"/>
    <w:p w:rsidR="00AE28AD" w:rsidRPr="00AF481C" w:rsidRDefault="00AE28AD" w:rsidP="00AE28AD">
      <w:pPr>
        <w:spacing w:before="60" w:after="60"/>
      </w:pPr>
      <w:r w:rsidRPr="00AF481C">
        <w:rPr>
          <w:rFonts w:ascii="Titillium" w:hAnsi="Titillium" w:cs="Arial"/>
          <w:sz w:val="18"/>
          <w:szCs w:val="18"/>
          <w:u w:val="single"/>
        </w:rPr>
        <w:t>La comprova del requisito</w:t>
      </w:r>
      <w:r w:rsidRPr="00AF481C">
        <w:rPr>
          <w:rFonts w:ascii="Titillium" w:hAnsi="Titillium" w:cs="Arial"/>
          <w:sz w:val="18"/>
          <w:szCs w:val="18"/>
        </w:rPr>
        <w:t xml:space="preserve"> è fornita mediante uno o più dei seguenti documenti:</w:t>
      </w:r>
    </w:p>
    <w:p w:rsidR="00AE28AD" w:rsidRPr="00AF481C" w:rsidRDefault="00AE28AD" w:rsidP="00BE4F13">
      <w:pPr>
        <w:pStyle w:val="Paragrafoelenco"/>
        <w:numPr>
          <w:ilvl w:val="0"/>
          <w:numId w:val="27"/>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certificati rilasciati dall’amministrazione/ente contraente, con l’indicazione dell’oggetto, dell’importo e del periodo di esecuzione;</w:t>
      </w:r>
    </w:p>
    <w:p w:rsidR="00AE28AD" w:rsidRPr="00AF481C" w:rsidRDefault="00AE28AD" w:rsidP="00BE4F13">
      <w:pPr>
        <w:pStyle w:val="Paragrafoelenco"/>
        <w:numPr>
          <w:ilvl w:val="0"/>
          <w:numId w:val="27"/>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contratti stipulati con le amministrazioni pubbliche, completi di copia delle fatture quietanzate ovvero dei documenti bancari attestanti il pagamento delle stesse;</w:t>
      </w:r>
    </w:p>
    <w:p w:rsidR="00AE28AD" w:rsidRPr="00AF481C" w:rsidRDefault="00AE28AD" w:rsidP="00BE4F13">
      <w:pPr>
        <w:pStyle w:val="Paragrafoelenco"/>
        <w:numPr>
          <w:ilvl w:val="0"/>
          <w:numId w:val="27"/>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attestazioni rilasciate dal committente privato, con l’indicazione dell’oggetto, dell’importo e del periodo di esecuzione;</w:t>
      </w:r>
    </w:p>
    <w:p w:rsidR="00AE28AD" w:rsidRPr="00AF481C" w:rsidRDefault="00AE28AD" w:rsidP="00BE4F13">
      <w:pPr>
        <w:pStyle w:val="Paragrafoelenco"/>
        <w:numPr>
          <w:ilvl w:val="0"/>
          <w:numId w:val="27"/>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contratti stipulati con privati, completi di copia delle fatture quietanzate ovvero dei documenti bancari attestanti il pagamento delle stesse.</w:t>
      </w:r>
    </w:p>
    <w:p w:rsidR="00673DFD" w:rsidRPr="00AF481C" w:rsidRDefault="00673DFD" w:rsidP="00237785">
      <w:pPr>
        <w:pStyle w:val="Paragrafoelenco"/>
        <w:spacing w:before="60" w:after="60"/>
        <w:ind w:left="284"/>
        <w:contextualSpacing w:val="0"/>
        <w:rPr>
          <w:rFonts w:ascii="Titillium" w:hAnsi="Titillium" w:cs="Arial"/>
          <w:sz w:val="18"/>
          <w:szCs w:val="18"/>
        </w:rPr>
      </w:pPr>
    </w:p>
    <w:p w:rsidR="00AE28AD" w:rsidRPr="00AF481C" w:rsidRDefault="00AE28AD" w:rsidP="00225033">
      <w:pPr>
        <w:pStyle w:val="Titolo3"/>
        <w:numPr>
          <w:ilvl w:val="1"/>
          <w:numId w:val="3"/>
        </w:numPr>
        <w:ind w:left="426" w:hanging="426"/>
        <w:rPr>
          <w:rFonts w:ascii="Titillium" w:hAnsi="Titillium"/>
          <w:caps/>
          <w:sz w:val="18"/>
          <w:szCs w:val="18"/>
        </w:rPr>
      </w:pPr>
      <w:bookmarkStart w:id="1363" w:name="_Toc497728149"/>
      <w:bookmarkStart w:id="1364" w:name="_Toc497484951"/>
      <w:bookmarkStart w:id="1365" w:name="_Toc485218285"/>
      <w:bookmarkStart w:id="1366" w:name="_Toc484688849"/>
      <w:bookmarkStart w:id="1367" w:name="_Toc484688294"/>
      <w:bookmarkStart w:id="1368" w:name="_Toc484605425"/>
      <w:bookmarkStart w:id="1369" w:name="_Toc484605301"/>
      <w:bookmarkStart w:id="1370" w:name="_Toc484526581"/>
      <w:bookmarkStart w:id="1371" w:name="_Toc484449086"/>
      <w:bookmarkStart w:id="1372" w:name="_Toc484448962"/>
      <w:bookmarkStart w:id="1373" w:name="_Toc484448838"/>
      <w:bookmarkStart w:id="1374" w:name="_Toc484448715"/>
      <w:bookmarkStart w:id="1375" w:name="_Toc484448591"/>
      <w:bookmarkStart w:id="1376" w:name="_Toc484448467"/>
      <w:bookmarkStart w:id="1377" w:name="_Toc484448343"/>
      <w:bookmarkStart w:id="1378" w:name="_Toc484448219"/>
      <w:bookmarkStart w:id="1379" w:name="_Toc484448094"/>
      <w:bookmarkStart w:id="1380" w:name="_Toc484440435"/>
      <w:bookmarkStart w:id="1381" w:name="_Toc484440075"/>
      <w:bookmarkStart w:id="1382" w:name="_Toc484439951"/>
      <w:bookmarkStart w:id="1383" w:name="_Toc484439828"/>
      <w:bookmarkStart w:id="1384" w:name="_Toc484438908"/>
      <w:bookmarkStart w:id="1385" w:name="_Toc484438784"/>
      <w:bookmarkStart w:id="1386" w:name="_Toc484438660"/>
      <w:bookmarkStart w:id="1387" w:name="_Toc484429085"/>
      <w:bookmarkStart w:id="1388" w:name="_Toc484428915"/>
      <w:bookmarkStart w:id="1389" w:name="_Toc484097743"/>
      <w:bookmarkStart w:id="1390" w:name="_Toc484011669"/>
      <w:bookmarkStart w:id="1391" w:name="_Toc484011194"/>
      <w:bookmarkStart w:id="1392" w:name="_Toc484011072"/>
      <w:bookmarkStart w:id="1393" w:name="_Toc484010950"/>
      <w:bookmarkStart w:id="1394" w:name="_Toc484010826"/>
      <w:bookmarkStart w:id="1395" w:name="_Toc484010704"/>
      <w:bookmarkStart w:id="1396" w:name="_Toc483906954"/>
      <w:bookmarkStart w:id="1397" w:name="_Toc483571577"/>
      <w:bookmarkStart w:id="1398" w:name="_Toc483571456"/>
      <w:bookmarkStart w:id="1399" w:name="_Toc483474027"/>
      <w:bookmarkStart w:id="1400" w:name="_Toc483401230"/>
      <w:bookmarkStart w:id="1401" w:name="_Toc483325751"/>
      <w:bookmarkStart w:id="1402" w:name="_Toc483316448"/>
      <w:bookmarkStart w:id="1403" w:name="_Toc483316317"/>
      <w:bookmarkStart w:id="1404" w:name="_Toc483316114"/>
      <w:bookmarkStart w:id="1405" w:name="_Toc483315909"/>
      <w:bookmarkStart w:id="1406" w:name="_Toc483302359"/>
      <w:bookmarkStart w:id="1407" w:name="_Toc485218284"/>
      <w:bookmarkStart w:id="1408" w:name="_Toc484688848"/>
      <w:bookmarkStart w:id="1409" w:name="_Toc484688293"/>
      <w:bookmarkStart w:id="1410" w:name="_Toc484605424"/>
      <w:bookmarkStart w:id="1411" w:name="_Toc484605300"/>
      <w:bookmarkStart w:id="1412" w:name="_Toc484526580"/>
      <w:bookmarkStart w:id="1413" w:name="_Toc484449085"/>
      <w:bookmarkStart w:id="1414" w:name="_Toc484448961"/>
      <w:bookmarkStart w:id="1415" w:name="_Toc484448837"/>
      <w:bookmarkStart w:id="1416" w:name="_Toc484448714"/>
      <w:bookmarkStart w:id="1417" w:name="_Toc484448590"/>
      <w:bookmarkStart w:id="1418" w:name="_Toc484448466"/>
      <w:bookmarkStart w:id="1419" w:name="_Toc484448342"/>
      <w:bookmarkStart w:id="1420" w:name="_Toc484448218"/>
      <w:bookmarkStart w:id="1421" w:name="_Toc484448093"/>
      <w:bookmarkStart w:id="1422" w:name="_Toc484440434"/>
      <w:bookmarkStart w:id="1423" w:name="_Toc484440074"/>
      <w:bookmarkStart w:id="1424" w:name="_Toc484439950"/>
      <w:bookmarkStart w:id="1425" w:name="_Toc484439827"/>
      <w:bookmarkStart w:id="1426" w:name="_Toc484438907"/>
      <w:bookmarkStart w:id="1427" w:name="_Toc484438783"/>
      <w:bookmarkStart w:id="1428" w:name="_Toc484438659"/>
      <w:bookmarkStart w:id="1429" w:name="_Toc484429084"/>
      <w:bookmarkStart w:id="1430" w:name="_Toc484428914"/>
      <w:bookmarkStart w:id="1431" w:name="_Toc484097742"/>
      <w:bookmarkStart w:id="1432" w:name="_Toc484011668"/>
      <w:bookmarkStart w:id="1433" w:name="_Toc484011193"/>
      <w:bookmarkStart w:id="1434" w:name="_Toc484011071"/>
      <w:bookmarkStart w:id="1435" w:name="_Toc484010949"/>
      <w:bookmarkStart w:id="1436" w:name="_Toc484010825"/>
      <w:bookmarkStart w:id="1437" w:name="_Toc484010703"/>
      <w:bookmarkStart w:id="1438" w:name="_Toc483906953"/>
      <w:bookmarkStart w:id="1439" w:name="_Toc483571576"/>
      <w:bookmarkStart w:id="1440" w:name="_Toc483571455"/>
      <w:bookmarkStart w:id="1441" w:name="_Toc483474026"/>
      <w:bookmarkStart w:id="1442" w:name="_Toc483401229"/>
      <w:bookmarkStart w:id="1443" w:name="_Toc483325750"/>
      <w:bookmarkStart w:id="1444" w:name="_Toc483316447"/>
      <w:bookmarkStart w:id="1445" w:name="_Toc483316316"/>
      <w:bookmarkStart w:id="1446" w:name="_Toc483316113"/>
      <w:bookmarkStart w:id="1447" w:name="_Toc483315908"/>
      <w:bookmarkStart w:id="1448" w:name="_Toc483302358"/>
      <w:bookmarkStart w:id="1449" w:name="_Toc485218283"/>
      <w:bookmarkStart w:id="1450" w:name="_Toc484688847"/>
      <w:bookmarkStart w:id="1451" w:name="_Toc484688292"/>
      <w:bookmarkStart w:id="1452" w:name="_Toc484605423"/>
      <w:bookmarkStart w:id="1453" w:name="_Toc484605299"/>
      <w:bookmarkStart w:id="1454" w:name="_Toc484526579"/>
      <w:bookmarkStart w:id="1455" w:name="_Toc484449084"/>
      <w:bookmarkStart w:id="1456" w:name="_Toc484448960"/>
      <w:bookmarkStart w:id="1457" w:name="_Toc484448836"/>
      <w:bookmarkStart w:id="1458" w:name="_Toc484448713"/>
      <w:bookmarkStart w:id="1459" w:name="_Toc484448589"/>
      <w:bookmarkStart w:id="1460" w:name="_Toc484448465"/>
      <w:bookmarkStart w:id="1461" w:name="_Toc484448341"/>
      <w:bookmarkStart w:id="1462" w:name="_Toc484448217"/>
      <w:bookmarkStart w:id="1463" w:name="_Toc484448092"/>
      <w:bookmarkStart w:id="1464" w:name="_Toc484440433"/>
      <w:bookmarkStart w:id="1465" w:name="_Toc484440073"/>
      <w:bookmarkStart w:id="1466" w:name="_Toc484439949"/>
      <w:bookmarkStart w:id="1467" w:name="_Toc484439826"/>
      <w:bookmarkStart w:id="1468" w:name="_Toc484438906"/>
      <w:bookmarkStart w:id="1469" w:name="_Toc484438782"/>
      <w:bookmarkStart w:id="1470" w:name="_Toc484438658"/>
      <w:bookmarkStart w:id="1471" w:name="_Toc484429083"/>
      <w:bookmarkStart w:id="1472" w:name="_Toc484428913"/>
      <w:bookmarkStart w:id="1473" w:name="_Toc484097741"/>
      <w:bookmarkStart w:id="1474" w:name="_Toc484011667"/>
      <w:bookmarkStart w:id="1475" w:name="_Toc484011192"/>
      <w:bookmarkStart w:id="1476" w:name="_Toc484011070"/>
      <w:bookmarkStart w:id="1477" w:name="_Toc484010948"/>
      <w:bookmarkStart w:id="1478" w:name="_Toc484010824"/>
      <w:bookmarkStart w:id="1479" w:name="_Toc484010702"/>
      <w:bookmarkStart w:id="1480" w:name="_Toc483906952"/>
      <w:bookmarkStart w:id="1481" w:name="_Toc483571575"/>
      <w:bookmarkStart w:id="1482" w:name="_Toc483571454"/>
      <w:bookmarkStart w:id="1483" w:name="_Toc483474025"/>
      <w:bookmarkStart w:id="1484" w:name="_Toc483401228"/>
      <w:bookmarkStart w:id="1485" w:name="_Toc483325749"/>
      <w:bookmarkStart w:id="1486" w:name="_Toc483316446"/>
      <w:bookmarkStart w:id="1487" w:name="_Toc483316315"/>
      <w:bookmarkStart w:id="1488" w:name="_Toc483316112"/>
      <w:bookmarkStart w:id="1489" w:name="_Toc483315907"/>
      <w:bookmarkStart w:id="1490" w:name="_Toc483302357"/>
      <w:bookmarkStart w:id="1491" w:name="_Toc485218282"/>
      <w:bookmarkStart w:id="1492" w:name="_Toc484688846"/>
      <w:bookmarkStart w:id="1493" w:name="_Toc484688291"/>
      <w:bookmarkStart w:id="1494" w:name="_Toc484605422"/>
      <w:bookmarkStart w:id="1495" w:name="_Toc484605298"/>
      <w:bookmarkStart w:id="1496" w:name="_Toc484526578"/>
      <w:bookmarkStart w:id="1497" w:name="_Toc484449083"/>
      <w:bookmarkStart w:id="1498" w:name="_Toc484448959"/>
      <w:bookmarkStart w:id="1499" w:name="_Toc484448835"/>
      <w:bookmarkStart w:id="1500" w:name="_Toc484448712"/>
      <w:bookmarkStart w:id="1501" w:name="_Toc484448588"/>
      <w:bookmarkStart w:id="1502" w:name="_Toc484448464"/>
      <w:bookmarkStart w:id="1503" w:name="_Toc484448340"/>
      <w:bookmarkStart w:id="1504" w:name="_Toc484448216"/>
      <w:bookmarkStart w:id="1505" w:name="_Toc484448091"/>
      <w:bookmarkStart w:id="1506" w:name="_Toc484440432"/>
      <w:bookmarkStart w:id="1507" w:name="_Toc484440072"/>
      <w:bookmarkStart w:id="1508" w:name="_Toc484439948"/>
      <w:bookmarkStart w:id="1509" w:name="_Toc484439825"/>
      <w:bookmarkStart w:id="1510" w:name="_Toc484438905"/>
      <w:bookmarkStart w:id="1511" w:name="_Toc484438781"/>
      <w:bookmarkStart w:id="1512" w:name="_Toc484438657"/>
      <w:bookmarkStart w:id="1513" w:name="_Toc484429082"/>
      <w:bookmarkStart w:id="1514" w:name="_Toc484428912"/>
      <w:bookmarkStart w:id="1515" w:name="_Toc484097740"/>
      <w:bookmarkStart w:id="1516" w:name="_Toc484011666"/>
      <w:bookmarkStart w:id="1517" w:name="_Toc484011191"/>
      <w:bookmarkStart w:id="1518" w:name="_Toc484011069"/>
      <w:bookmarkStart w:id="1519" w:name="_Toc484010947"/>
      <w:bookmarkStart w:id="1520" w:name="_Toc484010823"/>
      <w:bookmarkStart w:id="1521" w:name="_Toc484010701"/>
      <w:bookmarkStart w:id="1522" w:name="_Toc483906951"/>
      <w:bookmarkStart w:id="1523" w:name="_Toc483571574"/>
      <w:bookmarkStart w:id="1524" w:name="_Toc483571453"/>
      <w:bookmarkStart w:id="1525" w:name="_Toc483474024"/>
      <w:bookmarkStart w:id="1526" w:name="_Toc483401227"/>
      <w:bookmarkStart w:id="1527" w:name="_Toc483325748"/>
      <w:bookmarkStart w:id="1528" w:name="_Toc483316445"/>
      <w:bookmarkStart w:id="1529" w:name="_Toc483316314"/>
      <w:bookmarkStart w:id="1530" w:name="_Toc483316111"/>
      <w:bookmarkStart w:id="1531" w:name="_Toc483315906"/>
      <w:bookmarkStart w:id="1532" w:name="_Toc483302356"/>
      <w:bookmarkStart w:id="1533" w:name="_Toc485218281"/>
      <w:bookmarkStart w:id="1534" w:name="_Toc484688845"/>
      <w:bookmarkStart w:id="1535" w:name="_Toc484688290"/>
      <w:bookmarkStart w:id="1536" w:name="_Toc484605421"/>
      <w:bookmarkStart w:id="1537" w:name="_Toc484605297"/>
      <w:bookmarkStart w:id="1538" w:name="_Toc484526577"/>
      <w:bookmarkStart w:id="1539" w:name="_Toc484449082"/>
      <w:bookmarkStart w:id="1540" w:name="_Toc484448958"/>
      <w:bookmarkStart w:id="1541" w:name="_Toc484448834"/>
      <w:bookmarkStart w:id="1542" w:name="_Toc484448711"/>
      <w:bookmarkStart w:id="1543" w:name="_Toc484448587"/>
      <w:bookmarkStart w:id="1544" w:name="_Toc484448463"/>
      <w:bookmarkStart w:id="1545" w:name="_Toc484448339"/>
      <w:bookmarkStart w:id="1546" w:name="_Toc484448215"/>
      <w:bookmarkStart w:id="1547" w:name="_Toc484448090"/>
      <w:bookmarkStart w:id="1548" w:name="_Toc484440431"/>
      <w:bookmarkStart w:id="1549" w:name="_Toc484440071"/>
      <w:bookmarkStart w:id="1550" w:name="_Toc484439947"/>
      <w:bookmarkStart w:id="1551" w:name="_Toc484439824"/>
      <w:bookmarkStart w:id="1552" w:name="_Toc484438904"/>
      <w:bookmarkStart w:id="1553" w:name="_Toc484438780"/>
      <w:bookmarkStart w:id="1554" w:name="_Toc484438656"/>
      <w:bookmarkStart w:id="1555" w:name="_Toc484429081"/>
      <w:bookmarkStart w:id="1556" w:name="_Toc484428911"/>
      <w:bookmarkStart w:id="1557" w:name="_Toc484097739"/>
      <w:bookmarkStart w:id="1558" w:name="_Toc484011665"/>
      <w:bookmarkStart w:id="1559" w:name="_Toc484011190"/>
      <w:bookmarkStart w:id="1560" w:name="_Toc484011068"/>
      <w:bookmarkStart w:id="1561" w:name="_Toc484010946"/>
      <w:bookmarkStart w:id="1562" w:name="_Toc484010822"/>
      <w:bookmarkStart w:id="1563" w:name="_Toc484010700"/>
      <w:bookmarkStart w:id="1564" w:name="_Toc483906950"/>
      <w:bookmarkStart w:id="1565" w:name="_Toc483571573"/>
      <w:bookmarkStart w:id="1566" w:name="_Toc483571452"/>
      <w:bookmarkStart w:id="1567" w:name="_Toc483474023"/>
      <w:bookmarkStart w:id="1568" w:name="_Toc483401226"/>
      <w:bookmarkStart w:id="1569" w:name="_Toc483325747"/>
      <w:bookmarkStart w:id="1570" w:name="_Toc483316444"/>
      <w:bookmarkStart w:id="1571" w:name="_Toc483316313"/>
      <w:bookmarkStart w:id="1572" w:name="_Toc483316110"/>
      <w:bookmarkStart w:id="1573" w:name="_Toc483315905"/>
      <w:bookmarkStart w:id="1574" w:name="_Toc483302355"/>
      <w:bookmarkStart w:id="1575" w:name="_Toc498419741"/>
      <w:bookmarkStart w:id="1576" w:name="_Toc497831543"/>
      <w:bookmarkStart w:id="1577" w:name="_Toc497728148"/>
      <w:bookmarkStart w:id="1578" w:name="_Toc497484950"/>
      <w:bookmarkStart w:id="1579" w:name="_Toc498419740"/>
      <w:bookmarkStart w:id="1580" w:name="_Toc498419739"/>
      <w:bookmarkStart w:id="1581" w:name="_Toc498419738"/>
      <w:bookmarkStart w:id="1582" w:name="_Toc498419737"/>
      <w:bookmarkStart w:id="1583" w:name="_Toc498419736"/>
      <w:bookmarkStart w:id="1584" w:name="_Toc498419735"/>
      <w:bookmarkStart w:id="1585" w:name="_Toc498419742"/>
      <w:bookmarkStart w:id="1586" w:name="_Toc497831544"/>
      <w:bookmarkStart w:id="1587" w:name="_Toc223087475"/>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r w:rsidRPr="00AF481C">
        <w:rPr>
          <w:rFonts w:ascii="Titillium" w:hAnsi="Titillium"/>
          <w:sz w:val="18"/>
          <w:szCs w:val="18"/>
        </w:rPr>
        <w:t>INDICAZIONI SUI REQUISITI SPECIALI NEI RAGGRUPPAMENTI TEMPORANEI, CONSORZI ORDINARI, AGGREGAZIONI DI IMPRESE DI RETE, GEIE</w:t>
      </w:r>
      <w:bookmarkEnd w:id="1587"/>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soggetti di cui all’articolo 65, comma 2, lettera e), f) g) e h) del Codice devono possedere i requisiti di ordine speciale nei termini di seguito indicati. </w:t>
      </w:r>
    </w:p>
    <w:p w:rsidR="00072C63"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Alle aggregazioni di retisti, ai consorzi ordinari ed ai GEIE si applica la disciplina prevista per i raggruppamenti temporanei. </w:t>
      </w:r>
    </w:p>
    <w:p w:rsidR="00072C63" w:rsidRPr="00AF481C" w:rsidRDefault="00072C63" w:rsidP="00AE28AD">
      <w:pPr>
        <w:spacing w:before="60" w:after="60"/>
        <w:rPr>
          <w:rFonts w:ascii="Titillium" w:hAnsi="Titillium" w:cs="Calibri"/>
          <w:sz w:val="18"/>
          <w:szCs w:val="18"/>
        </w:rPr>
      </w:pPr>
    </w:p>
    <w:p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rsidR="00AE28AD" w:rsidRPr="00AF481C" w:rsidRDefault="00AE28AD" w:rsidP="00BE4F13">
      <w:pPr>
        <w:pStyle w:val="Paragrafoelenco"/>
        <w:numPr>
          <w:ilvl w:val="2"/>
          <w:numId w:val="32"/>
        </w:numPr>
        <w:spacing w:before="60" w:after="60"/>
        <w:contextualSpacing w:val="0"/>
      </w:pPr>
      <w:r w:rsidRPr="00AF481C">
        <w:rPr>
          <w:rFonts w:ascii="Titillium" w:hAnsi="Titillium" w:cs="Calibri"/>
          <w:sz w:val="18"/>
          <w:szCs w:val="18"/>
        </w:rPr>
        <w:t xml:space="preserve">Il requisito relativo all’iscrizione nel Registro delle Imprese oppure nell’Albo delle Imprese artigiane di cui al </w:t>
      </w:r>
      <w:r w:rsidR="00A503A5" w:rsidRPr="00AF481C">
        <w:rPr>
          <w:rFonts w:ascii="Titillium" w:hAnsi="Titillium" w:cs="Calibri"/>
          <w:sz w:val="18"/>
          <w:szCs w:val="18"/>
        </w:rPr>
        <w:t>paragrafo 6.1</w:t>
      </w:r>
      <w:r w:rsidR="00A703BB" w:rsidRPr="00AF481C">
        <w:rPr>
          <w:rFonts w:ascii="Titillium" w:hAnsi="Titillium" w:cs="Calibri"/>
          <w:sz w:val="18"/>
          <w:szCs w:val="18"/>
        </w:rPr>
        <w:t>.</w:t>
      </w:r>
      <w:r w:rsidR="00A503A5" w:rsidRPr="00AF481C">
        <w:rPr>
          <w:rFonts w:ascii="Titillium" w:hAnsi="Titillium" w:cs="Calibri"/>
          <w:sz w:val="18"/>
          <w:szCs w:val="18"/>
        </w:rPr>
        <w:t xml:space="preserve"> lett. a) </w:t>
      </w:r>
      <w:r w:rsidRPr="00AF481C">
        <w:rPr>
          <w:rFonts w:ascii="Titillium" w:hAnsi="Titillium" w:cs="Calibri"/>
          <w:sz w:val="18"/>
          <w:szCs w:val="18"/>
        </w:rPr>
        <w:t>deve essere posseduto:</w:t>
      </w:r>
    </w:p>
    <w:p w:rsidR="00AE28AD" w:rsidRPr="00AF481C" w:rsidRDefault="00AE28AD" w:rsidP="00BE4F13">
      <w:pPr>
        <w:pStyle w:val="Paragrafoelenco"/>
        <w:numPr>
          <w:ilvl w:val="0"/>
          <w:numId w:val="28"/>
        </w:numPr>
        <w:spacing w:before="60" w:after="60"/>
        <w:ind w:left="709"/>
        <w:contextualSpacing w:val="0"/>
      </w:pPr>
      <w:r w:rsidRPr="00AF481C">
        <w:rPr>
          <w:rFonts w:ascii="Titillium" w:hAnsi="Titillium" w:cs="Calibri"/>
          <w:sz w:val="18"/>
          <w:szCs w:val="18"/>
        </w:rPr>
        <w:t>da ciascun componente del raggruppamento/consorzio/GEIE anche da costituire, nonché dal GEIE medesimo;</w:t>
      </w:r>
    </w:p>
    <w:p w:rsidR="00AE28AD" w:rsidRPr="00AF481C" w:rsidRDefault="00AE28AD" w:rsidP="00BE4F13">
      <w:pPr>
        <w:pStyle w:val="Paragrafoelenco"/>
        <w:numPr>
          <w:ilvl w:val="0"/>
          <w:numId w:val="28"/>
        </w:numPr>
        <w:spacing w:before="60" w:after="60"/>
        <w:ind w:left="709"/>
        <w:contextualSpacing w:val="0"/>
        <w:rPr>
          <w:rFonts w:ascii="Titillium" w:hAnsi="Titillium" w:cs="Calibri"/>
          <w:sz w:val="18"/>
          <w:szCs w:val="18"/>
        </w:rPr>
      </w:pPr>
      <w:r w:rsidRPr="00AF481C">
        <w:rPr>
          <w:rFonts w:ascii="Titillium" w:hAnsi="Titillium" w:cs="Calibri"/>
          <w:sz w:val="18"/>
          <w:szCs w:val="18"/>
        </w:rPr>
        <w:t>da ciascun componente dell’aggregazione di rete nonché dall’organo comune nel caso in cui questi abbia soggettività giuridica.</w:t>
      </w:r>
    </w:p>
    <w:p w:rsidR="00AE28AD" w:rsidRPr="00237785" w:rsidRDefault="00AE28AD" w:rsidP="00237785">
      <w:pPr>
        <w:spacing w:before="60" w:after="60"/>
        <w:rPr>
          <w:rFonts w:ascii="Titillium" w:hAnsi="Titillium" w:cs="Arial"/>
          <w:bCs/>
          <w:sz w:val="18"/>
          <w:szCs w:val="18"/>
        </w:rPr>
      </w:pPr>
      <w:r w:rsidRPr="00AF481C">
        <w:rPr>
          <w:rFonts w:ascii="Titillium" w:hAnsi="Titillium" w:cs="Calibri"/>
          <w:bCs/>
          <w:sz w:val="18"/>
          <w:szCs w:val="18"/>
        </w:rPr>
        <w:t>Il requisito relativo al</w:t>
      </w:r>
      <w:r w:rsidR="00237785" w:rsidRPr="00F35AEF">
        <w:rPr>
          <w:rFonts w:ascii="Titillium" w:hAnsi="Titillium" w:cs="Arial"/>
          <w:bCs/>
          <w:sz w:val="18"/>
          <w:szCs w:val="18"/>
        </w:rPr>
        <w:t>possesso di licenza per l'esercizio di recupero crediti per conto terzi ai sensi dell'art.115 del TULPS, appr</w:t>
      </w:r>
      <w:r w:rsidR="00237785">
        <w:rPr>
          <w:rFonts w:ascii="Titillium" w:hAnsi="Titillium" w:cs="Arial"/>
          <w:bCs/>
          <w:sz w:val="18"/>
          <w:szCs w:val="18"/>
        </w:rPr>
        <w:t>ovato con R.D. 18.06.1931 n.773</w:t>
      </w:r>
      <w:r w:rsidR="00237785" w:rsidRPr="00F35AEF">
        <w:rPr>
          <w:rFonts w:ascii="Titillium" w:hAnsi="Titillium" w:cs="Arial"/>
          <w:bCs/>
          <w:sz w:val="18"/>
          <w:szCs w:val="18"/>
        </w:rPr>
        <w:t>.</w:t>
      </w:r>
      <w:r w:rsidRPr="00237785">
        <w:rPr>
          <w:rFonts w:ascii="Titillium" w:hAnsi="Titillium" w:cs="Calibri"/>
          <w:bCs/>
          <w:sz w:val="18"/>
          <w:szCs w:val="18"/>
        </w:rPr>
        <w:t>di cui al p</w:t>
      </w:r>
      <w:r w:rsidR="008760BD" w:rsidRPr="00237785">
        <w:rPr>
          <w:rFonts w:ascii="Titillium" w:hAnsi="Titillium" w:cs="Calibri"/>
          <w:bCs/>
          <w:sz w:val="18"/>
          <w:szCs w:val="18"/>
        </w:rPr>
        <w:t>aragrafo 6.1</w:t>
      </w:r>
      <w:r w:rsidR="00A703BB" w:rsidRPr="00237785">
        <w:rPr>
          <w:rFonts w:ascii="Titillium" w:hAnsi="Titillium" w:cs="Calibri"/>
          <w:bCs/>
          <w:sz w:val="18"/>
          <w:szCs w:val="18"/>
        </w:rPr>
        <w:t>.</w:t>
      </w:r>
      <w:r w:rsidR="008760BD" w:rsidRPr="00237785">
        <w:rPr>
          <w:rFonts w:ascii="Titillium" w:hAnsi="Titillium" w:cs="Calibri"/>
          <w:bCs/>
          <w:sz w:val="18"/>
          <w:szCs w:val="18"/>
        </w:rPr>
        <w:t xml:space="preserve"> lett. b) </w:t>
      </w:r>
      <w:r w:rsidRPr="00237785">
        <w:rPr>
          <w:rFonts w:ascii="Titillium" w:hAnsi="Titillium" w:cs="Calibri"/>
          <w:bCs/>
          <w:sz w:val="18"/>
          <w:szCs w:val="18"/>
        </w:rPr>
        <w:t>deve essere posseduto dall’esecutore</w:t>
      </w:r>
      <w:r w:rsidRPr="00237785">
        <w:rPr>
          <w:rFonts w:ascii="Titillium" w:hAnsi="Titillium" w:cs="Calibri"/>
          <w:bCs/>
          <w:i/>
          <w:sz w:val="18"/>
          <w:szCs w:val="18"/>
        </w:rPr>
        <w:t>.</w:t>
      </w:r>
    </w:p>
    <w:p w:rsidR="00AE28AD" w:rsidRPr="00AF481C" w:rsidRDefault="00AE28AD" w:rsidP="00AE28AD">
      <w:pPr>
        <w:spacing w:before="60" w:after="60"/>
        <w:rPr>
          <w:rFonts w:ascii="Titillium" w:hAnsi="Titillium"/>
          <w:b/>
          <w:i/>
          <w:sz w:val="18"/>
          <w:szCs w:val="18"/>
        </w:rPr>
      </w:pPr>
    </w:p>
    <w:p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w:t>
      </w:r>
    </w:p>
    <w:p w:rsidR="00AE28AD" w:rsidRPr="00B2186C" w:rsidRDefault="00B2186C" w:rsidP="00BE4F13">
      <w:pPr>
        <w:pStyle w:val="Paragrafoelenco"/>
        <w:numPr>
          <w:ilvl w:val="2"/>
          <w:numId w:val="33"/>
        </w:numPr>
        <w:spacing w:before="60" w:after="60"/>
        <w:contextualSpacing w:val="0"/>
        <w:rPr>
          <w:rFonts w:ascii="Titillium" w:hAnsi="Titillium" w:cs="Calibri"/>
          <w:bCs/>
          <w:sz w:val="18"/>
          <w:szCs w:val="18"/>
        </w:rPr>
      </w:pPr>
      <w:r>
        <w:rPr>
          <w:rFonts w:ascii="Titillium" w:hAnsi="Titillium" w:cs="Calibri"/>
          <w:bCs/>
          <w:sz w:val="18"/>
          <w:szCs w:val="18"/>
        </w:rPr>
        <w:t>no</w:t>
      </w:r>
      <w:r w:rsidRPr="00B2186C">
        <w:rPr>
          <w:rFonts w:ascii="Titillium" w:hAnsi="Titillium" w:cs="Calibri"/>
          <w:bCs/>
          <w:sz w:val="18"/>
          <w:szCs w:val="18"/>
        </w:rPr>
        <w:t>n previsto</w:t>
      </w:r>
    </w:p>
    <w:p w:rsidR="00AE28AD" w:rsidRPr="00AF481C" w:rsidRDefault="00AE28AD" w:rsidP="00AE28AD">
      <w:pPr>
        <w:pStyle w:val="Paragrafoelenco"/>
        <w:spacing w:before="60" w:after="60"/>
        <w:ind w:left="360"/>
      </w:pPr>
    </w:p>
    <w:p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tecnico-professionale</w:t>
      </w:r>
    </w:p>
    <w:p w:rsidR="00AE28AD" w:rsidRPr="00AF481C" w:rsidRDefault="00AE28AD" w:rsidP="00BE4F13">
      <w:pPr>
        <w:pStyle w:val="Paragrafoelenco"/>
        <w:numPr>
          <w:ilvl w:val="2"/>
          <w:numId w:val="34"/>
        </w:numPr>
        <w:spacing w:before="60" w:after="60"/>
        <w:ind w:left="284" w:hanging="284"/>
        <w:contextualSpacing w:val="0"/>
      </w:pPr>
      <w:r w:rsidRPr="00AF481C">
        <w:rPr>
          <w:rFonts w:ascii="Titillium" w:hAnsi="Titillium" w:cs="Calibri"/>
          <w:sz w:val="18"/>
          <w:szCs w:val="18"/>
        </w:rPr>
        <w:t>Il requisito dei servizi analoghi di cui al precedente p</w:t>
      </w:r>
      <w:r w:rsidR="00B70E02" w:rsidRPr="00AF481C">
        <w:rPr>
          <w:rFonts w:ascii="Titillium" w:hAnsi="Titillium" w:cs="Calibri"/>
          <w:sz w:val="18"/>
          <w:szCs w:val="18"/>
        </w:rPr>
        <w:t>aragrafo</w:t>
      </w:r>
      <w:fldSimple w:instr=" REF _Ref495506173 \r \h  \* MERGEFORMAT ">
        <w:r w:rsidR="00CA44F6" w:rsidRPr="00CA44F6">
          <w:rPr>
            <w:rFonts w:ascii="Titillium" w:hAnsi="Titillium" w:cs="Calibri"/>
            <w:sz w:val="18"/>
            <w:szCs w:val="18"/>
          </w:rPr>
          <w:t>6.3</w:t>
        </w:r>
      </w:fldSimple>
      <w:r w:rsidR="00B70E02" w:rsidRPr="00AF481C">
        <w:rPr>
          <w:rFonts w:ascii="Titillium" w:hAnsi="Titillium" w:cs="Calibri"/>
          <w:sz w:val="18"/>
          <w:szCs w:val="18"/>
        </w:rPr>
        <w:t>. lett. a)</w:t>
      </w:r>
      <w:r w:rsidRPr="00AF481C">
        <w:rPr>
          <w:rFonts w:ascii="Titillium" w:hAnsi="Titillium" w:cs="Calibri"/>
          <w:sz w:val="18"/>
          <w:szCs w:val="18"/>
        </w:rPr>
        <w:t xml:space="preserve"> richiesto in relazione alla prestazione </w:t>
      </w:r>
      <w:r w:rsidR="00237785">
        <w:rPr>
          <w:rFonts w:ascii="Titillium" w:hAnsi="Titillium" w:cs="Calibri"/>
          <w:sz w:val="18"/>
          <w:szCs w:val="18"/>
        </w:rPr>
        <w:t xml:space="preserve">richiesta </w:t>
      </w:r>
      <w:r w:rsidRPr="00AF481C">
        <w:rPr>
          <w:rFonts w:ascii="Titillium" w:hAnsi="Titillium" w:cs="Calibri"/>
          <w:sz w:val="18"/>
          <w:szCs w:val="18"/>
        </w:rPr>
        <w:t>deve essere posseduto dal raggruppamento nel complesso.</w:t>
      </w:r>
    </w:p>
    <w:p w:rsidR="00237785" w:rsidRDefault="00237785" w:rsidP="00AE28AD">
      <w:pPr>
        <w:spacing w:before="60" w:after="60"/>
        <w:rPr>
          <w:rFonts w:ascii="Titillium" w:hAnsi="Titillium" w:cs="Calibri"/>
          <w:b/>
          <w:bCs/>
          <w:i/>
          <w:sz w:val="18"/>
          <w:szCs w:val="18"/>
        </w:rPr>
      </w:pPr>
    </w:p>
    <w:p w:rsidR="00AE28AD" w:rsidRPr="00AF481C" w:rsidRDefault="00AE28AD" w:rsidP="00AE28AD">
      <w:pPr>
        <w:spacing w:before="60" w:after="60"/>
        <w:rPr>
          <w:rFonts w:ascii="Titillium" w:hAnsi="Titillium"/>
          <w:sz w:val="18"/>
          <w:szCs w:val="24"/>
        </w:rPr>
      </w:pPr>
      <w:r w:rsidRPr="00AF481C">
        <w:rPr>
          <w:rFonts w:ascii="Titillium" w:hAnsi="Titillium"/>
          <w:sz w:val="18"/>
          <w:szCs w:val="24"/>
        </w:rPr>
        <w:lastRenderedPageBreak/>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rsidR="00AE28AD" w:rsidRPr="00AF481C" w:rsidRDefault="00AE28AD" w:rsidP="00AE28AD">
      <w:pPr>
        <w:spacing w:before="60" w:after="60"/>
        <w:rPr>
          <w:rFonts w:ascii="Titillium" w:hAnsi="Titillium"/>
          <w:sz w:val="18"/>
          <w:szCs w:val="24"/>
        </w:rPr>
      </w:pPr>
    </w:p>
    <w:p w:rsidR="00AE28AD" w:rsidRPr="00AF481C" w:rsidRDefault="00AE28AD" w:rsidP="00225033">
      <w:pPr>
        <w:pStyle w:val="Titolo3"/>
        <w:numPr>
          <w:ilvl w:val="1"/>
          <w:numId w:val="3"/>
        </w:numPr>
        <w:ind w:left="426" w:hanging="426"/>
        <w:rPr>
          <w:rFonts w:ascii="Titillium" w:hAnsi="Titillium"/>
          <w:caps/>
          <w:sz w:val="18"/>
          <w:szCs w:val="18"/>
        </w:rPr>
      </w:pPr>
      <w:bookmarkStart w:id="1588" w:name="_Toc497728151"/>
      <w:bookmarkStart w:id="1589" w:name="_Toc497484953"/>
      <w:bookmarkStart w:id="1590" w:name="_Toc494359032"/>
      <w:bookmarkStart w:id="1591" w:name="_Toc494358983"/>
      <w:bookmarkStart w:id="1592" w:name="_Toc498419744"/>
      <w:bookmarkStart w:id="1593" w:name="_Toc497831546"/>
      <w:bookmarkStart w:id="1594" w:name="_Ref496007652"/>
      <w:bookmarkStart w:id="1595" w:name="_Ref496007650"/>
      <w:bookmarkStart w:id="1596" w:name="_Toc223087476"/>
      <w:bookmarkEnd w:id="1588"/>
      <w:bookmarkEnd w:id="1589"/>
      <w:bookmarkEnd w:id="1590"/>
      <w:bookmarkEnd w:id="1591"/>
      <w:bookmarkEnd w:id="1592"/>
      <w:bookmarkEnd w:id="1593"/>
      <w:r w:rsidRPr="00AF481C">
        <w:rPr>
          <w:rFonts w:ascii="Titillium" w:hAnsi="Titillium"/>
          <w:sz w:val="18"/>
          <w:szCs w:val="18"/>
        </w:rPr>
        <w:t>INDICAZIONI SUI REQUISITI SPECIALI NEI CONSORZI DI COOPERATIVE, CONSORZI DI IMPRESE ARTIGIANE, CONSORZI STABILI</w:t>
      </w:r>
      <w:bookmarkEnd w:id="1594"/>
      <w:bookmarkEnd w:id="1595"/>
      <w:bookmarkEnd w:id="1596"/>
    </w:p>
    <w:p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rsidR="009E6625" w:rsidRPr="009E6625" w:rsidRDefault="00AE28AD" w:rsidP="00BE4F13">
      <w:pPr>
        <w:pStyle w:val="Paragrafoelenco"/>
        <w:numPr>
          <w:ilvl w:val="2"/>
          <w:numId w:val="35"/>
        </w:numPr>
        <w:spacing w:before="60" w:after="60"/>
        <w:contextualSpacing w:val="0"/>
      </w:pPr>
      <w:r w:rsidRPr="009E6625">
        <w:rPr>
          <w:rFonts w:ascii="Titillium" w:hAnsi="Titillium" w:cs="Calibri"/>
          <w:sz w:val="18"/>
          <w:szCs w:val="18"/>
        </w:rPr>
        <w:t xml:space="preserve">Il requisito relativo all’iscrizione nel Registro delle Imprese oppure nell’Albo delle Imprese artigiane di cui al </w:t>
      </w:r>
      <w:r w:rsidR="00A703BB" w:rsidRPr="009E6625">
        <w:rPr>
          <w:rFonts w:ascii="Titillium" w:hAnsi="Titillium" w:cs="Calibri"/>
          <w:sz w:val="18"/>
          <w:szCs w:val="18"/>
        </w:rPr>
        <w:t xml:space="preserve">paragrafo 6.1. lett. a) </w:t>
      </w:r>
      <w:r w:rsidRPr="009E6625">
        <w:rPr>
          <w:rFonts w:ascii="Titillium" w:hAnsi="Titillium" w:cs="Calibri"/>
          <w:sz w:val="18"/>
          <w:szCs w:val="18"/>
        </w:rPr>
        <w:t>deve essere posseduto dal consorzio e da</w:t>
      </w:r>
      <w:r w:rsidR="00072C63" w:rsidRPr="009E6625">
        <w:rPr>
          <w:rFonts w:ascii="Titillium" w:hAnsi="Titillium" w:cs="Calibri"/>
          <w:sz w:val="18"/>
          <w:szCs w:val="18"/>
        </w:rPr>
        <w:t xml:space="preserve">lle </w:t>
      </w:r>
      <w:r w:rsidRPr="009E6625">
        <w:rPr>
          <w:rFonts w:ascii="Titillium" w:hAnsi="Titillium" w:cs="Calibri"/>
          <w:sz w:val="18"/>
          <w:szCs w:val="18"/>
        </w:rPr>
        <w:t>consorziat</w:t>
      </w:r>
      <w:r w:rsidR="00072C63" w:rsidRPr="009E6625">
        <w:rPr>
          <w:rFonts w:ascii="Titillium" w:hAnsi="Titillium" w:cs="Calibri"/>
          <w:sz w:val="18"/>
          <w:szCs w:val="18"/>
        </w:rPr>
        <w:t xml:space="preserve">e </w:t>
      </w:r>
      <w:r w:rsidRPr="009E6625">
        <w:rPr>
          <w:rFonts w:ascii="Titillium" w:hAnsi="Titillium" w:cs="Calibri"/>
          <w:sz w:val="18"/>
          <w:szCs w:val="18"/>
        </w:rPr>
        <w:t>indicat</w:t>
      </w:r>
      <w:r w:rsidR="00072C63" w:rsidRPr="009E6625">
        <w:rPr>
          <w:rFonts w:ascii="Titillium" w:hAnsi="Titillium" w:cs="Calibri"/>
          <w:sz w:val="18"/>
          <w:szCs w:val="18"/>
        </w:rPr>
        <w:t xml:space="preserve">e </w:t>
      </w:r>
      <w:r w:rsidRPr="009E6625">
        <w:rPr>
          <w:rFonts w:ascii="Titillium" w:hAnsi="Titillium" w:cs="Calibri"/>
          <w:sz w:val="18"/>
          <w:szCs w:val="18"/>
        </w:rPr>
        <w:t xml:space="preserve">come </w:t>
      </w:r>
      <w:r w:rsidR="00072C63" w:rsidRPr="009E6625">
        <w:rPr>
          <w:rFonts w:ascii="Titillium" w:hAnsi="Titillium" w:cs="Calibri"/>
          <w:sz w:val="18"/>
          <w:szCs w:val="18"/>
        </w:rPr>
        <w:t xml:space="preserve">esecutrici </w:t>
      </w:r>
    </w:p>
    <w:p w:rsidR="00AE28AD" w:rsidRPr="00AF481C" w:rsidRDefault="00AE28AD" w:rsidP="00BE4F13">
      <w:pPr>
        <w:pStyle w:val="Paragrafoelenco"/>
        <w:numPr>
          <w:ilvl w:val="2"/>
          <w:numId w:val="35"/>
        </w:numPr>
        <w:spacing w:before="60" w:after="60"/>
        <w:contextualSpacing w:val="0"/>
      </w:pPr>
      <w:r w:rsidRPr="009E6625">
        <w:rPr>
          <w:rFonts w:ascii="Titillium" w:hAnsi="Titillium" w:cs="Calibri"/>
          <w:sz w:val="18"/>
          <w:szCs w:val="18"/>
        </w:rPr>
        <w:t xml:space="preserve">Il requisito relativo </w:t>
      </w:r>
      <w:r w:rsidR="009E6625" w:rsidRPr="00AF481C">
        <w:rPr>
          <w:rFonts w:ascii="Titillium" w:hAnsi="Titillium" w:cs="Calibri"/>
          <w:bCs/>
          <w:sz w:val="18"/>
          <w:szCs w:val="18"/>
        </w:rPr>
        <w:t>al</w:t>
      </w:r>
      <w:r w:rsidR="007D2E10">
        <w:rPr>
          <w:rFonts w:ascii="Titillium" w:hAnsi="Titillium" w:cs="Calibri"/>
          <w:bCs/>
          <w:sz w:val="18"/>
          <w:szCs w:val="18"/>
        </w:rPr>
        <w:t xml:space="preserve"> </w:t>
      </w:r>
      <w:r w:rsidR="009E6625" w:rsidRPr="00F35AEF">
        <w:rPr>
          <w:rFonts w:ascii="Titillium" w:hAnsi="Titillium" w:cs="Arial"/>
          <w:bCs/>
          <w:sz w:val="18"/>
          <w:szCs w:val="18"/>
        </w:rPr>
        <w:t>possesso di licenza per l'esercizio di recupero crediti per conto terzi ai sensi dell'art.115 del TULPS, appr</w:t>
      </w:r>
      <w:r w:rsidR="009E6625">
        <w:rPr>
          <w:rFonts w:ascii="Titillium" w:hAnsi="Titillium" w:cs="Arial"/>
          <w:bCs/>
          <w:sz w:val="18"/>
          <w:szCs w:val="18"/>
        </w:rPr>
        <w:t>ovato con R.D. 18.06.1931 n.773</w:t>
      </w:r>
      <w:r w:rsidR="009E6625" w:rsidRPr="00F35AEF">
        <w:rPr>
          <w:rFonts w:ascii="Titillium" w:hAnsi="Titillium" w:cs="Arial"/>
          <w:bCs/>
          <w:sz w:val="18"/>
          <w:szCs w:val="18"/>
        </w:rPr>
        <w:t>.</w:t>
      </w:r>
      <w:r w:rsidR="009E6625" w:rsidRPr="00237785">
        <w:rPr>
          <w:rFonts w:ascii="Titillium" w:hAnsi="Titillium" w:cs="Calibri"/>
          <w:bCs/>
          <w:sz w:val="18"/>
          <w:szCs w:val="18"/>
        </w:rPr>
        <w:t xml:space="preserve">di cui al paragrafo 6.1. lett. b) </w:t>
      </w:r>
      <w:r w:rsidRPr="009E6625">
        <w:rPr>
          <w:rFonts w:ascii="Titillium" w:hAnsi="Titillium" w:cs="Calibri"/>
          <w:sz w:val="18"/>
          <w:szCs w:val="18"/>
        </w:rPr>
        <w:t>deve essere posseduto dal consorziato esecutore.</w:t>
      </w:r>
    </w:p>
    <w:p w:rsidR="00AE28AD" w:rsidRPr="00AF481C" w:rsidRDefault="00AE28AD" w:rsidP="00AE28AD">
      <w:pPr>
        <w:spacing w:before="60" w:after="60"/>
        <w:rPr>
          <w:rFonts w:ascii="Titillium" w:hAnsi="Titillium"/>
          <w:b/>
          <w:iCs/>
          <w:sz w:val="18"/>
          <w:szCs w:val="18"/>
        </w:rPr>
      </w:pPr>
    </w:p>
    <w:p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 e tecnico-professionale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 consorzi di cui all’articolo 65, comma 2, lettera b) e c) del Codice, utilizzano i requisiti propri e, nel novero di questi, fanno valere i mezzi d’opera, le attrezzature e l’organico medio nella disponibilità delle consorziate che li costituiscono.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i consorzi di cui all’articolo 65, comma 2, lett. d) del Codice, i requisiti di capacità tecnica e finanziaria sono computati cumulativamente in capo al consorzio ancorché posseduti dalle singole consorziate.</w:t>
      </w:r>
    </w:p>
    <w:p w:rsidR="00AE28AD" w:rsidRPr="00AF481C" w:rsidRDefault="00AE28AD" w:rsidP="00AE28AD">
      <w:pPr>
        <w:spacing w:before="60" w:after="60"/>
        <w:rPr>
          <w:rFonts w:ascii="Titillium" w:hAnsi="Titillium"/>
          <w:sz w:val="18"/>
          <w:szCs w:val="24"/>
        </w:rPr>
      </w:pPr>
      <w:r w:rsidRPr="00AF481C">
        <w:rPr>
          <w:rFonts w:ascii="Titillium" w:hAnsi="Titillium"/>
          <w:sz w:val="18"/>
          <w:szCs w:val="24"/>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rsidR="00673DFD" w:rsidRPr="00AF481C" w:rsidRDefault="00673DFD" w:rsidP="00AE28AD">
      <w:pPr>
        <w:spacing w:before="60" w:after="60"/>
        <w:rPr>
          <w:rFonts w:ascii="Titillium" w:hAnsi="Titillium" w:cs="Calibri"/>
          <w:sz w:val="18"/>
          <w:szCs w:val="18"/>
        </w:rPr>
      </w:pPr>
    </w:p>
    <w:p w:rsidR="00AE28AD" w:rsidRPr="00AF481C" w:rsidRDefault="00AE28AD" w:rsidP="00604C9A">
      <w:pPr>
        <w:pStyle w:val="Titolo2"/>
        <w:numPr>
          <w:ilvl w:val="0"/>
          <w:numId w:val="3"/>
        </w:numPr>
      </w:pPr>
      <w:bookmarkStart w:id="1597" w:name="_Toc223087477"/>
      <w:r w:rsidRPr="00AF481C">
        <w:t>AVVALIMENTO</w:t>
      </w:r>
      <w:bookmarkEnd w:id="1597"/>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Il concorrente può avvalersi di dotazioni tecniche, risorse umane e strumentali messe a disposizione da uno o più operatori economici ausiliari per dimostrare il possesso dei requisiti di ordine speciale di cui al p</w:t>
      </w:r>
      <w:r w:rsidR="004A7341" w:rsidRPr="00AF481C">
        <w:rPr>
          <w:rFonts w:ascii="Titillium" w:hAnsi="Titillium" w:cs="Calibri"/>
          <w:sz w:val="18"/>
          <w:szCs w:val="18"/>
        </w:rPr>
        <w:t>aragrafo</w:t>
      </w:r>
      <w:r w:rsidR="00AB289F" w:rsidRPr="00AF481C">
        <w:rPr>
          <w:rFonts w:ascii="Titillium" w:hAnsi="Titillium" w:cs="Calibri"/>
          <w:sz w:val="18"/>
          <w:szCs w:val="18"/>
        </w:rPr>
        <w:t>6</w:t>
      </w:r>
      <w:r w:rsidRPr="00AF481C">
        <w:rPr>
          <w:rFonts w:ascii="Titillium" w:hAnsi="Titillium" w:cs="Calibri"/>
          <w:sz w:val="18"/>
          <w:szCs w:val="18"/>
        </w:rPr>
        <w:t xml:space="preserve"> e/o per migliorare la propria offerta.</w:t>
      </w:r>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contratto di avvalimento le parti specificano le risorse strumentali e umane che l’</w:t>
      </w:r>
      <w:r w:rsidR="008F56D2" w:rsidRPr="00AF481C">
        <w:rPr>
          <w:rFonts w:ascii="Titillium" w:hAnsi="Titillium" w:cs="Calibri"/>
          <w:sz w:val="18"/>
          <w:szCs w:val="18"/>
        </w:rPr>
        <w:t xml:space="preserve">impresa ausiliaria </w:t>
      </w:r>
      <w:r w:rsidRPr="00AF481C">
        <w:rPr>
          <w:rFonts w:ascii="Titillium" w:hAnsi="Titillium" w:cs="Calibri"/>
          <w:sz w:val="18"/>
          <w:szCs w:val="18"/>
        </w:rPr>
        <w:t>mette a disposizione del concorrente e indicano se l’avvalimento è finalizzato ad acquisire un requisito di partecipazione o a migliorare l’offerta del concorrente, o se serve ad entrambe le finalità.</w:t>
      </w:r>
    </w:p>
    <w:p w:rsidR="00AE28AD" w:rsidRPr="00AF481C" w:rsidRDefault="00AE28AD" w:rsidP="00AE28AD">
      <w:pPr>
        <w:spacing w:before="60" w:after="60"/>
        <w:rPr>
          <w:rFonts w:ascii="Titillium" w:hAnsi="Titillium" w:cs="Calibri"/>
          <w:iCs/>
          <w:sz w:val="18"/>
          <w:szCs w:val="18"/>
        </w:rPr>
      </w:pPr>
      <w:r w:rsidRPr="00AF481C">
        <w:rPr>
          <w:rFonts w:ascii="Titillium" w:hAnsi="Titillium" w:cs="Calibri"/>
          <w:iCs/>
          <w:sz w:val="18"/>
          <w:szCs w:val="18"/>
        </w:rPr>
        <w:t>Ne</w:t>
      </w:r>
      <w:r w:rsidR="008F56D2" w:rsidRPr="00AF481C">
        <w:rPr>
          <w:rFonts w:ascii="Titillium" w:hAnsi="Titillium" w:cs="Calibri"/>
          <w:iCs/>
          <w:sz w:val="18"/>
          <w:szCs w:val="18"/>
        </w:rPr>
        <w:t>l</w:t>
      </w:r>
      <w:r w:rsidRPr="00AF481C">
        <w:rPr>
          <w:rFonts w:ascii="Titillium" w:hAnsi="Titillium" w:cs="Calibri"/>
          <w:iCs/>
          <w:sz w:val="18"/>
          <w:szCs w:val="18"/>
        </w:rPr>
        <w:t xml:space="preserve"> cas</w:t>
      </w:r>
      <w:r w:rsidR="008F56D2" w:rsidRPr="00AF481C">
        <w:rPr>
          <w:rFonts w:ascii="Titillium" w:hAnsi="Titillium" w:cs="Calibri"/>
          <w:iCs/>
          <w:sz w:val="18"/>
          <w:szCs w:val="18"/>
        </w:rPr>
        <w:t>o</w:t>
      </w:r>
      <w:r w:rsidR="00EB0B77">
        <w:rPr>
          <w:rFonts w:ascii="Titillium" w:hAnsi="Titillium" w:cs="Calibri"/>
          <w:iCs/>
          <w:sz w:val="18"/>
          <w:szCs w:val="18"/>
        </w:rPr>
        <w:t xml:space="preserve"> </w:t>
      </w:r>
      <w:r w:rsidR="00B3747B" w:rsidRPr="00AF481C">
        <w:rPr>
          <w:rFonts w:ascii="Titillium" w:hAnsi="Titillium" w:cs="Calibri"/>
          <w:iCs/>
          <w:sz w:val="18"/>
          <w:szCs w:val="18"/>
        </w:rPr>
        <w:t xml:space="preserve">di </w:t>
      </w:r>
      <w:r w:rsidRPr="00AF481C">
        <w:rPr>
          <w:rFonts w:ascii="Titillium" w:hAnsi="Titillium" w:cs="Calibri"/>
          <w:iCs/>
          <w:sz w:val="18"/>
          <w:szCs w:val="18"/>
        </w:rPr>
        <w:t xml:space="preserve">avvalimento finalizzato a migliorare l’offerta, </w:t>
      </w:r>
      <w:r w:rsidR="008F56D2" w:rsidRPr="00AF481C">
        <w:rPr>
          <w:rFonts w:ascii="Titillium" w:hAnsi="Titillium" w:cs="Calibri"/>
          <w:iCs/>
          <w:sz w:val="18"/>
          <w:szCs w:val="18"/>
        </w:rPr>
        <w:t xml:space="preserve">l’impresa ausiliata e l’impresa ausiliaria non possono partecipare </w:t>
      </w:r>
      <w:r w:rsidRPr="00AF481C">
        <w:rPr>
          <w:rFonts w:ascii="Titillium" w:hAnsi="Titillium" w:cs="Calibri"/>
          <w:iCs/>
          <w:sz w:val="18"/>
          <w:szCs w:val="18"/>
        </w:rPr>
        <w:t xml:space="preserve">alla stessa gara, pena l’esclusione di entrambi i soggetti, salvo che l’impresa ausiliaria </w:t>
      </w:r>
      <w:r w:rsidR="00BD41B8" w:rsidRPr="00AF481C">
        <w:rPr>
          <w:rFonts w:ascii="Titillium" w:hAnsi="Titillium" w:cs="Calibri"/>
          <w:iCs/>
          <w:sz w:val="18"/>
          <w:szCs w:val="18"/>
        </w:rPr>
        <w:t xml:space="preserve">non dimostri, facendo ricorso ad </w:t>
      </w:r>
      <w:r w:rsidR="00BD41B8" w:rsidRPr="00AF481C">
        <w:rPr>
          <w:rFonts w:ascii="Titillium" w:hAnsi="Titillium" w:cs="Calibri"/>
          <w:sz w:val="18"/>
          <w:szCs w:val="18"/>
        </w:rPr>
        <w:t xml:space="preserve">idoneo </w:t>
      </w:r>
      <w:r w:rsidRPr="00AF481C">
        <w:rPr>
          <w:rFonts w:ascii="Titillium" w:hAnsi="Titillium" w:cs="Calibri"/>
          <w:sz w:val="18"/>
          <w:szCs w:val="18"/>
        </w:rPr>
        <w:t>supporto documentale, che non sussistono collegamenti con l‘impresa ausiliata tali da ricondurre entrambe le imprese ad uno stesso centro decisionale.</w:t>
      </w:r>
    </w:p>
    <w:p w:rsidR="00AE28AD" w:rsidRPr="00AF481C" w:rsidRDefault="00AE28AD" w:rsidP="00AE28AD">
      <w:pPr>
        <w:spacing w:before="60" w:after="60"/>
      </w:pPr>
      <w:r w:rsidRPr="00AF481C">
        <w:rPr>
          <w:rFonts w:ascii="Titillium" w:hAnsi="Titillium" w:cs="Calibri"/>
          <w:sz w:val="18"/>
          <w:szCs w:val="18"/>
        </w:rPr>
        <w:t>Il concorrente e l’</w:t>
      </w:r>
      <w:r w:rsidR="008F56D2" w:rsidRPr="00AF481C">
        <w:rPr>
          <w:rFonts w:ascii="Titillium" w:hAnsi="Titillium" w:cs="Calibri"/>
          <w:sz w:val="18"/>
          <w:szCs w:val="18"/>
        </w:rPr>
        <w:t>impresa ausiliaria</w:t>
      </w:r>
      <w:r w:rsidRPr="00AF481C">
        <w:rPr>
          <w:rFonts w:ascii="Titillium" w:hAnsi="Titillium" w:cs="Calibri"/>
          <w:sz w:val="18"/>
          <w:szCs w:val="18"/>
        </w:rPr>
        <w:t xml:space="preserve"> sono responsabili in solido nei confronti della stazione appaltante in relazione alle prestazioni oggetto del contratto.</w:t>
      </w:r>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Non è consentito l’avvalimento per soddisfare i requisiti di ordine generale e dell’iscrizione alla Camera di commercio.</w:t>
      </w:r>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Il concorrente può avvalersi di un</w:t>
      </w:r>
      <w:r w:rsidR="008F56D2" w:rsidRPr="00AF481C">
        <w:rPr>
          <w:rFonts w:ascii="Titillium" w:hAnsi="Titillium" w:cs="Calibri"/>
          <w:sz w:val="18"/>
          <w:szCs w:val="18"/>
        </w:rPr>
        <w:t>’impresa ausiliaria</w:t>
      </w:r>
      <w:r w:rsidRPr="00AF481C">
        <w:rPr>
          <w:rFonts w:ascii="Titillium" w:hAnsi="Titillium" w:cs="Calibri"/>
          <w:sz w:val="18"/>
          <w:szCs w:val="18"/>
        </w:rPr>
        <w:t xml:space="preserve"> per comprovare il possesso del requisito di cui al punto</w:t>
      </w:r>
      <w:r w:rsidR="009D5EB4">
        <w:rPr>
          <w:rFonts w:ascii="Titillium" w:hAnsi="Titillium" w:cs="Calibri"/>
          <w:sz w:val="18"/>
          <w:szCs w:val="18"/>
        </w:rPr>
        <w:t xml:space="preserve"> 6.1 lett.a)</w:t>
      </w:r>
      <w:r w:rsidRPr="00AF481C">
        <w:rPr>
          <w:rFonts w:ascii="Titillium" w:hAnsi="Titillium" w:cs="Calibri"/>
          <w:sz w:val="18"/>
          <w:szCs w:val="18"/>
        </w:rPr>
        <w:t xml:space="preserve"> solo se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agisce in qualità di subappaltatore.</w:t>
      </w:r>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Il concorrente può avvalersi di un</w:t>
      </w:r>
      <w:r w:rsidR="008F56D2" w:rsidRPr="00AF481C">
        <w:rPr>
          <w:rFonts w:ascii="Titillium" w:hAnsi="Titillium" w:cs="Calibri"/>
          <w:sz w:val="18"/>
          <w:szCs w:val="18"/>
        </w:rPr>
        <w:t>’impresa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per comprovare il possesso del requisito di cui al punto </w:t>
      </w:r>
      <w:r w:rsidR="009D5EB4">
        <w:rPr>
          <w:rFonts w:ascii="Titillium" w:hAnsi="Titillium" w:cs="Calibri"/>
          <w:sz w:val="18"/>
          <w:szCs w:val="18"/>
        </w:rPr>
        <w:t>6.1 lett.b)</w:t>
      </w:r>
      <w:r w:rsidRPr="00AF481C">
        <w:rPr>
          <w:rFonts w:ascii="Titillium" w:hAnsi="Titillium" w:cs="Calibri"/>
          <w:sz w:val="18"/>
          <w:szCs w:val="18"/>
        </w:rPr>
        <w:t xml:space="preserve"> solo se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agisce in qualità di subappaltare.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lastRenderedPageBreak/>
        <w:t>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deve:</w:t>
      </w:r>
    </w:p>
    <w:p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previsti dall’articolo </w:t>
      </w:r>
      <w:fldSimple w:instr=" REF _Ref128477566 \r \h  \* MERGEFORMAT ">
        <w:r w:rsidR="00CA44F6">
          <w:t>5</w:t>
        </w:r>
      </w:fldSimple>
      <w:r w:rsidRPr="00AF481C">
        <w:rPr>
          <w:rFonts w:ascii="Titillium" w:hAnsi="Titillium" w:cs="Calibri"/>
          <w:sz w:val="18"/>
          <w:szCs w:val="18"/>
        </w:rPr>
        <w:t xml:space="preserve"> e dichiararli presentando un proprio DGUE, da compilare nelle parti pertinenti;</w:t>
      </w:r>
    </w:p>
    <w:p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i di cui all’articolo 6 oggetto di avvalimento e dichiararli nel proprio DGUE, da compilare nelle parti pertinenti; </w:t>
      </w:r>
    </w:p>
    <w:p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impegnarsi, verso il concorrente che si avvale e verso la stazione appaltante, a mettere a disposizione, per tutta la durata dell’appalto, le risorse (riferite a requisiti di partecipazione e/o premiali) oggetto di avvalimento</w:t>
      </w:r>
      <w:r w:rsidR="008F56D2" w:rsidRPr="00AF481C">
        <w:rPr>
          <w:rFonts w:ascii="Titillium" w:hAnsi="Titillium" w:cs="Calibri"/>
          <w:sz w:val="18"/>
          <w:szCs w:val="18"/>
        </w:rPr>
        <w:t>.</w:t>
      </w:r>
    </w:p>
    <w:p w:rsidR="00AE28AD" w:rsidRPr="00AF481C" w:rsidRDefault="00D87308" w:rsidP="00AE28AD">
      <w:pPr>
        <w:spacing w:before="60" w:after="60"/>
        <w:rPr>
          <w:rFonts w:ascii="Titillium" w:hAnsi="Titillium" w:cs="Calibri"/>
          <w:sz w:val="18"/>
          <w:szCs w:val="18"/>
        </w:rPr>
      </w:pPr>
      <w:r w:rsidRPr="00AF481C">
        <w:rPr>
          <w:rFonts w:ascii="Titillium" w:hAnsi="Titillium" w:cs="Calibri"/>
          <w:sz w:val="18"/>
          <w:szCs w:val="18"/>
        </w:rPr>
        <w:t>Le dichiarazioni dell’ausiliaria sono allegate alla domanda di partecipazione.</w:t>
      </w:r>
    </w:p>
    <w:p w:rsidR="00D87308" w:rsidRPr="00AF481C" w:rsidRDefault="00D87308" w:rsidP="00AE28AD">
      <w:pPr>
        <w:spacing w:before="60" w:after="60"/>
        <w:rPr>
          <w:rFonts w:ascii="Titillium" w:hAnsi="Titillium" w:cs="Calibri"/>
          <w:sz w:val="18"/>
          <w:szCs w:val="18"/>
        </w:rPr>
      </w:pP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concorrente allega alla domanda di partecipazione il contratto di avvalimento,anche premiale</w:t>
      </w:r>
      <w:r w:rsidR="004A17B4" w:rsidRPr="00AF481C">
        <w:rPr>
          <w:rFonts w:ascii="Titillium" w:hAnsi="Titillium" w:cs="Calibri"/>
          <w:sz w:val="18"/>
          <w:szCs w:val="18"/>
        </w:rPr>
        <w:t xml:space="preserve"> o </w:t>
      </w:r>
      <w:r w:rsidR="00FB265E" w:rsidRPr="00AF481C">
        <w:rPr>
          <w:rFonts w:ascii="Titillium" w:hAnsi="Titillium" w:cs="Calibri"/>
          <w:sz w:val="18"/>
          <w:szCs w:val="18"/>
        </w:rPr>
        <w:t>misto</w:t>
      </w:r>
      <w:r w:rsidR="004A17B4" w:rsidRPr="00AF481C">
        <w:rPr>
          <w:rFonts w:ascii="Titillium" w:hAnsi="Titillium" w:cs="Calibri"/>
          <w:sz w:val="18"/>
          <w:szCs w:val="18"/>
        </w:rPr>
        <w:t>.</w:t>
      </w:r>
    </w:p>
    <w:p w:rsidR="00D87308" w:rsidRPr="00AF481C" w:rsidRDefault="00D87308" w:rsidP="00AE28AD">
      <w:pPr>
        <w:spacing w:before="60" w:after="60"/>
        <w:rPr>
          <w:rFonts w:ascii="Titillium" w:hAnsi="Titillium" w:cs="Calibri"/>
          <w:sz w:val="18"/>
          <w:szCs w:val="18"/>
        </w:rPr>
      </w:pPr>
    </w:p>
    <w:p w:rsidR="00FB265E" w:rsidRDefault="002B0BEA" w:rsidP="00AE28AD">
      <w:pPr>
        <w:spacing w:before="60" w:after="60"/>
        <w:rPr>
          <w:rFonts w:ascii="Titillium" w:hAnsi="Titillium" w:cs="Calibri"/>
          <w:sz w:val="18"/>
          <w:szCs w:val="18"/>
        </w:rPr>
      </w:pPr>
      <w:r w:rsidRPr="00AF481C">
        <w:rPr>
          <w:rFonts w:ascii="Titillium" w:hAnsi="Titillium" w:cs="Calibri"/>
          <w:sz w:val="18"/>
          <w:szCs w:val="18"/>
        </w:rPr>
        <w:t>Il contratto di avvalimento, anche premiale e misto, deve essere nativo digitale e firmato digitalmente dalle parti</w:t>
      </w:r>
      <w:r w:rsidR="00D87308" w:rsidRPr="00AF481C">
        <w:rPr>
          <w:rFonts w:ascii="Titillium" w:hAnsi="Titillium" w:cs="Calibri"/>
          <w:sz w:val="18"/>
          <w:szCs w:val="18"/>
        </w:rPr>
        <w:t>.</w:t>
      </w:r>
    </w:p>
    <w:p w:rsidR="002C0F13" w:rsidRPr="00C91016" w:rsidRDefault="002C0F13" w:rsidP="002C0F13">
      <w:pPr>
        <w:spacing w:before="60" w:after="60"/>
        <w:rPr>
          <w:rFonts w:ascii="Titillium" w:hAnsi="Titillium" w:cs="Calibri"/>
          <w:sz w:val="18"/>
          <w:szCs w:val="18"/>
        </w:rPr>
      </w:pPr>
      <w:r w:rsidRPr="00C91016">
        <w:rPr>
          <w:rFonts w:ascii="Titillium" w:hAnsi="Titillium" w:cs="Calibri"/>
          <w:sz w:val="18"/>
          <w:szCs w:val="18"/>
        </w:rPr>
        <w:t>È sanabile, mediante soccorso istruttorio, la mancata produzione delle dichiarazioni dell’ausiliario.</w:t>
      </w:r>
    </w:p>
    <w:p w:rsidR="002C0F13" w:rsidRPr="00C91016" w:rsidRDefault="002C0F13" w:rsidP="002C0F13">
      <w:pPr>
        <w:spacing w:before="60" w:after="60"/>
        <w:rPr>
          <w:rFonts w:ascii="Titillium" w:hAnsi="Titillium" w:cs="Calibri"/>
          <w:sz w:val="18"/>
          <w:szCs w:val="18"/>
        </w:rPr>
      </w:pPr>
      <w:r w:rsidRPr="00C91016">
        <w:rPr>
          <w:rFonts w:ascii="Titillium" w:hAnsi="Titillium" w:cs="Calibri"/>
          <w:sz w:val="18"/>
          <w:szCs w:val="18"/>
        </w:rPr>
        <w:t>È sanabile, mediante soccorso istruttorio, la mancata produzione del contratto di avvalimento a condizione che il contratto sia stato stipulato prima del termine di presentazione dell’offerta e che tale circostanza sia comprovabile con data certa.</w:t>
      </w:r>
    </w:p>
    <w:p w:rsidR="002C0F13" w:rsidRPr="00C91016" w:rsidRDefault="002C0F13" w:rsidP="002C0F13">
      <w:pPr>
        <w:spacing w:before="60" w:after="60"/>
        <w:rPr>
          <w:rFonts w:ascii="Titillium" w:hAnsi="Titillium" w:cs="Calibri"/>
          <w:sz w:val="18"/>
          <w:szCs w:val="18"/>
        </w:rPr>
      </w:pPr>
      <w:r w:rsidRPr="00C91016">
        <w:rPr>
          <w:rFonts w:ascii="Titillium" w:hAnsi="Titillium" w:cs="Calibri"/>
          <w:sz w:val="18"/>
          <w:szCs w:val="18"/>
        </w:rPr>
        <w:t>Non è sanabile la mancata indicazione delle risorse messe a disposizione dall’ausiliario in quanto causa di nullità del contratto di avvalimento.</w:t>
      </w:r>
    </w:p>
    <w:p w:rsidR="00AE28AD" w:rsidRPr="009030B3" w:rsidRDefault="00AE28AD" w:rsidP="00AE28AD">
      <w:pPr>
        <w:spacing w:before="60" w:after="60"/>
        <w:rPr>
          <w:u w:val="single"/>
        </w:rPr>
      </w:pPr>
      <w:r w:rsidRPr="009030B3">
        <w:rPr>
          <w:rFonts w:ascii="Titillium" w:hAnsi="Titillium" w:cs="Calibri"/>
          <w:sz w:val="18"/>
          <w:szCs w:val="18"/>
          <w:u w:val="single"/>
        </w:rPr>
        <w:t>Qualora per l’</w:t>
      </w:r>
      <w:r w:rsidR="008F56D2" w:rsidRPr="009030B3">
        <w:rPr>
          <w:rFonts w:ascii="Titillium" w:hAnsi="Titillium" w:cs="Calibri"/>
          <w:sz w:val="18"/>
          <w:szCs w:val="18"/>
          <w:u w:val="single"/>
        </w:rPr>
        <w:t xml:space="preserve">impresa </w:t>
      </w:r>
      <w:r w:rsidRPr="009030B3">
        <w:rPr>
          <w:rFonts w:ascii="Titillium" w:hAnsi="Titillium" w:cs="Calibri"/>
          <w:sz w:val="18"/>
          <w:szCs w:val="18"/>
          <w:u w:val="single"/>
        </w:rPr>
        <w:t>ausiliari</w:t>
      </w:r>
      <w:r w:rsidR="008F56D2" w:rsidRPr="009030B3">
        <w:rPr>
          <w:rFonts w:ascii="Titillium" w:hAnsi="Titillium" w:cs="Calibri"/>
          <w:sz w:val="18"/>
          <w:szCs w:val="18"/>
          <w:u w:val="single"/>
        </w:rPr>
        <w:t>a</w:t>
      </w:r>
      <w:r w:rsidRPr="009030B3">
        <w:rPr>
          <w:rFonts w:ascii="Titillium" w:hAnsi="Titillium" w:cs="Calibri"/>
          <w:sz w:val="18"/>
          <w:szCs w:val="18"/>
          <w:u w:val="single"/>
        </w:rPr>
        <w:t xml:space="preserve"> sussistano motivi di esclusione o laddove ess</w:t>
      </w:r>
      <w:r w:rsidR="00BD41B8" w:rsidRPr="009030B3">
        <w:rPr>
          <w:rFonts w:ascii="Titillium" w:hAnsi="Titillium" w:cs="Calibri"/>
          <w:sz w:val="18"/>
          <w:szCs w:val="18"/>
          <w:u w:val="single"/>
        </w:rPr>
        <w:t>a</w:t>
      </w:r>
      <w:r w:rsidRPr="009030B3">
        <w:rPr>
          <w:rFonts w:ascii="Titillium" w:hAnsi="Titillium" w:cs="Calibri"/>
          <w:sz w:val="18"/>
          <w:szCs w:val="18"/>
          <w:u w:val="single"/>
        </w:rPr>
        <w:t xml:space="preserve"> non soddisfi i requisiti di ordine speciale, il concorrente sostituisce l’</w:t>
      </w:r>
      <w:r w:rsidR="008F56D2" w:rsidRPr="009030B3">
        <w:rPr>
          <w:rFonts w:ascii="Titillium" w:hAnsi="Titillium" w:cs="Calibri"/>
          <w:sz w:val="18"/>
          <w:szCs w:val="18"/>
          <w:u w:val="single"/>
        </w:rPr>
        <w:t xml:space="preserve">impresa </w:t>
      </w:r>
      <w:r w:rsidRPr="009030B3">
        <w:rPr>
          <w:rFonts w:ascii="Titillium" w:hAnsi="Titillium" w:cs="Calibri"/>
          <w:sz w:val="18"/>
          <w:szCs w:val="18"/>
          <w:u w:val="single"/>
        </w:rPr>
        <w:t>ausiliari</w:t>
      </w:r>
      <w:r w:rsidR="008F56D2" w:rsidRPr="009030B3">
        <w:rPr>
          <w:rFonts w:ascii="Titillium" w:hAnsi="Titillium" w:cs="Calibri"/>
          <w:sz w:val="18"/>
          <w:szCs w:val="18"/>
          <w:u w:val="single"/>
        </w:rPr>
        <w:t xml:space="preserve">a </w:t>
      </w:r>
      <w:r w:rsidRPr="009030B3">
        <w:rPr>
          <w:rFonts w:ascii="Titillium" w:hAnsi="Titillium" w:cs="Calibri"/>
          <w:sz w:val="18"/>
          <w:szCs w:val="18"/>
          <w:u w:val="single"/>
        </w:rPr>
        <w:t xml:space="preserve">entro </w:t>
      </w:r>
      <w:r w:rsidR="009D5EB4">
        <w:rPr>
          <w:rFonts w:ascii="Titillium" w:hAnsi="Titillium" w:cs="Calibri"/>
          <w:sz w:val="18"/>
          <w:szCs w:val="18"/>
          <w:u w:val="single"/>
        </w:rPr>
        <w:t>30</w:t>
      </w:r>
      <w:r w:rsidRPr="009030B3">
        <w:rPr>
          <w:rFonts w:ascii="Titillium" w:hAnsi="Titillium" w:cs="Calibri"/>
          <w:sz w:val="18"/>
          <w:szCs w:val="18"/>
          <w:u w:val="single"/>
        </w:rPr>
        <w:t xml:space="preserve"> giorni decorrenti dal ricevimento della richiesta da parte della stazione appaltante. Contestualmente il concorrente produce i documenti richiesti per l’avvalimento. </w:t>
      </w:r>
    </w:p>
    <w:p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caso in cui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si sia res</w:t>
      </w:r>
      <w:r w:rsidR="00B3747B" w:rsidRPr="00AF481C">
        <w:rPr>
          <w:rFonts w:ascii="Titillium" w:hAnsi="Titillium" w:cs="Calibri"/>
          <w:sz w:val="18"/>
          <w:szCs w:val="18"/>
        </w:rPr>
        <w:t>a</w:t>
      </w:r>
      <w:r w:rsidRPr="00AF481C">
        <w:rPr>
          <w:rFonts w:ascii="Titillium" w:hAnsi="Titillium" w:cs="Calibri"/>
          <w:sz w:val="18"/>
          <w:szCs w:val="18"/>
        </w:rPr>
        <w:t xml:space="preserve"> responsabile di una falsa dichiarazione sul possesso dei requisiti, la stazione appaltante procede a segnalare all’Autorità nazionale anticorruzione il comportamento tenuto dall’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per consentire le valutazioni di cui all’articolo 96, comma 15, del Codice. L’operatore economico può indicare un</w:t>
      </w:r>
      <w:r w:rsidR="008F56D2" w:rsidRPr="00AF481C">
        <w:rPr>
          <w:rFonts w:ascii="Titillium" w:hAnsi="Titillium" w:cs="Calibri"/>
          <w:sz w:val="18"/>
          <w:szCs w:val="18"/>
        </w:rPr>
        <w:t>’</w:t>
      </w:r>
      <w:r w:rsidRPr="00AF481C">
        <w:rPr>
          <w:rFonts w:ascii="Titillium" w:hAnsi="Titillium" w:cs="Calibri"/>
          <w:sz w:val="18"/>
          <w:szCs w:val="18"/>
        </w:rPr>
        <w:t>altr</w:t>
      </w:r>
      <w:r w:rsidR="008F56D2" w:rsidRPr="00AF481C">
        <w:rPr>
          <w:rFonts w:ascii="Titillium" w:hAnsi="Titillium" w:cs="Calibri"/>
          <w:sz w:val="18"/>
          <w:szCs w:val="18"/>
        </w:rPr>
        <w:t>a 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rsidR="00673DFD" w:rsidRPr="00AF481C" w:rsidRDefault="00673DFD" w:rsidP="00AE28AD">
      <w:pPr>
        <w:tabs>
          <w:tab w:val="left" w:pos="0"/>
        </w:tabs>
        <w:spacing w:before="60" w:after="60"/>
      </w:pPr>
    </w:p>
    <w:p w:rsidR="00AE28AD" w:rsidRPr="009030B3" w:rsidRDefault="00AE28AD" w:rsidP="00604C9A">
      <w:pPr>
        <w:pStyle w:val="Titolo2"/>
        <w:numPr>
          <w:ilvl w:val="0"/>
          <w:numId w:val="3"/>
        </w:numPr>
      </w:pPr>
      <w:bookmarkStart w:id="1598" w:name="_Toc406058375"/>
      <w:bookmarkStart w:id="1599" w:name="_Toc403471269"/>
      <w:bookmarkStart w:id="1600" w:name="_Toc397422862"/>
      <w:bookmarkStart w:id="1601" w:name="_Toc397346821"/>
      <w:bookmarkStart w:id="1602" w:name="_Toc393706906"/>
      <w:bookmarkStart w:id="1603" w:name="_Toc393700833"/>
      <w:bookmarkStart w:id="1604" w:name="_Toc393283174"/>
      <w:bookmarkStart w:id="1605" w:name="_Toc393272658"/>
      <w:bookmarkStart w:id="1606" w:name="_Toc393272600"/>
      <w:bookmarkStart w:id="1607" w:name="_Toc393187844"/>
      <w:bookmarkStart w:id="1608" w:name="_Toc393112127"/>
      <w:bookmarkStart w:id="1609" w:name="_Toc393110563"/>
      <w:bookmarkStart w:id="1610" w:name="_Toc392577496"/>
      <w:bookmarkStart w:id="1611" w:name="_Toc391036055"/>
      <w:bookmarkStart w:id="1612" w:name="_Toc391035982"/>
      <w:bookmarkStart w:id="1613" w:name="_Toc380501869"/>
      <w:bookmarkStart w:id="1614" w:name="_Toc354038180"/>
      <w:bookmarkStart w:id="1615" w:name="_Toc416423361"/>
      <w:bookmarkStart w:id="1616" w:name="_Toc406754176"/>
      <w:bookmarkStart w:id="1617" w:name="_Toc223087478"/>
      <w:r w:rsidRPr="009030B3">
        <w:t>SUBAPPALTO</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rsidR="00AE28AD" w:rsidRPr="00AF481C" w:rsidRDefault="00AE28AD" w:rsidP="00AE28AD">
      <w:pPr>
        <w:spacing w:before="60" w:after="60"/>
      </w:pPr>
      <w:r w:rsidRPr="00AF481C">
        <w:rPr>
          <w:rFonts w:ascii="Titillium" w:hAnsi="Titillium" w:cs="Calibri"/>
          <w:sz w:val="18"/>
          <w:szCs w:val="18"/>
        </w:rPr>
        <w:t xml:space="preserve">Il concorrente indica le prestazioni che intende subappaltare o concedere in cottimo. In caso di mancata indicazione il subappalto è vietato. </w:t>
      </w:r>
    </w:p>
    <w:p w:rsidR="00174C48"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può essere affidata in subappalto l’integrale esecuzione delle prestazioni oggetto del contratto</w:t>
      </w:r>
      <w:r w:rsidR="00174C48" w:rsidRPr="00AF481C">
        <w:rPr>
          <w:rFonts w:ascii="Titillium" w:hAnsi="Titillium" w:cs="Calibri"/>
          <w:sz w:val="18"/>
          <w:szCs w:val="18"/>
        </w:rPr>
        <w:t>.</w:t>
      </w:r>
    </w:p>
    <w:p w:rsidR="00034718" w:rsidRPr="00AF481C" w:rsidRDefault="00AE28AD" w:rsidP="00AE7349">
      <w:pPr>
        <w:spacing w:before="60" w:after="60"/>
        <w:rPr>
          <w:rFonts w:ascii="Titillium" w:hAnsi="Titillium" w:cs="Calibri"/>
          <w:sz w:val="18"/>
          <w:szCs w:val="18"/>
        </w:rPr>
      </w:pPr>
      <w:r w:rsidRPr="00AF481C">
        <w:rPr>
          <w:rFonts w:ascii="Titillium" w:hAnsi="Titillium" w:cs="Calibri"/>
          <w:sz w:val="18"/>
          <w:szCs w:val="18"/>
        </w:rPr>
        <w:t xml:space="preserve">Nella domanda di partecipazione il concorrente si impegna a subappaltare alle piccole e medie imprese una quota non inferiore al 20 per cento delle prestazioni che intende subappaltare, oppure una quota inferiore, dandone </w:t>
      </w:r>
      <w:r w:rsidR="00BD41B8" w:rsidRPr="00AF481C">
        <w:rPr>
          <w:rFonts w:ascii="Titillium" w:hAnsi="Titillium" w:cs="Calibri"/>
          <w:sz w:val="18"/>
          <w:szCs w:val="18"/>
        </w:rPr>
        <w:t xml:space="preserve">nel caso </w:t>
      </w:r>
      <w:r w:rsidRPr="00AF481C">
        <w:rPr>
          <w:rFonts w:ascii="Titillium" w:hAnsi="Titillium" w:cs="Calibri"/>
          <w:sz w:val="18"/>
          <w:szCs w:val="18"/>
        </w:rPr>
        <w:t>adeguata motivazione con riferimento all'oggetto, alle caratteristiche delle prestazioni o al mercato di riferimento.</w:t>
      </w:r>
    </w:p>
    <w:p w:rsidR="00AE28AD" w:rsidRPr="00AF481C" w:rsidRDefault="00AE28AD" w:rsidP="00AE28AD">
      <w:pPr>
        <w:rPr>
          <w:rFonts w:ascii="Titillium" w:hAnsi="Titillium" w:cs="Calibri"/>
          <w:sz w:val="18"/>
          <w:szCs w:val="18"/>
        </w:rPr>
      </w:pPr>
    </w:p>
    <w:p w:rsidR="00AE28AD" w:rsidRPr="00AF481C" w:rsidRDefault="00AE28AD" w:rsidP="00AE28AD">
      <w:pPr>
        <w:rPr>
          <w:rFonts w:ascii="Titillium" w:hAnsi="Titillium" w:cs="Calibri"/>
          <w:sz w:val="18"/>
          <w:szCs w:val="18"/>
        </w:rPr>
      </w:pPr>
      <w:r w:rsidRPr="00AF481C">
        <w:rPr>
          <w:rFonts w:ascii="Titillium" w:hAnsi="Titillium" w:cs="Calibri"/>
          <w:sz w:val="18"/>
          <w:szCs w:val="18"/>
        </w:rPr>
        <w:t>L’aggiudicatario e il subappaltatore sono responsabili in solido nei confronti della stazione appaltante dell’esecuzione delle prestazioni oggetto del contratto di subappalto.</w:t>
      </w:r>
    </w:p>
    <w:p w:rsidR="00AE28AD" w:rsidRPr="00AF481C" w:rsidRDefault="00AE28AD" w:rsidP="00AE28AD">
      <w:pPr>
        <w:rPr>
          <w:rFonts w:ascii="Titillium" w:hAnsi="Titillium" w:cs="Calibri"/>
          <w:sz w:val="18"/>
          <w:szCs w:val="18"/>
        </w:rPr>
      </w:pPr>
    </w:p>
    <w:p w:rsidR="00AE28AD" w:rsidRPr="00AF481C" w:rsidRDefault="00AE28AD" w:rsidP="00604C9A">
      <w:pPr>
        <w:pStyle w:val="Titolo2"/>
        <w:numPr>
          <w:ilvl w:val="0"/>
          <w:numId w:val="3"/>
        </w:numPr>
        <w:rPr>
          <w:rFonts w:cs="Calibri"/>
        </w:rPr>
      </w:pPr>
      <w:bookmarkStart w:id="1618" w:name="_Ref132050689"/>
      <w:bookmarkStart w:id="1619" w:name="_Toc223087479"/>
      <w:bookmarkStart w:id="1620" w:name="_Ref531264739"/>
      <w:bookmarkStart w:id="1621" w:name="_Ref531346857"/>
      <w:bookmarkStart w:id="1622" w:name="_Ref531346843"/>
      <w:r w:rsidRPr="00AF481C">
        <w:lastRenderedPageBreak/>
        <w:t>REQUISITI DI PARTECIPAZIONE E/O CONDIZIONI DI ESECUZIONE</w:t>
      </w:r>
      <w:bookmarkEnd w:id="1618"/>
      <w:bookmarkEnd w:id="1619"/>
    </w:p>
    <w:p w:rsidR="00AE28AD" w:rsidRPr="00AF481C" w:rsidRDefault="00AE28AD" w:rsidP="00AE28AD">
      <w:pPr>
        <w:spacing w:before="60" w:after="60"/>
        <w:rPr>
          <w:rFonts w:ascii="Titillium" w:hAnsi="Titillium" w:cs="Calibri"/>
          <w:sz w:val="18"/>
          <w:szCs w:val="18"/>
        </w:rPr>
      </w:pPr>
      <w:bookmarkStart w:id="1623" w:name="_Toc483571518"/>
      <w:bookmarkStart w:id="1624" w:name="_Toc483474087"/>
      <w:bookmarkStart w:id="1625" w:name="_Toc483401291"/>
      <w:bookmarkStart w:id="1626" w:name="_Toc483325813"/>
      <w:bookmarkStart w:id="1627" w:name="_Toc483316520"/>
      <w:bookmarkStart w:id="1628" w:name="_Toc483316389"/>
      <w:bookmarkStart w:id="1629" w:name="_Toc483316257"/>
      <w:bookmarkStart w:id="1630" w:name="_Toc483316052"/>
      <w:bookmarkStart w:id="1631" w:name="_Toc483302431"/>
      <w:bookmarkStart w:id="1632" w:name="_Toc483233704"/>
      <w:bookmarkStart w:id="1633" w:name="_Toc482979744"/>
      <w:bookmarkStart w:id="1634" w:name="_Toc482979646"/>
      <w:bookmarkStart w:id="1635" w:name="_Toc482979548"/>
      <w:bookmarkStart w:id="1636" w:name="_Toc482979440"/>
      <w:bookmarkStart w:id="1637" w:name="_Toc482979331"/>
      <w:bookmarkStart w:id="1638" w:name="_Toc482979222"/>
      <w:bookmarkStart w:id="1639" w:name="_Toc482979111"/>
      <w:bookmarkStart w:id="1640" w:name="_Toc482979003"/>
      <w:bookmarkStart w:id="1641" w:name="_Toc482978894"/>
      <w:bookmarkStart w:id="1642" w:name="_Toc482959775"/>
      <w:bookmarkStart w:id="1643" w:name="_Toc482959665"/>
      <w:bookmarkStart w:id="1644" w:name="_Toc482959555"/>
      <w:bookmarkStart w:id="1645" w:name="_Toc482712767"/>
      <w:bookmarkStart w:id="1646" w:name="_Toc482641321"/>
      <w:bookmarkStart w:id="1647" w:name="_Toc483907018"/>
      <w:bookmarkStart w:id="1648" w:name="_Toc483571640"/>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r w:rsidRPr="00AF481C">
        <w:rPr>
          <w:rFonts w:ascii="Titillium" w:hAnsi="Titillium"/>
          <w:sz w:val="18"/>
          <w:szCs w:val="18"/>
        </w:rPr>
        <w:t>L</w:t>
      </w:r>
      <w:r w:rsidRPr="00AF481C">
        <w:rPr>
          <w:rFonts w:ascii="Titillium" w:hAnsi="Titillium" w:cs="Calibri"/>
          <w:sz w:val="18"/>
          <w:szCs w:val="18"/>
        </w:rPr>
        <w:t>’aggiudicatario è tenuto a garantire l’applicazione del contratto collettivo nazionale e territoriale di cui al p</w:t>
      </w:r>
      <w:r w:rsidR="00D7517D" w:rsidRPr="00AF481C">
        <w:rPr>
          <w:rFonts w:ascii="Titillium" w:hAnsi="Titillium" w:cs="Calibri"/>
          <w:sz w:val="18"/>
          <w:szCs w:val="18"/>
        </w:rPr>
        <w:t>aragrafo</w:t>
      </w:r>
      <w:r w:rsidR="00705384" w:rsidRPr="00AF481C">
        <w:rPr>
          <w:rFonts w:ascii="Titillium" w:hAnsi="Titillium" w:cs="Calibri"/>
          <w:sz w:val="18"/>
          <w:szCs w:val="18"/>
        </w:rPr>
        <w:t xml:space="preserve"> 3</w:t>
      </w:r>
      <w:r w:rsidRPr="00AF481C">
        <w:rPr>
          <w:rFonts w:ascii="Titillium" w:hAnsi="Titillium" w:cs="Calibri"/>
          <w:sz w:val="18"/>
          <w:szCs w:val="18"/>
        </w:rPr>
        <w:t xml:space="preserve">. </w:t>
      </w:r>
      <w:r w:rsidR="00BD41B8" w:rsidRPr="00AF481C">
        <w:rPr>
          <w:rFonts w:ascii="Titillium" w:hAnsi="Titillium" w:cs="Calibri"/>
          <w:sz w:val="18"/>
          <w:szCs w:val="18"/>
        </w:rPr>
        <w:t>I</w:t>
      </w:r>
      <w:r w:rsidRPr="00AF481C">
        <w:rPr>
          <w:rFonts w:ascii="Titillium" w:hAnsi="Titillium" w:cs="Calibri"/>
          <w:sz w:val="18"/>
          <w:szCs w:val="18"/>
        </w:rPr>
        <w:t>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rsidR="00D36CBF" w:rsidRPr="00AF481C" w:rsidRDefault="00D36CBF" w:rsidP="00AE28AD">
      <w:pPr>
        <w:rPr>
          <w:rFonts w:ascii="Titillium" w:hAnsi="Titillium"/>
          <w:sz w:val="18"/>
          <w:szCs w:val="18"/>
        </w:rPr>
      </w:pPr>
    </w:p>
    <w:p w:rsidR="00AE28AD" w:rsidRPr="00AF481C" w:rsidRDefault="00AE28AD" w:rsidP="00AE28AD">
      <w:pPr>
        <w:spacing w:after="120"/>
        <w:rPr>
          <w:rFonts w:ascii="Titillium" w:hAnsi="Titillium" w:cs="Arial"/>
          <w:b/>
          <w:bCs/>
          <w:i/>
          <w:sz w:val="18"/>
          <w:szCs w:val="18"/>
        </w:rPr>
      </w:pPr>
      <w:r w:rsidRPr="00AF481C">
        <w:rPr>
          <w:rFonts w:ascii="Titillium" w:hAnsi="Titillium" w:cs="Calibri"/>
          <w:sz w:val="18"/>
          <w:szCs w:val="18"/>
        </w:rPr>
        <w:t xml:space="preserve">Il concorrente si impegna, </w:t>
      </w:r>
      <w:r w:rsidRPr="00AF481C">
        <w:rPr>
          <w:rFonts w:ascii="Titillium" w:hAnsi="Titillium" w:cs="Calibri"/>
          <w:sz w:val="18"/>
          <w:szCs w:val="18"/>
          <w:u w:val="single"/>
        </w:rPr>
        <w:t>a pena di esclusione</w:t>
      </w:r>
      <w:r w:rsidRPr="00AF481C">
        <w:rPr>
          <w:rFonts w:ascii="Titillium" w:hAnsi="Titillium" w:cs="Arial"/>
          <w:sz w:val="18"/>
          <w:szCs w:val="18"/>
        </w:rPr>
        <w:t>, in caso di aggiudicazione del contratto, ad assicurare:</w:t>
      </w:r>
    </w:p>
    <w:p w:rsidR="00AE28AD" w:rsidRPr="00AF481C" w:rsidRDefault="00AE28AD" w:rsidP="00BE4F13">
      <w:pPr>
        <w:pStyle w:val="Paragrafoelenco"/>
        <w:widowControl w:val="0"/>
        <w:numPr>
          <w:ilvl w:val="0"/>
          <w:numId w:val="26"/>
        </w:numPr>
        <w:ind w:left="851" w:hanging="426"/>
        <w:contextualSpacing w:val="0"/>
        <w:rPr>
          <w:rFonts w:ascii="Titillium" w:hAnsi="Titillium" w:cs="Arial"/>
          <w:sz w:val="18"/>
          <w:szCs w:val="18"/>
        </w:rPr>
      </w:pPr>
      <w:r w:rsidRPr="00AF481C">
        <w:rPr>
          <w:rFonts w:ascii="Titillium" w:hAnsi="Titillium" w:cs="Arial"/>
          <w:sz w:val="18"/>
          <w:szCs w:val="18"/>
        </w:rPr>
        <w:t xml:space="preserve">una quota pari almeno al </w:t>
      </w:r>
      <w:r w:rsidR="00CD6D24">
        <w:rPr>
          <w:rFonts w:ascii="Titillium" w:hAnsi="Titillium" w:cs="Arial"/>
          <w:sz w:val="18"/>
          <w:szCs w:val="18"/>
        </w:rPr>
        <w:t xml:space="preserve">30 </w:t>
      </w:r>
      <w:r w:rsidRPr="00AF481C">
        <w:rPr>
          <w:rFonts w:ascii="Titillium" w:hAnsi="Titillium" w:cs="Arial"/>
          <w:sz w:val="18"/>
          <w:szCs w:val="18"/>
        </w:rPr>
        <w:t>per cento delle assunzioni necessarie di occupazione giovanile</w:t>
      </w:r>
    </w:p>
    <w:p w:rsidR="00AE28AD" w:rsidRPr="00AF481C" w:rsidRDefault="00AE28AD" w:rsidP="00BE4F13">
      <w:pPr>
        <w:pStyle w:val="Paragrafoelenco"/>
        <w:widowControl w:val="0"/>
        <w:numPr>
          <w:ilvl w:val="0"/>
          <w:numId w:val="26"/>
        </w:numPr>
        <w:ind w:left="851" w:hanging="426"/>
        <w:contextualSpacing w:val="0"/>
        <w:rPr>
          <w:rFonts w:ascii="Titillium" w:hAnsi="Titillium" w:cs="Arial"/>
          <w:sz w:val="18"/>
          <w:szCs w:val="18"/>
        </w:rPr>
      </w:pPr>
      <w:r w:rsidRPr="00AF481C">
        <w:rPr>
          <w:rFonts w:ascii="Titillium" w:hAnsi="Titillium" w:cs="Arial"/>
          <w:sz w:val="18"/>
          <w:szCs w:val="18"/>
        </w:rPr>
        <w:t xml:space="preserve">una quota pari almeno al </w:t>
      </w:r>
      <w:r w:rsidR="00CD6D24">
        <w:rPr>
          <w:rFonts w:ascii="Titillium" w:hAnsi="Titillium" w:cs="Arial"/>
          <w:sz w:val="18"/>
          <w:szCs w:val="18"/>
        </w:rPr>
        <w:t xml:space="preserve">30 </w:t>
      </w:r>
      <w:r w:rsidRPr="00AF481C">
        <w:rPr>
          <w:rFonts w:ascii="Titillium" w:hAnsi="Titillium" w:cs="Arial"/>
          <w:sz w:val="18"/>
          <w:szCs w:val="18"/>
        </w:rPr>
        <w:t>per cento delle assunzioni necessarie  di occupazione femminile</w:t>
      </w:r>
    </w:p>
    <w:p w:rsidR="00AE28AD" w:rsidRPr="00AF481C" w:rsidRDefault="00AE28AD" w:rsidP="00AE28AD">
      <w:pPr>
        <w:widowControl w:val="0"/>
        <w:rPr>
          <w:rFonts w:ascii="Titillium" w:hAnsi="Titillium" w:cs="Arial"/>
          <w:i/>
          <w:iCs/>
          <w:sz w:val="18"/>
          <w:szCs w:val="18"/>
        </w:rPr>
      </w:pPr>
    </w:p>
    <w:p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Gli operatori economici che occupano un numero pari o superiore a quindici dipendenti e non superiore a cinquanta,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sidRPr="00AF481C">
        <w:rPr>
          <w:rFonts w:ascii="Titillium" w:hAnsi="Titillium" w:cs="Calibri"/>
          <w:sz w:val="18"/>
          <w:szCs w:val="18"/>
        </w:rPr>
        <w:t>.</w:t>
      </w:r>
    </w:p>
    <w:p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 xml:space="preserve">Gli operatori economici che occupano un numero </w:t>
      </w:r>
      <w:r w:rsidR="003708F9" w:rsidRPr="00AF481C">
        <w:rPr>
          <w:rFonts w:ascii="Titillium" w:hAnsi="Titillium" w:cs="Courier New"/>
          <w:sz w:val="18"/>
          <w:szCs w:val="18"/>
        </w:rPr>
        <w:t xml:space="preserve">di </w:t>
      </w:r>
      <w:r w:rsidRPr="00AF481C">
        <w:rPr>
          <w:rFonts w:ascii="Titillium" w:hAnsi="Titillium" w:cs="Courier New"/>
          <w:sz w:val="18"/>
          <w:szCs w:val="18"/>
        </w:rPr>
        <w:t xml:space="preserve">dipendenti </w:t>
      </w:r>
      <w:r w:rsidR="003708F9" w:rsidRPr="00AF481C">
        <w:rPr>
          <w:rFonts w:ascii="Titillium" w:hAnsi="Titillium" w:cs="Courier New"/>
          <w:sz w:val="18"/>
          <w:szCs w:val="18"/>
        </w:rPr>
        <w:t xml:space="preserve">pari o superiore a quindici </w:t>
      </w:r>
      <w:r w:rsidRPr="00AF481C">
        <w:rPr>
          <w:rFonts w:ascii="Titillium" w:hAnsi="Titillium" w:cs="Courier New"/>
          <w:sz w:val="18"/>
          <w:szCs w:val="18"/>
        </w:rPr>
        <w:t>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rsidR="00AE28AD" w:rsidRPr="00AF481C" w:rsidRDefault="00AE28AD" w:rsidP="00AE28AD">
      <w:pPr>
        <w:spacing w:before="60" w:after="60"/>
        <w:rPr>
          <w:rFonts w:ascii="Titillium" w:hAnsi="Titillium"/>
          <w:sz w:val="18"/>
          <w:szCs w:val="18"/>
        </w:rPr>
      </w:pPr>
    </w:p>
    <w:p w:rsidR="00FA08D2" w:rsidRPr="00A2152C" w:rsidRDefault="005C5D3C" w:rsidP="00051E75">
      <w:pPr>
        <w:pStyle w:val="Titolo3"/>
        <w:numPr>
          <w:ilvl w:val="1"/>
          <w:numId w:val="3"/>
        </w:numPr>
        <w:ind w:left="426" w:hanging="426"/>
        <w:rPr>
          <w:rFonts w:ascii="Titillium" w:hAnsi="Titillium"/>
          <w:sz w:val="18"/>
          <w:szCs w:val="18"/>
        </w:rPr>
      </w:pPr>
      <w:bookmarkStart w:id="1649" w:name="_Toc223087480"/>
      <w:r w:rsidRPr="00A2152C">
        <w:rPr>
          <w:rFonts w:ascii="Titillium" w:hAnsi="Titillium"/>
          <w:sz w:val="18"/>
          <w:szCs w:val="18"/>
        </w:rPr>
        <w:t>SOVVENZIONI ESTERE DISTORSIVE</w:t>
      </w:r>
      <w:r w:rsidR="006F04F1" w:rsidRPr="00A2152C">
        <w:rPr>
          <w:rFonts w:ascii="Titillium" w:hAnsi="Titillium"/>
          <w:sz w:val="18"/>
          <w:szCs w:val="18"/>
        </w:rPr>
        <w:t xml:space="preserve"> – </w:t>
      </w:r>
      <w:r w:rsidR="00B45463" w:rsidRPr="00A2152C">
        <w:rPr>
          <w:rFonts w:ascii="Titillium" w:hAnsi="Titillium"/>
          <w:sz w:val="18"/>
          <w:szCs w:val="18"/>
        </w:rPr>
        <w:t>( non applicabile)</w:t>
      </w:r>
      <w:bookmarkEnd w:id="1649"/>
    </w:p>
    <w:p w:rsidR="00887D85" w:rsidRPr="00AF481C" w:rsidRDefault="00887D85" w:rsidP="00AE28AD">
      <w:pPr>
        <w:rPr>
          <w:rFonts w:ascii="Titillium" w:hAnsi="Titillium"/>
          <w:sz w:val="18"/>
          <w:szCs w:val="18"/>
        </w:rPr>
      </w:pPr>
    </w:p>
    <w:p w:rsidR="00AE28AD" w:rsidRPr="00AF481C" w:rsidRDefault="00AE28AD" w:rsidP="00604C9A">
      <w:pPr>
        <w:pStyle w:val="Titolo2"/>
        <w:numPr>
          <w:ilvl w:val="0"/>
          <w:numId w:val="3"/>
        </w:numPr>
      </w:pPr>
      <w:bookmarkStart w:id="1650" w:name="_Toc223087481"/>
      <w:r w:rsidRPr="00AF481C">
        <w:t>GARANZIA PROVVISORIA</w:t>
      </w:r>
      <w:bookmarkEnd w:id="1620"/>
      <w:bookmarkEnd w:id="1621"/>
      <w:bookmarkEnd w:id="1622"/>
      <w:bookmarkEnd w:id="1650"/>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L’offerta è corredata, a pena di esclusione,da una garanzia provvisoria pari a</w:t>
      </w:r>
      <w:r w:rsidR="00DD6B6F">
        <w:rPr>
          <w:rFonts w:ascii="Titillium" w:hAnsi="Titillium" w:cs="Calibri"/>
          <w:sz w:val="18"/>
          <w:szCs w:val="18"/>
        </w:rPr>
        <w:t xml:space="preserve">l </w:t>
      </w:r>
      <w:r w:rsidRPr="00AF481C">
        <w:rPr>
          <w:rFonts w:ascii="Titillium" w:hAnsi="Titillium" w:cs="Calibri"/>
          <w:i/>
          <w:sz w:val="18"/>
          <w:szCs w:val="18"/>
        </w:rPr>
        <w:t xml:space="preserve">2% </w:t>
      </w:r>
      <w:r w:rsidRPr="00A2152C">
        <w:rPr>
          <w:rFonts w:ascii="Titillium" w:hAnsi="Titillium" w:cs="Calibri"/>
          <w:sz w:val="18"/>
          <w:szCs w:val="18"/>
        </w:rPr>
        <w:t>del valore complessivo dell’appalto e precisamente</w:t>
      </w:r>
      <w:r w:rsidRPr="00AF481C">
        <w:rPr>
          <w:rFonts w:ascii="Titillium" w:hAnsi="Titillium" w:cs="Calibri"/>
          <w:sz w:val="18"/>
          <w:szCs w:val="18"/>
        </w:rPr>
        <w:t xml:space="preserve"> di importo pari </w:t>
      </w:r>
      <w:r w:rsidRPr="00DD6B6F">
        <w:rPr>
          <w:rFonts w:ascii="Titillium" w:hAnsi="Titillium" w:cs="Calibri"/>
          <w:b/>
          <w:sz w:val="18"/>
          <w:szCs w:val="18"/>
        </w:rPr>
        <w:t xml:space="preserve">ad € </w:t>
      </w:r>
      <w:r w:rsidR="00037DB4">
        <w:rPr>
          <w:rFonts w:ascii="Titillium" w:hAnsi="Titillium" w:cs="Calibri"/>
          <w:b/>
          <w:sz w:val="18"/>
          <w:szCs w:val="18"/>
        </w:rPr>
        <w:t>51.078,32</w:t>
      </w:r>
      <w:r w:rsidR="001F640F" w:rsidRPr="00AF481C">
        <w:rPr>
          <w:rFonts w:ascii="Titillium" w:hAnsi="Titillium" w:cs="Calibri"/>
          <w:sz w:val="18"/>
          <w:szCs w:val="18"/>
        </w:rPr>
        <w:t xml:space="preserve">,costituita in data certa anteriore al termine di presentazione delle offerte, resa a favore della presente stazione appaltante e sottoscritta da un soggetto legittimato a rilasciare la garanzia e ad impegnare il concorrente.  </w:t>
      </w:r>
      <w:r w:rsidRPr="00AF481C">
        <w:rPr>
          <w:rFonts w:ascii="Titillium" w:hAnsi="Titillium" w:cs="Calibri"/>
          <w:sz w:val="18"/>
          <w:szCs w:val="18"/>
        </w:rPr>
        <w:t>Si applicano le riduzioni di cui all’articolo 106, comma 8 del Codice.</w:t>
      </w:r>
    </w:p>
    <w:p w:rsidR="00AE28AD" w:rsidRPr="00AF481C" w:rsidRDefault="00AE28AD" w:rsidP="00CD6D24">
      <w:pPr>
        <w:spacing w:before="120" w:after="60"/>
      </w:pPr>
      <w:r w:rsidRPr="00AF481C">
        <w:rPr>
          <w:rFonts w:ascii="Titillium" w:hAnsi="Titillium" w:cs="Calibri"/>
          <w:sz w:val="18"/>
          <w:szCs w:val="18"/>
        </w:rPr>
        <w:t>La garanzia provvisoria è costituita, a scelta del concorrente sotto forma di cauzione o di fideiussione</w:t>
      </w:r>
      <w:r w:rsidR="001A34FB" w:rsidRPr="00AF481C">
        <w:rPr>
          <w:rFonts w:ascii="Titillium" w:hAnsi="Titillium" w:cs="Calibri"/>
          <w:sz w:val="18"/>
          <w:szCs w:val="18"/>
        </w:rPr>
        <w:t>.</w:t>
      </w:r>
    </w:p>
    <w:p w:rsidR="00AE28AD"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cauzione è costituita mediante accredito, con bonifico o con altri strumenti e canali di pagamento elettronici, presso il conto </w:t>
      </w:r>
      <w:r w:rsidR="00BF38B2" w:rsidRPr="00BF38B2">
        <w:rPr>
          <w:rFonts w:ascii="Titillium" w:hAnsi="Titillium" w:cs="Calibri"/>
          <w:sz w:val="18"/>
          <w:szCs w:val="18"/>
        </w:rPr>
        <w:t>presso il Tesoriere dell’Azienda Unità Sanitaria Locale di Bologna – Intesa San Paolo spa: codice IBAN IT96D0306902520100000046027.</w:t>
      </w:r>
    </w:p>
    <w:p w:rsidR="00BF38B2" w:rsidRPr="00BF38B2" w:rsidRDefault="00BF38B2" w:rsidP="00BF38B2">
      <w:pPr>
        <w:spacing w:before="60" w:after="60"/>
        <w:rPr>
          <w:rFonts w:ascii="Titillium" w:hAnsi="Titillium" w:cs="Calibri"/>
          <w:sz w:val="18"/>
          <w:szCs w:val="18"/>
        </w:rPr>
      </w:pPr>
      <w:r w:rsidRPr="00BF38B2">
        <w:rPr>
          <w:rFonts w:ascii="Titillium" w:hAnsi="Titillium" w:cs="Calibri"/>
          <w:sz w:val="18"/>
          <w:szCs w:val="18"/>
        </w:rPr>
        <w:t xml:space="preserve">Per depositi cauzionali il codice Ente assegnato all’Azienda da parte del Tesoriere è il 1040039 con sottoconto IT29S0306902520100000300028 collegato al codice IBAN indicato.     </w:t>
      </w:r>
    </w:p>
    <w:p w:rsidR="00BF38B2" w:rsidRPr="00AF481C" w:rsidRDefault="00BF38B2" w:rsidP="00BF38B2">
      <w:pPr>
        <w:spacing w:before="60" w:after="60"/>
        <w:rPr>
          <w:rFonts w:ascii="Titillium" w:hAnsi="Titillium" w:cs="Calibri"/>
          <w:sz w:val="18"/>
          <w:szCs w:val="18"/>
        </w:rPr>
      </w:pPr>
      <w:r w:rsidRPr="00BF38B2">
        <w:rPr>
          <w:rFonts w:ascii="Titillium" w:hAnsi="Titillium" w:cs="Calibri"/>
          <w:sz w:val="18"/>
          <w:szCs w:val="18"/>
        </w:rPr>
        <w:t>Per pagamenti provenienti dall’estero, Codice BIC: BCITITMM.</w:t>
      </w:r>
    </w:p>
    <w:p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La fideiussione può essere rilasciata:</w:t>
      </w:r>
    </w:p>
    <w:p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lastRenderedPageBreak/>
        <w:t>da imprese bancarie o assicurative che rispondono ai requisiti di solvibilità previsti dalle leggi che ne disciplinano le rispettive attività;</w:t>
      </w:r>
    </w:p>
    <w:p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t>da un intermediario finanziario iscritto nell'albo di cui all'</w:t>
      </w:r>
      <w:hyperlink r:id="rId16" w:anchor="107" w:history="1">
        <w:r w:rsidRPr="00AF481C">
          <w:rPr>
            <w:rFonts w:ascii="Titillium" w:hAnsi="Titillium" w:cs="Calibri"/>
            <w:sz w:val="18"/>
            <w:szCs w:val="24"/>
          </w:rPr>
          <w:t>articolo 106 del decreto legislativo 1 settembre 1993, n. 385</w:t>
        </w:r>
      </w:hyperlink>
      <w:r w:rsidRPr="00AF481C">
        <w:rPr>
          <w:rFonts w:ascii="Titillium" w:hAnsi="Titillium"/>
          <w:sz w:val="18"/>
          <w:szCs w:val="18"/>
        </w:rPr>
        <w:t xml:space="preserve">, che </w:t>
      </w:r>
      <w:r w:rsidRPr="00AF481C">
        <w:rPr>
          <w:rFonts w:ascii="Titillium" w:hAnsi="Titillium" w:cs="Calibri"/>
          <w:sz w:val="18"/>
          <w:szCs w:val="18"/>
        </w:rPr>
        <w:t>svolge</w:t>
      </w:r>
      <w:r w:rsidRPr="00AF481C">
        <w:rPr>
          <w:rFonts w:ascii="Titillium" w:hAnsi="Titillium" w:cs="Calibri"/>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rsidR="00AE28AD" w:rsidRPr="00AF481C" w:rsidRDefault="00AE28AD" w:rsidP="00AE28AD">
      <w:pPr>
        <w:spacing w:before="60" w:after="60"/>
        <w:rPr>
          <w:rFonts w:ascii="Titillium" w:hAnsi="Titillium" w:cs="Calibri"/>
          <w:sz w:val="18"/>
          <w:szCs w:val="24"/>
        </w:rPr>
      </w:pPr>
    </w:p>
    <w:p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Gli operatori economici, prima di procedere alla sottoscrizione della garanzia, sono tenuti a verificare che il soggetto garante sia in possesso dell’autorizzazione al rilascio di garanzie</w:t>
      </w:r>
      <w:r w:rsidR="009B211A" w:rsidRPr="00AF481C">
        <w:rPr>
          <w:rFonts w:ascii="Titillium" w:hAnsi="Titillium" w:cs="Calibri"/>
          <w:sz w:val="18"/>
          <w:szCs w:val="24"/>
        </w:rPr>
        <w:t xml:space="preserve">,seguendo le indicazioni fornite nella Comunicazione congiunta della Banca D’Italia, dell’Istituto per la vigilanza sulle assicurazionie dell’Autorità Nazionale Anticorruzione pubblicata il 18 luglio 2025 e consultabile al </w:t>
      </w:r>
      <w:r w:rsidR="00D30F77" w:rsidRPr="00AF481C">
        <w:rPr>
          <w:rFonts w:ascii="Titillium" w:hAnsi="Titillium" w:cs="Calibri"/>
          <w:sz w:val="18"/>
          <w:szCs w:val="24"/>
        </w:rPr>
        <w:t xml:space="preserve">seguente </w:t>
      </w:r>
      <w:r w:rsidR="009B211A" w:rsidRPr="00AF481C">
        <w:rPr>
          <w:rFonts w:ascii="Titillium" w:hAnsi="Titillium" w:cs="Calibri"/>
          <w:sz w:val="18"/>
          <w:szCs w:val="24"/>
        </w:rPr>
        <w:t>link</w:t>
      </w:r>
      <w:r w:rsidR="00D30F77" w:rsidRPr="00AF481C">
        <w:rPr>
          <w:rFonts w:ascii="Titillium" w:hAnsi="Titillium" w:cs="Calibri"/>
          <w:sz w:val="18"/>
          <w:szCs w:val="24"/>
        </w:rPr>
        <w:t>:</w:t>
      </w:r>
      <w:hyperlink r:id="rId17" w:history="1">
        <w:r w:rsidR="00A05D50" w:rsidRPr="00AF481C">
          <w:rPr>
            <w:rStyle w:val="Collegamentoipertestuale"/>
            <w:rFonts w:ascii="Titillium" w:hAnsi="Titillium" w:cs="Calibri"/>
            <w:sz w:val="18"/>
            <w:szCs w:val="24"/>
          </w:rPr>
          <w:t>https://www.anticorruzione.it/-/news.garanzie.finanziarie.18.07.2025</w:t>
        </w:r>
      </w:hyperlink>
      <w:r w:rsidR="00A05D50" w:rsidRPr="00AF481C">
        <w:rPr>
          <w:rFonts w:ascii="Titillium" w:hAnsi="Titillium" w:cs="Calibri"/>
          <w:sz w:val="18"/>
          <w:szCs w:val="24"/>
        </w:rPr>
        <w:t xml:space="preserve">. </w:t>
      </w:r>
    </w:p>
    <w:p w:rsidR="00AE28AD" w:rsidRPr="00AF481C" w:rsidRDefault="00AE28AD" w:rsidP="00604C9A">
      <w:pPr>
        <w:spacing w:before="60" w:after="60"/>
        <w:rPr>
          <w:rFonts w:ascii="Titillium" w:hAnsi="Titillium" w:cs="Calibri"/>
          <w:sz w:val="18"/>
          <w:szCs w:val="24"/>
        </w:rPr>
      </w:pPr>
      <w:r w:rsidRPr="00AF481C">
        <w:rPr>
          <w:rFonts w:ascii="Titillium" w:hAnsi="Titillium" w:cs="Calibri"/>
          <w:sz w:val="18"/>
          <w:szCs w:val="24"/>
        </w:rPr>
        <w:t xml:space="preserve">La garanzia fideiussoria deve essere emessa e firmata digitalmente da un soggetto in possesso dei poteri necessari per impegnare il garante. </w:t>
      </w:r>
    </w:p>
    <w:p w:rsidR="00AE28AD" w:rsidRPr="00AF481C" w:rsidRDefault="00AE28AD" w:rsidP="00AE28AD">
      <w:pPr>
        <w:spacing w:before="60" w:after="60"/>
        <w:ind w:left="66"/>
        <w:rPr>
          <w:rFonts w:ascii="Titillium" w:hAnsi="Titillium" w:cs="Calibri"/>
          <w:sz w:val="18"/>
          <w:szCs w:val="24"/>
        </w:rPr>
      </w:pPr>
      <w:r w:rsidRPr="00AF481C">
        <w:rPr>
          <w:rFonts w:ascii="Titillium" w:hAnsi="Titillium" w:cs="Calibri"/>
          <w:sz w:val="18"/>
          <w:szCs w:val="24"/>
        </w:rPr>
        <w:t>L’operatore economico può, alternativamente:</w:t>
      </w:r>
    </w:p>
    <w:p w:rsidR="00AE28AD" w:rsidRPr="00AF481C" w:rsidRDefault="00AE28AD" w:rsidP="00BE4F13">
      <w:pPr>
        <w:pStyle w:val="Paragrafoelenco"/>
        <w:numPr>
          <w:ilvl w:val="1"/>
          <w:numId w:val="46"/>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gestita in tutte le fasi mediante ricorso </w:t>
      </w:r>
      <w:r w:rsidR="00F755A3" w:rsidRPr="00AF481C">
        <w:rPr>
          <w:rFonts w:ascii="Titillium" w:hAnsi="Titillium" w:cs="Calibri"/>
          <w:sz w:val="18"/>
          <w:szCs w:val="24"/>
        </w:rPr>
        <w:t xml:space="preserve">ad una </w:t>
      </w:r>
      <w:r w:rsidRPr="00AF481C">
        <w:rPr>
          <w:rFonts w:ascii="Titillium" w:hAnsi="Titillium" w:cs="Calibri"/>
          <w:sz w:val="18"/>
          <w:szCs w:val="24"/>
        </w:rPr>
        <w:t xml:space="preserve">piattaforma, </w:t>
      </w:r>
      <w:r w:rsidR="00F755A3" w:rsidRPr="00AF481C">
        <w:rPr>
          <w:rFonts w:ascii="Titillium" w:hAnsi="Titillium" w:cs="Calibri"/>
          <w:sz w:val="18"/>
          <w:szCs w:val="24"/>
        </w:rPr>
        <w:t>o</w:t>
      </w:r>
      <w:r w:rsidRPr="00AF481C">
        <w:rPr>
          <w:rFonts w:ascii="Titillium" w:hAnsi="Titillium" w:cs="Calibri"/>
          <w:sz w:val="18"/>
          <w:szCs w:val="24"/>
        </w:rPr>
        <w:t xml:space="preserve">perante con tecnologie basate su registri distribuiti o su registri elettronici, conforme alle caratteristiche stabilite </w:t>
      </w:r>
      <w:r w:rsidR="00DE121F" w:rsidRPr="00AF481C">
        <w:rPr>
          <w:rFonts w:ascii="Titillium" w:hAnsi="Titillium" w:cs="Calibri"/>
          <w:sz w:val="18"/>
          <w:szCs w:val="24"/>
        </w:rPr>
        <w:t>dall’AgID;</w:t>
      </w:r>
    </w:p>
    <w:p w:rsidR="009B11FA" w:rsidRPr="00AF481C" w:rsidRDefault="00AE28AD" w:rsidP="00BE4F13">
      <w:pPr>
        <w:pStyle w:val="Paragrafoelenco"/>
        <w:numPr>
          <w:ilvl w:val="1"/>
          <w:numId w:val="46"/>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verificabile telematicamente presso </w:t>
      </w:r>
      <w:r w:rsidR="00F755A3" w:rsidRPr="00AF481C">
        <w:rPr>
          <w:rFonts w:ascii="Titillium" w:hAnsi="Titillium" w:cs="Calibri"/>
          <w:sz w:val="18"/>
          <w:szCs w:val="24"/>
        </w:rPr>
        <w:t>l’emittente</w:t>
      </w:r>
      <w:r w:rsidR="00A37B11" w:rsidRPr="00AF481C">
        <w:rPr>
          <w:rFonts w:ascii="Titillium" w:hAnsi="Titillium" w:cs="Calibri"/>
          <w:sz w:val="18"/>
          <w:szCs w:val="24"/>
        </w:rPr>
        <w:t>;</w:t>
      </w:r>
    </w:p>
    <w:p w:rsidR="00E810E7" w:rsidRPr="00AF481C" w:rsidRDefault="00F755A3" w:rsidP="00AE28AD">
      <w:pPr>
        <w:spacing w:before="60" w:after="60"/>
        <w:ind w:left="66"/>
        <w:rPr>
          <w:rFonts w:ascii="Titillium" w:hAnsi="Titillium" w:cs="Calibri"/>
          <w:sz w:val="18"/>
          <w:szCs w:val="24"/>
        </w:rPr>
      </w:pPr>
      <w:r w:rsidRPr="00AF481C">
        <w:rPr>
          <w:rFonts w:ascii="Titillium" w:hAnsi="Titillium" w:cs="Calibri"/>
          <w:sz w:val="18"/>
          <w:szCs w:val="24"/>
        </w:rPr>
        <w:t>indicando</w:t>
      </w:r>
      <w:r w:rsidR="00AE28AD" w:rsidRPr="00AF481C">
        <w:rPr>
          <w:rFonts w:ascii="Titillium" w:hAnsi="Titillium" w:cs="Calibri"/>
          <w:sz w:val="18"/>
          <w:szCs w:val="24"/>
        </w:rPr>
        <w:t xml:space="preserve"> nella domanda le modalità di verifica messe a disposizione dall’emittente medesimo. </w:t>
      </w:r>
    </w:p>
    <w:p w:rsidR="00AE28AD" w:rsidRPr="00AF481C" w:rsidRDefault="00AE28AD" w:rsidP="00AE28AD">
      <w:pPr>
        <w:spacing w:before="60" w:after="60"/>
        <w:rPr>
          <w:rFonts w:ascii="Titillium" w:hAnsi="Titillium" w:cs="Calibri"/>
          <w:sz w:val="18"/>
          <w:szCs w:val="18"/>
        </w:rPr>
      </w:pPr>
    </w:p>
    <w:p w:rsidR="00AE28AD" w:rsidRPr="00AF481C" w:rsidRDefault="00AE28AD" w:rsidP="00AE28AD">
      <w:pPr>
        <w:spacing w:before="60" w:after="60"/>
      </w:pPr>
      <w:r w:rsidRPr="00AF481C">
        <w:rPr>
          <w:rFonts w:ascii="Titillium" w:hAnsi="Titillium" w:cs="Calibri"/>
          <w:sz w:val="18"/>
          <w:szCs w:val="18"/>
        </w:rPr>
        <w:t>La fideiussione deve:</w:t>
      </w:r>
    </w:p>
    <w:p w:rsidR="00AE28AD" w:rsidRPr="00AF481C" w:rsidRDefault="00AE28AD" w:rsidP="00BE4F13">
      <w:pPr>
        <w:numPr>
          <w:ilvl w:val="2"/>
          <w:numId w:val="22"/>
        </w:numPr>
        <w:spacing w:before="60" w:after="60"/>
        <w:ind w:left="284" w:hanging="284"/>
        <w:rPr>
          <w:rFonts w:ascii="Titillium" w:hAnsi="Titillium" w:cs="Calibri"/>
          <w:sz w:val="18"/>
          <w:szCs w:val="18"/>
        </w:rPr>
      </w:pPr>
      <w:r w:rsidRPr="00AF481C">
        <w:rPr>
          <w:rFonts w:ascii="Titillium" w:hAnsi="Titillium" w:cs="Calibri"/>
          <w:sz w:val="18"/>
          <w:szCs w:val="18"/>
        </w:rPr>
        <w:t>contenere espressa menzione dell’oggetto del contratto di appalto e del soggetto garantito (stazione appaltante);</w:t>
      </w:r>
    </w:p>
    <w:p w:rsidR="00AE28AD" w:rsidRPr="00AF481C" w:rsidRDefault="00AE28AD" w:rsidP="00BE4F13">
      <w:pPr>
        <w:numPr>
          <w:ilvl w:val="2"/>
          <w:numId w:val="22"/>
        </w:numPr>
        <w:spacing w:before="60" w:after="60"/>
        <w:ind w:left="284" w:hanging="284"/>
        <w:rPr>
          <w:rFonts w:ascii="Titillium" w:hAnsi="Titillium" w:cs="Calibri"/>
          <w:sz w:val="18"/>
          <w:szCs w:val="18"/>
        </w:rPr>
      </w:pPr>
      <w:r w:rsidRPr="00AF481C">
        <w:rPr>
          <w:rFonts w:ascii="Titillium" w:hAnsi="Titillium" w:cs="Calibri"/>
          <w:sz w:val="18"/>
          <w:szCs w:val="18"/>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rsidR="00AE28AD" w:rsidRPr="00AF481C" w:rsidRDefault="00AE28AD" w:rsidP="00BE4F13">
      <w:pPr>
        <w:numPr>
          <w:ilvl w:val="2"/>
          <w:numId w:val="22"/>
        </w:numPr>
        <w:spacing w:before="60" w:after="60"/>
        <w:ind w:left="284" w:hanging="284"/>
        <w:rPr>
          <w:rFonts w:ascii="Titillium" w:hAnsi="Titillium" w:cs="Calibri"/>
          <w:sz w:val="18"/>
          <w:szCs w:val="18"/>
        </w:rPr>
      </w:pPr>
      <w:r w:rsidRPr="00AF481C">
        <w:rPr>
          <w:rFonts w:ascii="Titillium" w:hAnsi="Titillium" w:cs="Calibri"/>
          <w:sz w:val="18"/>
          <w:szCs w:val="18"/>
        </w:rPr>
        <w:t>essere conforme allo schema tipo approvato con decreto del Ministro dello sviluppo economico del 16 settembre 2022 n. 193;</w:t>
      </w:r>
    </w:p>
    <w:p w:rsidR="00AE28AD" w:rsidRPr="00AF481C" w:rsidRDefault="00AE28AD" w:rsidP="00BE4F13">
      <w:pPr>
        <w:numPr>
          <w:ilvl w:val="2"/>
          <w:numId w:val="22"/>
        </w:numPr>
        <w:spacing w:before="60" w:after="60"/>
        <w:ind w:left="284" w:hanging="284"/>
      </w:pPr>
      <w:r w:rsidRPr="00AF481C">
        <w:rPr>
          <w:rFonts w:ascii="Titillium" w:hAnsi="Titillium" w:cs="Calibri"/>
          <w:sz w:val="18"/>
          <w:szCs w:val="18"/>
        </w:rPr>
        <w:t xml:space="preserve">avere validità per </w:t>
      </w:r>
      <w:r w:rsidR="00876C49">
        <w:rPr>
          <w:rFonts w:ascii="Titillium" w:hAnsi="Titillium" w:cs="Calibri"/>
          <w:i/>
          <w:sz w:val="18"/>
          <w:szCs w:val="18"/>
        </w:rPr>
        <w:t>almeno 180</w:t>
      </w:r>
      <w:r w:rsidRPr="00AF481C">
        <w:rPr>
          <w:rFonts w:ascii="Titillium" w:hAnsi="Titillium" w:cs="Calibri"/>
          <w:sz w:val="18"/>
          <w:szCs w:val="18"/>
        </w:rPr>
        <w:t xml:space="preserve">giornidalla data di presentazione dell’offerta; </w:t>
      </w:r>
    </w:p>
    <w:p w:rsidR="00AE28AD" w:rsidRPr="00AF481C" w:rsidRDefault="00AE28AD" w:rsidP="00BE4F13">
      <w:pPr>
        <w:numPr>
          <w:ilvl w:val="2"/>
          <w:numId w:val="22"/>
        </w:numPr>
        <w:spacing w:before="60" w:after="60"/>
        <w:ind w:left="284" w:hanging="284"/>
        <w:rPr>
          <w:rFonts w:ascii="Titillium" w:hAnsi="Titillium" w:cs="Calibri"/>
          <w:sz w:val="18"/>
          <w:szCs w:val="18"/>
        </w:rPr>
      </w:pPr>
      <w:r w:rsidRPr="00AF481C">
        <w:rPr>
          <w:rFonts w:ascii="Titillium" w:hAnsi="Titillium" w:cs="Calibri"/>
          <w:sz w:val="18"/>
          <w:szCs w:val="18"/>
        </w:rPr>
        <w:t xml:space="preserve">prevedere espressamente: </w:t>
      </w:r>
    </w:p>
    <w:p w:rsidR="00AE28AD" w:rsidRPr="00AF481C" w:rsidRDefault="00AE28AD" w:rsidP="00BE4F13">
      <w:pPr>
        <w:numPr>
          <w:ilvl w:val="3"/>
          <w:numId w:val="22"/>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al beneficio della preventiva escussione del debitore principale di cui all’articolo 1944 del Codice civile; </w:t>
      </w:r>
    </w:p>
    <w:p w:rsidR="00AE28AD" w:rsidRPr="00AF481C" w:rsidRDefault="00AE28AD" w:rsidP="00BE4F13">
      <w:pPr>
        <w:numPr>
          <w:ilvl w:val="3"/>
          <w:numId w:val="22"/>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ad eccepire la decorrenza dei termini di cui all’articolo 1957, secondo comma, del Codice civile; </w:t>
      </w:r>
    </w:p>
    <w:p w:rsidR="006F04F1" w:rsidRDefault="00AE28AD" w:rsidP="00BE4F13">
      <w:pPr>
        <w:numPr>
          <w:ilvl w:val="3"/>
          <w:numId w:val="22"/>
        </w:numPr>
        <w:spacing w:before="60" w:after="60"/>
        <w:ind w:left="709" w:hanging="425"/>
      </w:pPr>
      <w:r w:rsidRPr="00AF481C">
        <w:rPr>
          <w:rFonts w:ascii="Titillium" w:hAnsi="Titillium" w:cs="Calibri"/>
          <w:sz w:val="18"/>
          <w:szCs w:val="18"/>
        </w:rPr>
        <w:t xml:space="preserve">l’operatività della stessa entro quindici giorni a semplice richiesta scritta della stazione appaltante. </w:t>
      </w:r>
      <w:bookmarkStart w:id="1651" w:name="_Ref496519438"/>
    </w:p>
    <w:p w:rsidR="00AE28AD" w:rsidRPr="00AF481C" w:rsidRDefault="006F04F1" w:rsidP="006F04F1">
      <w:pPr>
        <w:spacing w:before="60" w:after="60"/>
      </w:pPr>
      <w:r>
        <w:t xml:space="preserve">f) </w:t>
      </w:r>
      <w:r w:rsidR="00AE28AD" w:rsidRPr="006F04F1">
        <w:rPr>
          <w:rFonts w:ascii="Titillium" w:hAnsi="Titillium" w:cs="Calibri"/>
          <w:sz w:val="18"/>
          <w:szCs w:val="18"/>
        </w:rPr>
        <w:t xml:space="preserve">essere corredata dall’impegno del garante a rinnovare la garanzia ai sensi dell’articolo 106, comma 5 del Codice, su richiesta della stazione appaltante per ulteriori </w:t>
      </w:r>
      <w:r w:rsidRPr="006F04F1">
        <w:rPr>
          <w:rFonts w:ascii="Titillium" w:hAnsi="Titillium" w:cs="Calibri"/>
          <w:b/>
          <w:i/>
          <w:iCs/>
          <w:sz w:val="18"/>
          <w:szCs w:val="18"/>
        </w:rPr>
        <w:t>180</w:t>
      </w:r>
      <w:r w:rsidR="004B2158">
        <w:rPr>
          <w:rFonts w:ascii="Titillium" w:hAnsi="Titillium" w:cs="Calibri"/>
          <w:b/>
          <w:i/>
          <w:iCs/>
          <w:sz w:val="18"/>
          <w:szCs w:val="18"/>
        </w:rPr>
        <w:t xml:space="preserve"> </w:t>
      </w:r>
      <w:r w:rsidR="00AE28AD" w:rsidRPr="006F04F1">
        <w:rPr>
          <w:rFonts w:ascii="Titillium" w:hAnsi="Titillium" w:cs="Calibri"/>
          <w:sz w:val="18"/>
          <w:szCs w:val="18"/>
        </w:rPr>
        <w:t>giorni, nel caso in cui al momento della sua scadenza non sia ancora intervenuta l’aggiudicazione</w:t>
      </w:r>
      <w:bookmarkEnd w:id="1651"/>
      <w:r w:rsidR="00AE28AD" w:rsidRPr="006F04F1">
        <w:rPr>
          <w:rFonts w:ascii="Titillium" w:hAnsi="Titillium" w:cs="Calibri"/>
          <w:sz w:val="18"/>
          <w:szCs w:val="18"/>
        </w:rPr>
        <w:t>.</w:t>
      </w:r>
    </w:p>
    <w:p w:rsidR="00AE28AD" w:rsidRPr="00AF481C" w:rsidRDefault="00AE28AD" w:rsidP="00AE28AD">
      <w:pPr>
        <w:spacing w:before="120" w:after="60"/>
      </w:pPr>
      <w:r w:rsidRPr="00AF481C">
        <w:rPr>
          <w:rFonts w:ascii="Titillium" w:hAnsi="Titillium" w:cs="Calibri"/>
          <w:sz w:val="18"/>
          <w:szCs w:val="18"/>
        </w:rPr>
        <w:t xml:space="preserve">In caso di richiesta di estensione della durata e validità dell’offerta e della garanzia fideiussoria, il concorrente </w:t>
      </w:r>
      <w:r w:rsidRPr="00AF481C">
        <w:rPr>
          <w:rFonts w:ascii="Titillium" w:hAnsi="Titillium" w:cs="Calibri"/>
          <w:color w:val="000000" w:themeColor="text1"/>
          <w:sz w:val="18"/>
          <w:szCs w:val="18"/>
        </w:rPr>
        <w:t xml:space="preserve">potrà produrre </w:t>
      </w:r>
      <w:r w:rsidRPr="00AF481C">
        <w:rPr>
          <w:rFonts w:ascii="Titillium" w:hAnsi="Titillium" w:cs="Calibri"/>
          <w:sz w:val="18"/>
          <w:szCs w:val="18"/>
        </w:rPr>
        <w:t>nelle medesime forme di cui sopra una nuova garanzia provvisoria del medesimo o di altro garante, in sostituzione della precedente, a condizione che abbia espressa decorrenza dalla data di presentazione dell’offerta.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Ai sensi dell’art</w:t>
      </w:r>
      <w:r w:rsidR="00E810E7" w:rsidRPr="00AF481C">
        <w:rPr>
          <w:rFonts w:ascii="Titillium" w:hAnsi="Titillium" w:cs="Calibri"/>
          <w:sz w:val="18"/>
          <w:szCs w:val="18"/>
        </w:rPr>
        <w:t>icolo</w:t>
      </w:r>
      <w:r w:rsidRPr="00AF481C">
        <w:rPr>
          <w:rFonts w:ascii="Titillium" w:hAnsi="Titillium" w:cs="Calibri"/>
          <w:sz w:val="18"/>
          <w:szCs w:val="18"/>
        </w:rPr>
        <w:t xml:space="preserve"> 106, comma 8, del Codice l’importo della garanzia è ridotto nei termini di seguito indicati.</w:t>
      </w:r>
    </w:p>
    <w:p w:rsidR="00AE28AD" w:rsidRPr="00AF481C" w:rsidRDefault="00AE28AD" w:rsidP="00BE4F13">
      <w:pPr>
        <w:pStyle w:val="Paragrafoelenco"/>
        <w:numPr>
          <w:ilvl w:val="1"/>
          <w:numId w:val="37"/>
        </w:numPr>
        <w:spacing w:before="60" w:after="60"/>
        <w:ind w:left="284"/>
        <w:contextualSpacing w:val="0"/>
        <w:rPr>
          <w:rFonts w:ascii="Titillium" w:hAnsi="Titillium" w:cs="Calibri"/>
          <w:sz w:val="18"/>
          <w:szCs w:val="18"/>
        </w:rPr>
      </w:pPr>
      <w:r w:rsidRPr="00AF481C">
        <w:rPr>
          <w:rFonts w:ascii="Titillium" w:hAnsi="Titillium" w:cs="Calibri"/>
          <w:sz w:val="18"/>
          <w:szCs w:val="18"/>
        </w:rPr>
        <w:lastRenderedPageBreak/>
        <w:t>Riduzione del 30% in caso di possesso della certificazione di qualità conforme alle norme europee della serie UNI CEI ISO 9000. In caso di partecipazione in forma associata, la riduzione si ottiene:</w:t>
      </w:r>
    </w:p>
    <w:p w:rsidR="00AE28AD" w:rsidRPr="00AF481C" w:rsidRDefault="00AE28AD" w:rsidP="00BE4F13">
      <w:pPr>
        <w:pStyle w:val="Paragrafoelenco"/>
        <w:numPr>
          <w:ilvl w:val="1"/>
          <w:numId w:val="24"/>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solo se tutti soggetti</w:t>
      </w:r>
      <w:r w:rsidR="0047379B" w:rsidRPr="00AF481C">
        <w:rPr>
          <w:rFonts w:ascii="Titillium" w:hAnsi="Titillium" w:cs="Calibri"/>
          <w:sz w:val="18"/>
          <w:szCs w:val="18"/>
        </w:rPr>
        <w:t xml:space="preserve"> i</w:t>
      </w:r>
      <w:r w:rsidRPr="00AF481C">
        <w:rPr>
          <w:rFonts w:ascii="Titillium" w:hAnsi="Titillium" w:cs="Calibri"/>
          <w:sz w:val="18"/>
          <w:szCs w:val="18"/>
        </w:rPr>
        <w:t xml:space="preserve"> che costituiscono il raggruppamento, consorzio ordinario o GEIE, o tutte le imprese retiste che partecipano alla gara siano in possesso della certificazione;</w:t>
      </w:r>
    </w:p>
    <w:p w:rsidR="00AE28AD" w:rsidRPr="00AF481C" w:rsidRDefault="00AE28AD" w:rsidP="00BE4F13">
      <w:pPr>
        <w:pStyle w:val="Paragrafoelenco"/>
        <w:numPr>
          <w:ilvl w:val="1"/>
          <w:numId w:val="24"/>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consorzi di cui all’articolo 65, comma 2, letter</w:t>
      </w:r>
      <w:r w:rsidR="000D3274" w:rsidRPr="00AF481C">
        <w:rPr>
          <w:rFonts w:ascii="Titillium" w:hAnsi="Titillium" w:cs="Calibri"/>
          <w:sz w:val="18"/>
          <w:szCs w:val="18"/>
        </w:rPr>
        <w:t xml:space="preserve">e b, c) </w:t>
      </w:r>
      <w:r w:rsidR="00E810E7" w:rsidRPr="00AF481C">
        <w:rPr>
          <w:rFonts w:ascii="Titillium" w:hAnsi="Titillium" w:cs="Calibri"/>
          <w:sz w:val="18"/>
          <w:szCs w:val="18"/>
        </w:rPr>
        <w:t>e d</w:t>
      </w:r>
      <w:r w:rsidRPr="00AF481C">
        <w:rPr>
          <w:rFonts w:ascii="Titillium" w:hAnsi="Titillium" w:cs="Calibri"/>
          <w:sz w:val="18"/>
          <w:szCs w:val="18"/>
        </w:rPr>
        <w:t xml:space="preserve">) del Codice se </w:t>
      </w:r>
      <w:r w:rsidR="00B16E4E" w:rsidRPr="00AF481C">
        <w:rPr>
          <w:rFonts w:ascii="Titillium" w:hAnsi="Titillium" w:cs="Calibri"/>
          <w:sz w:val="18"/>
          <w:szCs w:val="18"/>
        </w:rPr>
        <w:t xml:space="preserve">il consorzio o </w:t>
      </w:r>
      <w:r w:rsidRPr="00AF481C">
        <w:rPr>
          <w:rFonts w:ascii="Titillium" w:hAnsi="Titillium" w:cs="Calibri"/>
          <w:sz w:val="18"/>
          <w:szCs w:val="18"/>
        </w:rPr>
        <w:t>almeno una delle imprese consorziate sia in possesso della certificazione</w:t>
      </w:r>
      <w:r w:rsidR="008A1674" w:rsidRPr="00AF481C">
        <w:rPr>
          <w:rFonts w:ascii="Titillium" w:hAnsi="Titillium" w:cs="Calibri"/>
          <w:sz w:val="18"/>
          <w:szCs w:val="18"/>
        </w:rPr>
        <w:t>.</w:t>
      </w:r>
    </w:p>
    <w:p w:rsidR="00AE28AD" w:rsidRPr="00AF481C" w:rsidRDefault="00AE28AD" w:rsidP="00BE4F13">
      <w:pPr>
        <w:pStyle w:val="Paragrafoelenco"/>
        <w:numPr>
          <w:ilvl w:val="1"/>
          <w:numId w:val="37"/>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rsidR="00AE28AD" w:rsidRPr="00AF481C" w:rsidRDefault="00AE28AD" w:rsidP="00BE4F13">
      <w:pPr>
        <w:pStyle w:val="Paragrafoelenco"/>
        <w:numPr>
          <w:ilvl w:val="1"/>
          <w:numId w:val="37"/>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10% cumulabile con quelle di cui alle precedenti lettere a) e b) in caso di presentazione di garanzie fideiussorie:</w:t>
      </w:r>
    </w:p>
    <w:p w:rsidR="00AE28AD" w:rsidRPr="00AF481C" w:rsidRDefault="00AE28AD" w:rsidP="00BE4F13">
      <w:pPr>
        <w:pStyle w:val="Paragrafoelenco"/>
        <w:numPr>
          <w:ilvl w:val="0"/>
          <w:numId w:val="39"/>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gestite mediante ricorso a piattaforme telematiche operanti con tecnologie basate su registri distribuiti</w:t>
      </w:r>
      <w:r w:rsidRPr="00AF481C">
        <w:rPr>
          <w:rFonts w:ascii="Calibri" w:hAnsi="Calibri" w:cs="Calibri"/>
          <w:sz w:val="18"/>
          <w:szCs w:val="18"/>
        </w:rPr>
        <w:t>;</w:t>
      </w:r>
    </w:p>
    <w:p w:rsidR="00AE28AD" w:rsidRPr="00AF481C" w:rsidRDefault="00AE28AD" w:rsidP="00BE4F13">
      <w:pPr>
        <w:pStyle w:val="Paragrafoelenco"/>
        <w:numPr>
          <w:ilvl w:val="0"/>
          <w:numId w:val="39"/>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verificabili telematicamente sul sito internet dell'emittente</w:t>
      </w:r>
      <w:r w:rsidR="00F755A3" w:rsidRPr="00AF481C">
        <w:rPr>
          <w:rFonts w:ascii="Titillium" w:hAnsi="Titillium" w:cs="Calibri"/>
          <w:sz w:val="18"/>
          <w:szCs w:val="18"/>
        </w:rPr>
        <w:t>.</w:t>
      </w:r>
    </w:p>
    <w:p w:rsidR="00AE28AD" w:rsidRPr="00AF481C" w:rsidRDefault="00AE28AD" w:rsidP="00BE4F13">
      <w:pPr>
        <w:pStyle w:val="Paragrafoelenco"/>
        <w:numPr>
          <w:ilvl w:val="1"/>
          <w:numId w:val="37"/>
        </w:numPr>
        <w:spacing w:before="60" w:after="60"/>
        <w:ind w:left="284"/>
        <w:contextualSpacing w:val="0"/>
        <w:rPr>
          <w:rFonts w:ascii="Titillium" w:hAnsi="Titillium" w:cs="Calibri"/>
          <w:sz w:val="18"/>
          <w:szCs w:val="18"/>
        </w:rPr>
      </w:pPr>
      <w:r w:rsidRPr="00AF481C">
        <w:rPr>
          <w:rFonts w:ascii="Titillium" w:hAnsi="Titillium" w:cs="Calibri"/>
          <w:sz w:val="18"/>
          <w:szCs w:val="18"/>
        </w:rPr>
        <w:t xml:space="preserve">Riduzione del </w:t>
      </w:r>
      <w:r w:rsidR="006F04F1" w:rsidRPr="00876C49">
        <w:rPr>
          <w:rFonts w:ascii="Titillium" w:hAnsi="Titillium" w:cs="Calibri"/>
          <w:sz w:val="18"/>
          <w:szCs w:val="18"/>
        </w:rPr>
        <w:t>20</w:t>
      </w:r>
      <w:r w:rsidRPr="00876C49">
        <w:rPr>
          <w:rFonts w:ascii="Titillium" w:hAnsi="Titillium" w:cs="Calibri"/>
          <w:sz w:val="18"/>
          <w:szCs w:val="18"/>
        </w:rPr>
        <w:t xml:space="preserve"> % in caso di possesso di una o più delle seguenti certificazioni/marchi</w:t>
      </w:r>
      <w:r w:rsidRPr="00876C49">
        <w:rPr>
          <w:rFonts w:ascii="Titillium" w:hAnsi="Titillium" w:cs="Calibri"/>
          <w:i/>
          <w:iCs/>
          <w:sz w:val="18"/>
          <w:szCs w:val="18"/>
        </w:rPr>
        <w:t xml:space="preserve"> all’allegato II.13 del codice</w:t>
      </w:r>
      <w:r w:rsidRPr="00AF481C">
        <w:rPr>
          <w:rFonts w:ascii="Titillium" w:hAnsi="Titillium" w:cs="Calibri"/>
          <w:sz w:val="18"/>
          <w:szCs w:val="18"/>
        </w:rPr>
        <w:t>. Tale riduzione è cumulabile con quelle indicate alle lett. a), b) e c). In caso di partecipazione in forma associata la riduzione si ottiene:</w:t>
      </w:r>
    </w:p>
    <w:p w:rsidR="00AE28AD" w:rsidRPr="00AF481C" w:rsidRDefault="00AE28AD" w:rsidP="00BE4F13">
      <w:pPr>
        <w:pStyle w:val="Paragrafoelenco"/>
        <w:numPr>
          <w:ilvl w:val="1"/>
          <w:numId w:val="24"/>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se uno dei soggetti che costituiscono il raggruppamento, consorzio ordinario o GEIE, o una delle imprese retiste che partecipano alla gara sia in possesso della certificazione;</w:t>
      </w:r>
    </w:p>
    <w:p w:rsidR="00AE28AD" w:rsidRPr="00AF481C" w:rsidRDefault="00AE28AD" w:rsidP="00BE4F13">
      <w:pPr>
        <w:pStyle w:val="Paragrafoelenco"/>
        <w:numPr>
          <w:ilvl w:val="1"/>
          <w:numId w:val="24"/>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 xml:space="preserve">per i consorzi di cui all’articolo 65, comma 2, lettere b), c), d) del Codice se il consorzio o una delle consorziate sia in possesso della certificazione.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rsidR="006D2DAB" w:rsidRPr="00AF481C" w:rsidRDefault="006D2DAB" w:rsidP="00AE28AD">
      <w:pPr>
        <w:spacing w:before="60" w:after="60"/>
      </w:pPr>
    </w:p>
    <w:p w:rsidR="00AE28AD" w:rsidRDefault="00AE28AD" w:rsidP="00604C9A">
      <w:pPr>
        <w:pStyle w:val="Titolo2"/>
        <w:numPr>
          <w:ilvl w:val="0"/>
          <w:numId w:val="3"/>
        </w:numPr>
      </w:pPr>
      <w:bookmarkStart w:id="1652" w:name="_Toc223087482"/>
      <w:r w:rsidRPr="00AF481C">
        <w:t>SOPRALLUOGO</w:t>
      </w:r>
      <w:bookmarkEnd w:id="1652"/>
    </w:p>
    <w:p w:rsidR="00BF38B2" w:rsidRPr="00BF38B2" w:rsidRDefault="00BF38B2" w:rsidP="00BF38B2">
      <w:pPr>
        <w:rPr>
          <w:rFonts w:ascii="Titillium" w:hAnsi="Titillium" w:cs="Calibri"/>
          <w:sz w:val="18"/>
          <w:szCs w:val="18"/>
        </w:rPr>
      </w:pPr>
      <w:r w:rsidRPr="00BF38B2">
        <w:rPr>
          <w:rFonts w:ascii="Titillium" w:hAnsi="Titillium" w:cs="Calibri"/>
          <w:sz w:val="18"/>
          <w:szCs w:val="18"/>
        </w:rPr>
        <w:t>Non previsto</w:t>
      </w:r>
    </w:p>
    <w:p w:rsidR="006D2DAB" w:rsidRPr="00AF481C" w:rsidRDefault="006D2DAB" w:rsidP="002268BB"/>
    <w:p w:rsidR="00AE28AD" w:rsidRPr="00AF481C" w:rsidRDefault="00AE28AD" w:rsidP="00604C9A">
      <w:pPr>
        <w:pStyle w:val="Titolo2"/>
        <w:numPr>
          <w:ilvl w:val="0"/>
          <w:numId w:val="3"/>
        </w:numPr>
      </w:pPr>
      <w:bookmarkStart w:id="1653" w:name="_Toc223087483"/>
      <w:r w:rsidRPr="00AF481C">
        <w:t>PAGAMENTO DEL CONTRIBUTO A FAVORE DELL’</w:t>
      </w:r>
      <w:r w:rsidRPr="00AF481C">
        <w:rPr>
          <w:rFonts w:cs="Calibri"/>
        </w:rPr>
        <w:t>ANAC</w:t>
      </w:r>
      <w:bookmarkStart w:id="1654" w:name="_Toc416423364"/>
      <w:bookmarkStart w:id="1655" w:name="_Toc406754179"/>
      <w:bookmarkStart w:id="1656" w:name="_Toc406058378"/>
      <w:bookmarkStart w:id="1657" w:name="_Toc403471272"/>
      <w:bookmarkStart w:id="1658" w:name="_Toc397422865"/>
      <w:bookmarkStart w:id="1659" w:name="_Toc397346824"/>
      <w:bookmarkStart w:id="1660" w:name="_Toc393706909"/>
      <w:bookmarkStart w:id="1661" w:name="_Toc393700836"/>
      <w:bookmarkStart w:id="1662" w:name="_Toc393283177"/>
      <w:bookmarkStart w:id="1663" w:name="_Toc393272661"/>
      <w:bookmarkStart w:id="1664" w:name="_Toc393272603"/>
      <w:bookmarkStart w:id="1665" w:name="_Toc393187847"/>
      <w:bookmarkStart w:id="1666" w:name="_Toc393112130"/>
      <w:bookmarkStart w:id="1667" w:name="_Toc393110566"/>
      <w:bookmarkStart w:id="1668" w:name="_Toc392577499"/>
      <w:bookmarkStart w:id="1669" w:name="_Toc391036058"/>
      <w:bookmarkStart w:id="1670" w:name="_Toc391035985"/>
      <w:bookmarkStart w:id="1671" w:name="_Toc380501872"/>
      <w:bookmarkStart w:id="1672" w:name="_Toc354038185"/>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rsidR="009614ED" w:rsidRPr="00AF481C" w:rsidRDefault="00AE28AD" w:rsidP="00AE28AD">
      <w:pPr>
        <w:spacing w:before="60" w:after="60"/>
        <w:rPr>
          <w:rFonts w:ascii="Titillium" w:hAnsi="Titillium"/>
          <w:i/>
          <w:sz w:val="18"/>
          <w:szCs w:val="18"/>
        </w:rPr>
      </w:pPr>
      <w:r w:rsidRPr="00AF481C">
        <w:rPr>
          <w:rFonts w:ascii="Titillium" w:hAnsi="Titillium" w:cs="Calibri"/>
          <w:sz w:val="18"/>
          <w:szCs w:val="18"/>
        </w:rPr>
        <w:t xml:space="preserve">I concorrenti effettuano il pagamento del contributo previsto dalla legge in favore dell’Autorità Nazionale Anticorruzione per un importo pari a </w:t>
      </w:r>
      <w:r w:rsidRPr="00DD6B6F">
        <w:rPr>
          <w:rFonts w:ascii="Titillium" w:hAnsi="Titillium" w:cs="Calibri"/>
          <w:b/>
          <w:sz w:val="18"/>
          <w:szCs w:val="18"/>
        </w:rPr>
        <w:t xml:space="preserve">€ </w:t>
      </w:r>
      <w:r w:rsidR="00037DB4">
        <w:rPr>
          <w:rFonts w:ascii="Titillium" w:hAnsi="Titillium" w:cs="Calibri"/>
          <w:b/>
          <w:sz w:val="18"/>
          <w:szCs w:val="18"/>
        </w:rPr>
        <w:t>165</w:t>
      </w:r>
      <w:r w:rsidR="00DD6B6F" w:rsidRPr="00DD6B6F">
        <w:rPr>
          <w:rFonts w:ascii="Titillium" w:hAnsi="Titillium" w:cs="Calibri"/>
          <w:b/>
          <w:sz w:val="18"/>
          <w:szCs w:val="18"/>
        </w:rPr>
        <w:t>,00</w:t>
      </w:r>
      <w:r w:rsidRPr="00AF481C">
        <w:rPr>
          <w:rFonts w:ascii="Titillium" w:hAnsi="Titillium" w:cs="Calibri"/>
          <w:sz w:val="18"/>
          <w:szCs w:val="18"/>
        </w:rPr>
        <w:t xml:space="preserve"> secondo le modalità di cui alla delibera ANAC </w:t>
      </w:r>
      <w:r w:rsidR="00B07443" w:rsidRPr="00AF481C">
        <w:rPr>
          <w:rFonts w:ascii="Titillium" w:hAnsi="Titillium" w:cs="Calibri"/>
          <w:i/>
          <w:sz w:val="18"/>
          <w:szCs w:val="18"/>
        </w:rPr>
        <w:t>n</w:t>
      </w:r>
      <w:r w:rsidR="00B07443" w:rsidRPr="00A2152C">
        <w:rPr>
          <w:rFonts w:ascii="Titillium" w:hAnsi="Titillium" w:cs="Calibri"/>
          <w:sz w:val="18"/>
          <w:szCs w:val="18"/>
        </w:rPr>
        <w:t xml:space="preserve">. 598 del 30 dicembre 2024 </w:t>
      </w:r>
      <w:r w:rsidRPr="00A2152C">
        <w:rPr>
          <w:rFonts w:ascii="Titillium" w:hAnsi="Titillium"/>
          <w:sz w:val="18"/>
          <w:szCs w:val="18"/>
        </w:rPr>
        <w:t xml:space="preserve">o successiva delibera pubblicata al seguente </w:t>
      </w:r>
      <w:hyperlink r:id="rId18" w:history="1">
        <w:r w:rsidRPr="00A2152C">
          <w:rPr>
            <w:rStyle w:val="Collegamentoipertestuale"/>
            <w:rFonts w:ascii="Titillium" w:hAnsi="Titillium"/>
            <w:sz w:val="18"/>
            <w:szCs w:val="18"/>
          </w:rPr>
          <w:t>https://www.anticorruzione.it/-/gestione-contributi-gara</w:t>
        </w:r>
      </w:hyperlink>
      <w:r w:rsidRPr="00A2152C">
        <w:rPr>
          <w:rFonts w:ascii="Titillium" w:hAnsi="Titillium"/>
          <w:sz w:val="18"/>
          <w:szCs w:val="18"/>
        </w:rPr>
        <w:t>.</w:t>
      </w:r>
    </w:p>
    <w:p w:rsidR="009614E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rsidR="00AE28A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9E18B0" w:rsidRPr="00AF481C">
        <w:rPr>
          <w:rFonts w:ascii="Titillium" w:hAnsi="Titillium"/>
          <w:iCs/>
          <w:sz w:val="18"/>
          <w:szCs w:val="18"/>
        </w:rPr>
        <w:t>del p</w:t>
      </w:r>
      <w:r w:rsidRPr="00AF481C">
        <w:rPr>
          <w:rFonts w:ascii="Titillium" w:hAnsi="Titillium"/>
          <w:iCs/>
          <w:sz w:val="18"/>
          <w:szCs w:val="18"/>
        </w:rPr>
        <w:t xml:space="preserve">agamento. In caso di mancata regolarizzazione nel termine assegnato, l’offerta è dichiarata inammissibile.  </w:t>
      </w:r>
    </w:p>
    <w:p w:rsidR="009530CA"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rsidR="00014F84"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3936DB" w:rsidRPr="00AF481C">
        <w:rPr>
          <w:rFonts w:ascii="Titillium" w:hAnsi="Titillium"/>
          <w:iCs/>
          <w:sz w:val="18"/>
          <w:szCs w:val="18"/>
        </w:rPr>
        <w:t xml:space="preserve">del </w:t>
      </w:r>
      <w:r w:rsidRPr="00AF481C">
        <w:rPr>
          <w:rFonts w:ascii="Titillium" w:hAnsi="Titillium"/>
          <w:iCs/>
          <w:sz w:val="18"/>
          <w:szCs w:val="18"/>
        </w:rPr>
        <w:lastRenderedPageBreak/>
        <w:t xml:space="preserve">pagamento. In caso di mancata regolarizzazione nel termine assegnato, l’offerta è dichiarata inammissibile.  </w:t>
      </w:r>
    </w:p>
    <w:p w:rsidR="00014F84" w:rsidRPr="00AF481C" w:rsidRDefault="00014F84" w:rsidP="00014F84">
      <w:pPr>
        <w:spacing w:before="60" w:after="60"/>
        <w:rPr>
          <w:rFonts w:ascii="Titillium" w:hAnsi="Titillium" w:cs="Calibri"/>
          <w:sz w:val="18"/>
          <w:szCs w:val="18"/>
        </w:rPr>
      </w:pPr>
    </w:p>
    <w:tbl>
      <w:tblPr>
        <w:tblW w:w="9210" w:type="dxa"/>
        <w:tblInd w:w="-108" w:type="dxa"/>
        <w:tblLook w:val="04A0"/>
      </w:tblPr>
      <w:tblGrid>
        <w:gridCol w:w="9210"/>
      </w:tblGrid>
      <w:tr w:rsidR="00014F84" w:rsidRPr="00AF481C" w:rsidTr="00F3762C">
        <w:tc>
          <w:tcPr>
            <w:tcW w:w="9210" w:type="dxa"/>
            <w:tcBorders>
              <w:top w:val="single" w:sz="4" w:space="0" w:color="000000"/>
              <w:left w:val="single" w:sz="4" w:space="0" w:color="000000"/>
              <w:bottom w:val="single" w:sz="4" w:space="0" w:color="000000"/>
              <w:right w:val="single" w:sz="4" w:space="0" w:color="000000"/>
            </w:tcBorders>
          </w:tcPr>
          <w:p w:rsidR="00014F84" w:rsidRPr="00AF481C" w:rsidRDefault="00014F84" w:rsidP="00F3762C">
            <w:pPr>
              <w:spacing w:before="60" w:after="60"/>
              <w:rPr>
                <w:rFonts w:ascii="Titillium" w:hAnsi="Titillium"/>
                <w:i/>
                <w:sz w:val="18"/>
                <w:szCs w:val="18"/>
              </w:rPr>
            </w:pPr>
            <w:r w:rsidRPr="00AF481C">
              <w:rPr>
                <w:rFonts w:ascii="Titillium" w:hAnsi="Titillium" w:cs="Calibri"/>
                <w:i/>
                <w:sz w:val="18"/>
                <w:szCs w:val="18"/>
              </w:rPr>
              <w:t xml:space="preserve">N.B. Indicazioni operative sulle modalità di pagamento del contributo sono disponibili sul sito dell’Autorità Nazionale Anticorruzione al seguente link: </w:t>
            </w:r>
            <w:hyperlink r:id="rId19" w:history="1">
              <w:r w:rsidRPr="00AF481C">
                <w:rPr>
                  <w:rStyle w:val="Collegamentoipertestuale"/>
                  <w:rFonts w:ascii="Titillium" w:hAnsi="Titillium"/>
                  <w:i/>
                  <w:sz w:val="18"/>
                  <w:szCs w:val="18"/>
                </w:rPr>
                <w:t>https://www.anticorruzione.it/-/portale-dei-pagamenti-di-anac</w:t>
              </w:r>
            </w:hyperlink>
          </w:p>
          <w:p w:rsidR="00014F84" w:rsidRPr="00AF481C" w:rsidRDefault="00014F84" w:rsidP="00F3762C">
            <w:pPr>
              <w:spacing w:before="60" w:after="60"/>
              <w:rPr>
                <w:rFonts w:ascii="Titillium" w:hAnsi="Titillium" w:cs="Calibri"/>
                <w:i/>
                <w:sz w:val="18"/>
                <w:szCs w:val="18"/>
              </w:rPr>
            </w:pPr>
            <w:r w:rsidRPr="00AF481C">
              <w:rPr>
                <w:rFonts w:ascii="Titillium" w:hAnsi="Titillium" w:cs="Calibri"/>
                <w:i/>
                <w:sz w:val="18"/>
                <w:szCs w:val="18"/>
              </w:rPr>
              <w:t>L'importo del contributo è calcolato sul valore stimato d'appalto comprensivo delle eventuali opzioni contrattuali previste nella documentazione di gara.</w:t>
            </w:r>
          </w:p>
        </w:tc>
      </w:tr>
    </w:tbl>
    <w:p w:rsidR="006D2DAB" w:rsidRPr="00AF481C" w:rsidRDefault="006D2DAB" w:rsidP="00AE28AD">
      <w:pPr>
        <w:rPr>
          <w:rFonts w:ascii="Titillium" w:hAnsi="Titillium" w:cs="Calibri"/>
          <w:sz w:val="18"/>
          <w:szCs w:val="18"/>
        </w:rPr>
      </w:pPr>
    </w:p>
    <w:p w:rsidR="00AE28AD" w:rsidRPr="00AF481C" w:rsidRDefault="00AE28AD" w:rsidP="00604C9A">
      <w:pPr>
        <w:pStyle w:val="Titolo2"/>
        <w:numPr>
          <w:ilvl w:val="0"/>
          <w:numId w:val="3"/>
        </w:numPr>
      </w:pPr>
      <w:bookmarkStart w:id="1673" w:name="_Ref498595281"/>
      <w:bookmarkStart w:id="1674" w:name="_Toc223087484"/>
      <w:r w:rsidRPr="00AF481C">
        <w:t>MODALITÀ DI PRESENTAZIONE DELL’OFFERTA E SOTTOSCRIZIONE DEI DOCUMENTI DI GARA</w:t>
      </w:r>
      <w:bookmarkEnd w:id="1673"/>
      <w:bookmarkEnd w:id="1674"/>
    </w:p>
    <w:p w:rsidR="00AE28AD" w:rsidRPr="00AF481C" w:rsidRDefault="00AE28AD" w:rsidP="00AE28AD">
      <w:pPr>
        <w:tabs>
          <w:tab w:val="left" w:pos="360"/>
        </w:tabs>
        <w:spacing w:before="60" w:after="60"/>
        <w:rPr>
          <w:rFonts w:ascii="Titillium" w:hAnsi="Titillium"/>
          <w:sz w:val="18"/>
          <w:szCs w:val="18"/>
        </w:rPr>
      </w:pPr>
      <w:r w:rsidRPr="00AF481C">
        <w:rPr>
          <w:rFonts w:ascii="Titillium" w:hAnsi="Titillium" w:cs="Calibri"/>
          <w:bCs/>
          <w:iCs/>
          <w:sz w:val="18"/>
          <w:szCs w:val="18"/>
        </w:rPr>
        <w:t xml:space="preserve">L’offerta e la documentazione relativa alla procedura devono essere presentate </w:t>
      </w:r>
      <w:r w:rsidRPr="00AF481C">
        <w:rPr>
          <w:rFonts w:ascii="Titillium" w:hAnsi="Titillium" w:cs="Calibri"/>
          <w:sz w:val="18"/>
          <w:szCs w:val="18"/>
        </w:rPr>
        <w:t>esclusivamente attraverso la PAD. Non sono considerate valide le offerte presentate attraverso modalità diverse da quelle previste nel presente disciplinare. L’offerta e la documentazione</w:t>
      </w:r>
      <w:r w:rsidR="007D2E10">
        <w:rPr>
          <w:rFonts w:ascii="Titillium" w:hAnsi="Titillium" w:cs="Calibri"/>
          <w:sz w:val="18"/>
          <w:szCs w:val="18"/>
        </w:rPr>
        <w:t xml:space="preserve"> </w:t>
      </w:r>
      <w:r w:rsidRPr="00AF481C">
        <w:rPr>
          <w:rFonts w:ascii="Titillium" w:hAnsi="Titillium" w:cs="Calibri"/>
          <w:bCs/>
          <w:iCs/>
          <w:sz w:val="18"/>
          <w:szCs w:val="18"/>
        </w:rPr>
        <w:t>dev</w:t>
      </w:r>
      <w:r w:rsidR="00BF38B2">
        <w:rPr>
          <w:rFonts w:ascii="Titillium" w:hAnsi="Titillium" w:cs="Calibri"/>
          <w:bCs/>
          <w:iCs/>
          <w:sz w:val="18"/>
          <w:szCs w:val="18"/>
        </w:rPr>
        <w:t>ono</w:t>
      </w:r>
      <w:r w:rsidRPr="00AF481C">
        <w:rPr>
          <w:rFonts w:ascii="Titillium" w:hAnsi="Titillium" w:cs="Calibri"/>
          <w:bCs/>
          <w:iCs/>
          <w:sz w:val="18"/>
          <w:szCs w:val="18"/>
        </w:rPr>
        <w:t xml:space="preserve"> essere sottoscritt</w:t>
      </w:r>
      <w:r w:rsidR="00BF38B2">
        <w:rPr>
          <w:rFonts w:ascii="Titillium" w:hAnsi="Titillium" w:cs="Calibri"/>
          <w:bCs/>
          <w:iCs/>
          <w:sz w:val="18"/>
          <w:szCs w:val="18"/>
        </w:rPr>
        <w:t>e</w:t>
      </w:r>
      <w:r w:rsidRPr="00AF481C">
        <w:rPr>
          <w:rFonts w:ascii="Titillium" w:hAnsi="Titillium" w:cs="Calibri"/>
          <w:bCs/>
          <w:iCs/>
          <w:sz w:val="18"/>
          <w:szCs w:val="18"/>
        </w:rPr>
        <w:t xml:space="preserve"> con firma digitale o altra firma elettronica qualificata o firma elettronica avanzata.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Le dichiarazioni sostitutive si redigono ai sensi degli articoli 19, 46 e 47 del decreto del Presidente della Repubblica n.  445/2000. </w:t>
      </w:r>
    </w:p>
    <w:p w:rsidR="00AE28AD" w:rsidRPr="00AF481C" w:rsidRDefault="00AE28AD" w:rsidP="00AE28AD">
      <w:pPr>
        <w:spacing w:before="60" w:after="60"/>
      </w:pPr>
      <w:r w:rsidRPr="00AF481C">
        <w:rPr>
          <w:rFonts w:ascii="Titillium" w:hAnsi="Titillium" w:cs="Calibri"/>
          <w:sz w:val="18"/>
          <w:szCs w:val="18"/>
        </w:rPr>
        <w:t xml:space="preserve">La documentazione presentata in copia viene prodotta ai sensi del decreto legislativo n. 82/05. </w:t>
      </w:r>
    </w:p>
    <w:p w:rsidR="00AE28AD" w:rsidRPr="00876C49" w:rsidRDefault="00AE28AD" w:rsidP="00AE28AD">
      <w:pPr>
        <w:tabs>
          <w:tab w:val="left" w:pos="360"/>
        </w:tabs>
        <w:spacing w:before="60" w:after="60"/>
        <w:rPr>
          <w:rFonts w:ascii="Titillium" w:hAnsi="Titillium" w:cs="Calibri"/>
          <w:sz w:val="18"/>
          <w:szCs w:val="18"/>
        </w:rPr>
      </w:pPr>
      <w:r w:rsidRPr="00AF481C">
        <w:rPr>
          <w:rFonts w:ascii="Titillium" w:hAnsi="Titillium" w:cs="Calibri"/>
          <w:bCs/>
          <w:iCs/>
          <w:sz w:val="18"/>
          <w:szCs w:val="18"/>
        </w:rPr>
        <w:t>L’offerta deve pervenire</w:t>
      </w:r>
      <w:r w:rsidRPr="00AF481C">
        <w:rPr>
          <w:rFonts w:ascii="Titillium" w:hAnsi="Titillium" w:cs="Calibri"/>
          <w:sz w:val="18"/>
          <w:szCs w:val="18"/>
        </w:rPr>
        <w:t xml:space="preserve"> entro e non oltre </w:t>
      </w:r>
      <w:r w:rsidR="0016636E">
        <w:rPr>
          <w:rFonts w:ascii="Titillium" w:hAnsi="Titillium" w:cs="Calibri"/>
          <w:sz w:val="18"/>
          <w:szCs w:val="18"/>
        </w:rPr>
        <w:t>il girono e l’ora indicata nella PAD</w:t>
      </w:r>
      <w:r w:rsidRPr="00AF481C">
        <w:rPr>
          <w:rFonts w:ascii="Titillium" w:hAnsi="Titillium" w:cs="Calibri"/>
          <w:sz w:val="18"/>
          <w:szCs w:val="18"/>
        </w:rPr>
        <w:t>a pena di irricevibilità</w:t>
      </w:r>
      <w:r w:rsidRPr="00AF481C">
        <w:rPr>
          <w:rFonts w:ascii="Titillium" w:hAnsi="Titillium"/>
          <w:sz w:val="18"/>
          <w:szCs w:val="18"/>
        </w:rPr>
        <w:t>.</w:t>
      </w:r>
      <w:r w:rsidR="00DE121F" w:rsidRPr="00AF481C">
        <w:rPr>
          <w:rFonts w:ascii="Titillium" w:hAnsi="Titillium" w:cs="Calibri"/>
          <w:sz w:val="18"/>
          <w:szCs w:val="18"/>
        </w:rPr>
        <w:t>La PAD</w:t>
      </w:r>
      <w:r w:rsidR="00014F84" w:rsidRPr="00AF481C">
        <w:rPr>
          <w:rFonts w:ascii="Titillium" w:hAnsi="Titillium" w:cs="Calibri"/>
          <w:sz w:val="18"/>
          <w:szCs w:val="18"/>
        </w:rPr>
        <w:t xml:space="preserve"> non</w:t>
      </w:r>
      <w:r w:rsidRPr="00AF481C">
        <w:rPr>
          <w:rFonts w:ascii="Titillium" w:hAnsi="Titillium" w:cs="Calibri"/>
          <w:sz w:val="18"/>
          <w:szCs w:val="18"/>
        </w:rPr>
        <w:t xml:space="preserve"> accetta offerte presentate dopo la data e l’orario stabiliti come termine ultimo di presentazione dell’offerta</w:t>
      </w:r>
      <w:r w:rsidR="00D03E9E" w:rsidRPr="00AF481C">
        <w:rPr>
          <w:rFonts w:ascii="Titillium" w:hAnsi="Titillium" w:cs="Calibri"/>
          <w:sz w:val="18"/>
          <w:szCs w:val="18"/>
        </w:rPr>
        <w:t>.</w:t>
      </w:r>
    </w:p>
    <w:p w:rsidR="00AE28AD" w:rsidRPr="00AF481C" w:rsidRDefault="00AE28AD" w:rsidP="00AE28AD">
      <w:pPr>
        <w:spacing w:before="60" w:after="60"/>
      </w:pPr>
      <w:r w:rsidRPr="0016636E">
        <w:rPr>
          <w:rFonts w:ascii="Titillium" w:hAnsi="Titillium"/>
          <w:iCs/>
          <w:sz w:val="18"/>
          <w:szCs w:val="18"/>
          <w:u w:val="single"/>
        </w:rPr>
        <w:t>Per l’individuazione di</w:t>
      </w:r>
      <w:r w:rsidRPr="0016636E">
        <w:rPr>
          <w:rFonts w:ascii="Titillium" w:hAnsi="Titillium" w:cs="Calibri"/>
          <w:bCs/>
          <w:iCs/>
          <w:sz w:val="18"/>
          <w:szCs w:val="18"/>
          <w:u w:val="single"/>
        </w:rPr>
        <w:t xml:space="preserve"> data e ora di arrivo dell’offerta fa fede l’orario registrato </w:t>
      </w:r>
      <w:r w:rsidR="00DE121F" w:rsidRPr="0016636E">
        <w:rPr>
          <w:rFonts w:ascii="Titillium" w:hAnsi="Titillium" w:cs="Calibri"/>
          <w:bCs/>
          <w:iCs/>
          <w:sz w:val="18"/>
          <w:szCs w:val="18"/>
          <w:u w:val="single"/>
        </w:rPr>
        <w:t>dalla PAD</w:t>
      </w:r>
      <w:r w:rsidRPr="00AF481C">
        <w:rPr>
          <w:rFonts w:ascii="Titillium" w:hAnsi="Titillium" w:cs="Calibri"/>
          <w:bCs/>
          <w:iCs/>
          <w:sz w:val="18"/>
          <w:szCs w:val="18"/>
        </w:rPr>
        <w:t>.</w:t>
      </w:r>
    </w:p>
    <w:p w:rsidR="00AE28AD" w:rsidRPr="00AF481C" w:rsidRDefault="00AE28AD" w:rsidP="00AE28AD">
      <w:pPr>
        <w:widowControl w:val="0"/>
        <w:spacing w:before="60" w:after="60" w:line="280" w:lineRule="exact"/>
      </w:pPr>
      <w:r w:rsidRPr="00AF481C">
        <w:rPr>
          <w:rFonts w:ascii="Titillium" w:hAnsi="Titillium" w:cs="Calibri"/>
          <w:color w:val="000000"/>
          <w:sz w:val="18"/>
          <w:szCs w:val="18"/>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p>
    <w:p w:rsidR="00AE28AD" w:rsidRPr="00AF481C" w:rsidRDefault="00AE28AD" w:rsidP="00AE28AD">
      <w:pPr>
        <w:widowControl w:val="0"/>
        <w:spacing w:before="60" w:after="60" w:line="280" w:lineRule="exact"/>
      </w:pPr>
      <w:r w:rsidRPr="00AF481C">
        <w:rPr>
          <w:rFonts w:ascii="Titillium" w:hAnsi="Titillium" w:cs="Calibri"/>
          <w:bCs/>
          <w:iCs/>
          <w:sz w:val="18"/>
          <w:szCs w:val="18"/>
        </w:rPr>
        <w:t xml:space="preserve">Qualora si verifichi un mancato funzionamento o un malfunzionamento </w:t>
      </w:r>
      <w:r w:rsidR="008C1EC1" w:rsidRPr="00AF481C">
        <w:rPr>
          <w:rFonts w:ascii="Titillium" w:hAnsi="Titillium" w:cs="Calibri"/>
          <w:bCs/>
          <w:iCs/>
          <w:sz w:val="18"/>
          <w:szCs w:val="18"/>
        </w:rPr>
        <w:t>della PAD</w:t>
      </w:r>
      <w:r w:rsidRPr="00AF481C">
        <w:rPr>
          <w:rFonts w:ascii="Titillium" w:hAnsi="Titillium" w:cs="Calibri"/>
          <w:bCs/>
          <w:iCs/>
          <w:sz w:val="18"/>
          <w:szCs w:val="18"/>
        </w:rPr>
        <w:t xml:space="preserve"> si applica quanto previsto al p</w:t>
      </w:r>
      <w:r w:rsidR="0072746D" w:rsidRPr="00AF481C">
        <w:rPr>
          <w:rFonts w:ascii="Titillium" w:hAnsi="Titillium" w:cs="Calibri"/>
          <w:bCs/>
          <w:iCs/>
          <w:sz w:val="18"/>
          <w:szCs w:val="18"/>
        </w:rPr>
        <w:t>aragrafo</w:t>
      </w:r>
      <w:fldSimple w:instr=" REF _Ref132303729 \r \h  \* MERGEFORMAT ">
        <w:r w:rsidR="00CA44F6" w:rsidRPr="00CA44F6">
          <w:rPr>
            <w:rFonts w:ascii="Titillium" w:hAnsi="Titillium" w:cs="Calibri"/>
            <w:bCs/>
            <w:iCs/>
            <w:sz w:val="18"/>
            <w:szCs w:val="18"/>
          </w:rPr>
          <w:t>1.1</w:t>
        </w:r>
      </w:fldSimple>
      <w:r w:rsidRPr="00AF481C">
        <w:rPr>
          <w:rFonts w:ascii="Titillium" w:hAnsi="Titillium" w:cs="Calibri"/>
          <w:bCs/>
          <w:iCs/>
          <w:sz w:val="18"/>
          <w:szCs w:val="18"/>
        </w:rPr>
        <w:t>.</w:t>
      </w:r>
    </w:p>
    <w:p w:rsidR="00DE121F" w:rsidRPr="00876C49" w:rsidRDefault="00AE28AD" w:rsidP="00AE28AD">
      <w:pPr>
        <w:tabs>
          <w:tab w:val="left" w:pos="360"/>
        </w:tabs>
        <w:spacing w:before="60" w:after="60"/>
      </w:pPr>
      <w:r w:rsidRPr="00AF481C">
        <w:rPr>
          <w:rFonts w:ascii="Titillium" w:hAnsi="Titillium" w:cs="Calibri"/>
          <w:bCs/>
          <w:iCs/>
          <w:sz w:val="18"/>
          <w:szCs w:val="18"/>
        </w:rPr>
        <w:t xml:space="preserve">Ogni operatore economico per la presentazione dell’offerta ha a disposizione una capacità pari alla dimensione </w:t>
      </w:r>
      <w:r w:rsidRPr="00876C49">
        <w:rPr>
          <w:rFonts w:ascii="Titillium" w:hAnsi="Titillium" w:cs="Calibri"/>
          <w:bCs/>
          <w:iCs/>
          <w:sz w:val="18"/>
          <w:szCs w:val="18"/>
        </w:rPr>
        <w:t xml:space="preserve">massima di </w:t>
      </w:r>
      <w:r w:rsidR="00876C49" w:rsidRPr="00876C49">
        <w:rPr>
          <w:rFonts w:ascii="Titillium" w:hAnsi="Titillium" w:cs="Calibri"/>
          <w:bCs/>
          <w:iCs/>
          <w:sz w:val="18"/>
          <w:szCs w:val="18"/>
        </w:rPr>
        <w:t>100 MB per singolo slot. La Piattaforma accetta esclusivamente file con i seguenti formati file con i seguenti formati .PDF. ZIP.e similari</w:t>
      </w:r>
    </w:p>
    <w:p w:rsidR="00AE28AD" w:rsidRPr="00AF481C" w:rsidRDefault="008C1EC1" w:rsidP="008C1EC1">
      <w:pPr>
        <w:pStyle w:val="Titolo3"/>
        <w:numPr>
          <w:ilvl w:val="1"/>
          <w:numId w:val="3"/>
        </w:numPr>
        <w:ind w:left="426" w:hanging="426"/>
        <w:rPr>
          <w:rFonts w:ascii="Titillium" w:hAnsi="Titillium"/>
          <w:sz w:val="18"/>
          <w:szCs w:val="18"/>
        </w:rPr>
      </w:pPr>
      <w:bookmarkStart w:id="1675" w:name="_Toc223087485"/>
      <w:r w:rsidRPr="00AF481C">
        <w:rPr>
          <w:rFonts w:ascii="Titillium" w:hAnsi="Titillium"/>
          <w:sz w:val="18"/>
          <w:szCs w:val="18"/>
        </w:rPr>
        <w:t>REGOLE PER LA PRESENTAZIONE DELL’OFFERTA</w:t>
      </w:r>
      <w:bookmarkEnd w:id="1675"/>
    </w:p>
    <w:p w:rsidR="00AE28AD" w:rsidRPr="00AF481C" w:rsidRDefault="00AE28AD" w:rsidP="00AE28AD">
      <w:pPr>
        <w:spacing w:before="60" w:after="60"/>
      </w:pPr>
      <w:r w:rsidRPr="00AF481C">
        <w:rPr>
          <w:rFonts w:ascii="Titillium" w:hAnsi="Titillium" w:cs="Calibri"/>
          <w:sz w:val="18"/>
          <w:szCs w:val="18"/>
        </w:rPr>
        <w:t>Fermo restando le indicazioni tecniche riportate al</w:t>
      </w:r>
      <w:r w:rsidR="00B9034F" w:rsidRPr="00AF481C">
        <w:rPr>
          <w:rFonts w:ascii="Titillium" w:hAnsi="Titillium" w:cs="Calibri"/>
          <w:sz w:val="18"/>
          <w:szCs w:val="18"/>
        </w:rPr>
        <w:t xml:space="preserve"> paragrafo</w:t>
      </w:r>
      <w:fldSimple w:instr=" REF _Ref132303744 \r \h  \* MERGEFORMAT ">
        <w:r w:rsidR="00CA44F6">
          <w:t>1</w:t>
        </w:r>
      </w:fldSimple>
      <w:r w:rsidRPr="00AF481C">
        <w:rPr>
          <w:rFonts w:ascii="Titillium" w:hAnsi="Titillium" w:cs="Calibri"/>
          <w:sz w:val="18"/>
          <w:szCs w:val="18"/>
        </w:rPr>
        <w:t xml:space="preserve"> di seguito sono indicate le modalità di caricamento dell’offerta nella PAD.</w:t>
      </w:r>
    </w:p>
    <w:p w:rsidR="00AE28AD" w:rsidRPr="00AF481C" w:rsidRDefault="00AE28AD" w:rsidP="00AE28AD">
      <w:pPr>
        <w:pStyle w:val="usoboll1"/>
        <w:spacing w:line="300" w:lineRule="exact"/>
      </w:pPr>
      <w:r w:rsidRPr="00AF481C">
        <w:rPr>
          <w:rFonts w:ascii="Titillium" w:hAnsi="Titillium" w:cs="Trebuchet MS"/>
          <w:sz w:val="18"/>
          <w:szCs w:val="18"/>
        </w:rPr>
        <w:t>L’“</w:t>
      </w:r>
      <w:r w:rsidRPr="00AF481C">
        <w:rPr>
          <w:rFonts w:ascii="Titillium" w:hAnsi="Titillium" w:cs="Trebuchet MS"/>
          <w:b/>
          <w:i/>
          <w:sz w:val="18"/>
          <w:szCs w:val="18"/>
        </w:rPr>
        <w:t>OFFERTA</w:t>
      </w:r>
      <w:r w:rsidRPr="00AF481C">
        <w:rPr>
          <w:rFonts w:ascii="Titillium" w:hAnsi="Titillium" w:cs="Trebuchet MS"/>
          <w:sz w:val="18"/>
          <w:szCs w:val="18"/>
        </w:rPr>
        <w:t xml:space="preserve">” è composta da: </w:t>
      </w:r>
    </w:p>
    <w:p w:rsidR="00AE28AD" w:rsidRPr="00AF481C" w:rsidRDefault="00AE28AD" w:rsidP="00AE28AD">
      <w:pPr>
        <w:pStyle w:val="usoboll1"/>
        <w:spacing w:line="300" w:lineRule="exact"/>
        <w:ind w:left="567"/>
      </w:pPr>
      <w:r w:rsidRPr="00AF481C">
        <w:rPr>
          <w:rFonts w:ascii="Titillium" w:hAnsi="Titillium" w:cs="Trebuchet MS"/>
          <w:sz w:val="18"/>
          <w:szCs w:val="18"/>
        </w:rPr>
        <w:t xml:space="preserve">A – </w:t>
      </w:r>
      <w:r w:rsidRPr="00AF481C">
        <w:rPr>
          <w:rFonts w:ascii="Titillium" w:hAnsi="Titillium" w:cs="Trebuchet MS"/>
          <w:b/>
          <w:sz w:val="18"/>
          <w:szCs w:val="18"/>
        </w:rPr>
        <w:t>Documentazione amministrativa</w:t>
      </w:r>
      <w:r w:rsidRPr="00AF481C">
        <w:rPr>
          <w:rFonts w:ascii="Titillium" w:hAnsi="Titillium" w:cs="Trebuchet MS"/>
          <w:sz w:val="18"/>
          <w:szCs w:val="18"/>
        </w:rPr>
        <w:t xml:space="preserve">; </w:t>
      </w:r>
    </w:p>
    <w:p w:rsidR="00AE28AD" w:rsidRPr="00AF481C" w:rsidRDefault="00AE28AD" w:rsidP="00AE28AD">
      <w:pPr>
        <w:pStyle w:val="usoboll1"/>
        <w:spacing w:line="300" w:lineRule="exact"/>
        <w:ind w:left="567"/>
      </w:pPr>
      <w:r w:rsidRPr="00AF481C">
        <w:rPr>
          <w:rFonts w:ascii="Titillium" w:hAnsi="Titillium" w:cs="Trebuchet MS"/>
          <w:sz w:val="18"/>
          <w:szCs w:val="18"/>
        </w:rPr>
        <w:t xml:space="preserve">B – </w:t>
      </w:r>
      <w:r w:rsidRPr="00AF481C">
        <w:rPr>
          <w:rFonts w:ascii="Titillium" w:hAnsi="Titillium" w:cs="Trebuchet MS"/>
          <w:b/>
          <w:bCs/>
          <w:sz w:val="18"/>
          <w:szCs w:val="18"/>
        </w:rPr>
        <w:t xml:space="preserve">Offerta tecnica </w:t>
      </w:r>
    </w:p>
    <w:p w:rsidR="008733ED" w:rsidRDefault="00AE28AD" w:rsidP="00AE28AD">
      <w:pPr>
        <w:pStyle w:val="usoboll1"/>
        <w:spacing w:line="300" w:lineRule="exact"/>
        <w:ind w:left="567"/>
        <w:rPr>
          <w:rFonts w:ascii="Titillium" w:hAnsi="Titillium" w:cs="Calibri"/>
          <w:i/>
          <w:color w:val="000000"/>
          <w:sz w:val="18"/>
          <w:szCs w:val="18"/>
        </w:rPr>
      </w:pPr>
      <w:r w:rsidRPr="00AF481C">
        <w:rPr>
          <w:rFonts w:ascii="Titillium" w:hAnsi="Titillium" w:cs="Trebuchet MS"/>
          <w:color w:val="000000"/>
          <w:sz w:val="18"/>
          <w:szCs w:val="18"/>
        </w:rPr>
        <w:t xml:space="preserve">C – </w:t>
      </w:r>
      <w:r w:rsidRPr="00AF481C">
        <w:rPr>
          <w:rFonts w:ascii="Titillium" w:hAnsi="Titillium" w:cs="Trebuchet MS"/>
          <w:b/>
          <w:bCs/>
          <w:color w:val="000000"/>
          <w:sz w:val="18"/>
          <w:szCs w:val="18"/>
        </w:rPr>
        <w:t>Offerta economica</w:t>
      </w:r>
    </w:p>
    <w:p w:rsidR="0016636E" w:rsidRPr="00AF481C" w:rsidRDefault="0016636E" w:rsidP="00AE28AD">
      <w:pPr>
        <w:pStyle w:val="usoboll1"/>
        <w:spacing w:line="300" w:lineRule="exact"/>
        <w:ind w:left="567"/>
      </w:pP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sidRPr="00AF481C">
        <w:rPr>
          <w:rFonts w:ascii="Titillium" w:hAnsi="Titillium" w:cs="Calibri"/>
          <w:bCs/>
          <w:color w:val="000000"/>
          <w:sz w:val="18"/>
          <w:szCs w:val="18"/>
        </w:rPr>
        <w:t>La stazione appaltante considera esclusivamente l’ultima offerta presentata.</w:t>
      </w:r>
    </w:p>
    <w:p w:rsidR="00AE28AD" w:rsidRPr="00AF481C" w:rsidRDefault="00AE28AD" w:rsidP="00AE28AD">
      <w:pPr>
        <w:pStyle w:val="Default"/>
        <w:rPr>
          <w:rFonts w:ascii="Titillium" w:hAnsi="Titillium"/>
          <w:sz w:val="18"/>
          <w:szCs w:val="18"/>
        </w:rPr>
      </w:pPr>
      <w:r w:rsidRPr="00AF481C">
        <w:rPr>
          <w:rFonts w:ascii="Titillium" w:hAnsi="Titillium"/>
          <w:sz w:val="18"/>
          <w:szCs w:val="18"/>
        </w:rPr>
        <w:t xml:space="preserve">Si precisa inoltre che: </w:t>
      </w:r>
    </w:p>
    <w:p w:rsidR="00AE28AD" w:rsidRPr="00AF481C" w:rsidRDefault="00AE28AD" w:rsidP="006D2DAB">
      <w:pPr>
        <w:pStyle w:val="Default"/>
        <w:numPr>
          <w:ilvl w:val="0"/>
          <w:numId w:val="19"/>
        </w:numPr>
        <w:spacing w:after="70" w:line="240" w:lineRule="auto"/>
        <w:ind w:left="426" w:hanging="357"/>
        <w:rPr>
          <w:rFonts w:ascii="Titillium" w:hAnsi="Titillium"/>
          <w:sz w:val="18"/>
          <w:szCs w:val="18"/>
        </w:rPr>
      </w:pPr>
      <w:r w:rsidRPr="00AF481C">
        <w:rPr>
          <w:rFonts w:ascii="Titillium" w:hAnsi="Titillium"/>
          <w:sz w:val="18"/>
          <w:szCs w:val="18"/>
        </w:rPr>
        <w:t>l’offerta è vincolante per il concorrente;</w:t>
      </w:r>
    </w:p>
    <w:p w:rsidR="00AE28AD" w:rsidRPr="00AF481C" w:rsidRDefault="00AE28AD" w:rsidP="006D2DAB">
      <w:pPr>
        <w:pStyle w:val="Default"/>
        <w:numPr>
          <w:ilvl w:val="0"/>
          <w:numId w:val="19"/>
        </w:numPr>
        <w:spacing w:line="240" w:lineRule="auto"/>
        <w:ind w:left="426" w:hanging="357"/>
        <w:rPr>
          <w:rFonts w:ascii="Titillium" w:hAnsi="Titillium" w:cs="Calibri"/>
          <w:sz w:val="18"/>
          <w:szCs w:val="18"/>
        </w:rPr>
      </w:pPr>
      <w:r w:rsidRPr="00AF481C">
        <w:rPr>
          <w:rFonts w:ascii="Titillium" w:hAnsi="Titillium" w:cs="Calibri"/>
          <w:sz w:val="18"/>
          <w:szCs w:val="18"/>
        </w:rPr>
        <w:t>con la trasmissione dell’offerta, il concorrente accetta tutta la documentazione di gara, allegati e chiarimenti inclusi.</w:t>
      </w:r>
    </w:p>
    <w:p w:rsidR="00AE28AD" w:rsidRPr="00AF481C" w:rsidRDefault="00AE28AD" w:rsidP="00AE28AD">
      <w:pPr>
        <w:spacing w:before="60" w:after="60"/>
      </w:pPr>
      <w:r w:rsidRPr="00AF481C">
        <w:rPr>
          <w:rFonts w:ascii="Titillium" w:hAnsi="Titillium" w:cs="Calibri"/>
          <w:sz w:val="18"/>
          <w:szCs w:val="18"/>
        </w:rPr>
        <w:lastRenderedPageBreak/>
        <w:t>Al momento della ricezione delle offerte, ciascun concorrente riceve notifica del</w:t>
      </w:r>
      <w:r w:rsidR="001F7566" w:rsidRPr="00AF481C">
        <w:rPr>
          <w:rFonts w:ascii="Titillium" w:hAnsi="Titillium" w:cs="Calibri"/>
          <w:sz w:val="18"/>
          <w:szCs w:val="18"/>
        </w:rPr>
        <w:t>la</w:t>
      </w:r>
      <w:r w:rsidRPr="00AF481C">
        <w:rPr>
          <w:rFonts w:ascii="Titillium" w:hAnsi="Titillium" w:cs="Calibri"/>
          <w:sz w:val="18"/>
          <w:szCs w:val="18"/>
        </w:rPr>
        <w:t xml:space="preserve"> corrett</w:t>
      </w:r>
      <w:r w:rsidR="001F7566" w:rsidRPr="00AF481C">
        <w:rPr>
          <w:rFonts w:ascii="Titillium" w:hAnsi="Titillium" w:cs="Calibri"/>
          <w:sz w:val="18"/>
          <w:szCs w:val="18"/>
        </w:rPr>
        <w:t>a ricezione</w:t>
      </w:r>
      <w:r w:rsidRPr="00AF481C">
        <w:rPr>
          <w:rFonts w:ascii="Titillium" w:hAnsi="Titillium" w:cs="Calibri"/>
          <w:sz w:val="18"/>
          <w:szCs w:val="18"/>
        </w:rPr>
        <w:t xml:space="preserve"> della documentazione inviata </w:t>
      </w:r>
    </w:p>
    <w:p w:rsidR="00AE28AD" w:rsidRPr="00AF481C" w:rsidRDefault="005968B3" w:rsidP="00AE28AD">
      <w:pPr>
        <w:pStyle w:val="Default"/>
        <w:spacing w:before="60" w:after="60"/>
      </w:pPr>
      <w:r w:rsidRPr="00AF481C">
        <w:rPr>
          <w:rFonts w:ascii="Titillium" w:hAnsi="Titillium" w:cs="Calibri"/>
          <w:sz w:val="18"/>
          <w:szCs w:val="18"/>
        </w:rPr>
        <w:t>La PAD</w:t>
      </w:r>
      <w:r w:rsidR="00AE28AD" w:rsidRPr="00AF481C">
        <w:rPr>
          <w:rFonts w:ascii="Titillium" w:hAnsi="Titillium" w:cs="Calibri"/>
          <w:sz w:val="18"/>
          <w:szCs w:val="18"/>
        </w:rPr>
        <w:t xml:space="preserve"> consente al concorrente di visualizzare l’avvenuta trasmissione della domanda. </w:t>
      </w:r>
    </w:p>
    <w:p w:rsidR="00AE28AD" w:rsidRPr="00AF481C" w:rsidRDefault="00AE28AD" w:rsidP="00AE28AD">
      <w:pPr>
        <w:spacing w:before="60" w:after="60"/>
      </w:pPr>
      <w:r w:rsidRPr="00AF481C">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rsidR="00AE28AD" w:rsidRDefault="00AE28AD" w:rsidP="000A1219">
      <w:pPr>
        <w:spacing w:before="60" w:after="60"/>
        <w:rPr>
          <w:rFonts w:ascii="Titillium" w:hAnsi="Titillium"/>
          <w:strike/>
          <w:sz w:val="18"/>
          <w:szCs w:val="18"/>
        </w:rPr>
      </w:pPr>
      <w:r w:rsidRPr="00AF481C">
        <w:rPr>
          <w:rFonts w:ascii="Titillium" w:hAnsi="Titillium"/>
          <w:sz w:val="18"/>
          <w:szCs w:val="18"/>
        </w:rPr>
        <w:t xml:space="preserve">Tutta la documentazione da produrre deve essere in lingua italiana. </w:t>
      </w:r>
    </w:p>
    <w:p w:rsidR="00676C12" w:rsidRPr="00676C12" w:rsidRDefault="00676C12" w:rsidP="00AE28AD">
      <w:pPr>
        <w:spacing w:before="60" w:after="60"/>
        <w:rPr>
          <w:rFonts w:ascii="Titillium" w:hAnsi="Titillium"/>
          <w:b/>
          <w:sz w:val="18"/>
          <w:szCs w:val="18"/>
        </w:rPr>
      </w:pPr>
      <w:r w:rsidRPr="00676C12">
        <w:rPr>
          <w:rFonts w:ascii="Titillium" w:hAnsi="Titillium"/>
          <w:b/>
          <w:sz w:val="18"/>
          <w:szCs w:val="18"/>
        </w:rPr>
        <w:t>In caso di mancanza, incompletezza o irregolarità della traduzione della documentazione amministrativa, si applica il soccorso istruttorio.</w:t>
      </w:r>
    </w:p>
    <w:p w:rsidR="00AE28AD" w:rsidRPr="00AF481C" w:rsidRDefault="00AE28AD" w:rsidP="00AE28AD">
      <w:pPr>
        <w:spacing w:before="60" w:after="60"/>
      </w:pPr>
      <w:r w:rsidRPr="00AF481C">
        <w:rPr>
          <w:rFonts w:ascii="Titillium" w:hAnsi="Titillium" w:cs="Calibri"/>
          <w:sz w:val="18"/>
          <w:szCs w:val="18"/>
        </w:rPr>
        <w:t xml:space="preserve">L’offerta vincola il concorrente </w:t>
      </w:r>
      <w:r w:rsidRPr="00676C12">
        <w:rPr>
          <w:rFonts w:ascii="Titillium" w:hAnsi="Titillium" w:cs="Calibri"/>
          <w:sz w:val="18"/>
          <w:szCs w:val="18"/>
        </w:rPr>
        <w:t>per</w:t>
      </w:r>
      <w:r w:rsidR="007D2E10">
        <w:rPr>
          <w:rFonts w:ascii="Titillium" w:hAnsi="Titillium" w:cs="Calibri"/>
          <w:sz w:val="18"/>
          <w:szCs w:val="18"/>
        </w:rPr>
        <w:t xml:space="preserve"> </w:t>
      </w:r>
      <w:r w:rsidRPr="0016636E">
        <w:rPr>
          <w:rFonts w:ascii="Titillium" w:hAnsi="Titillium" w:cs="Calibri"/>
          <w:sz w:val="18"/>
          <w:szCs w:val="18"/>
        </w:rPr>
        <w:t>almeno 180 giorni</w:t>
      </w:r>
      <w:r w:rsidR="007D2E10">
        <w:rPr>
          <w:rFonts w:ascii="Titillium" w:hAnsi="Titillium" w:cs="Calibri"/>
          <w:sz w:val="18"/>
          <w:szCs w:val="18"/>
        </w:rPr>
        <w:t xml:space="preserve"> </w:t>
      </w:r>
      <w:r w:rsidRPr="00AF481C">
        <w:rPr>
          <w:rFonts w:ascii="Titillium" w:hAnsi="Titillium" w:cs="Calibri"/>
          <w:sz w:val="18"/>
          <w:szCs w:val="18"/>
        </w:rPr>
        <w:t>dalla scadenza</w:t>
      </w:r>
      <w:r w:rsidR="007D2E10">
        <w:rPr>
          <w:rFonts w:ascii="Titillium" w:hAnsi="Titillium" w:cs="Calibri"/>
          <w:sz w:val="18"/>
          <w:szCs w:val="18"/>
        </w:rPr>
        <w:t xml:space="preserve"> </w:t>
      </w:r>
      <w:r w:rsidRPr="00AF481C">
        <w:rPr>
          <w:rFonts w:ascii="Titillium" w:hAnsi="Titillium" w:cs="Calibri"/>
          <w:sz w:val="18"/>
          <w:szCs w:val="18"/>
        </w:rPr>
        <w:t xml:space="preserve">del termine indicato per la presentazione dell’offerta.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Fino al giorno fissato per l’apertura</w:t>
      </w:r>
      <w:r w:rsidR="00B07443" w:rsidRPr="00AF481C">
        <w:rPr>
          <w:rFonts w:ascii="Titillium" w:hAnsi="Titillium" w:cs="Calibri"/>
          <w:sz w:val="18"/>
          <w:szCs w:val="18"/>
        </w:rPr>
        <w:t xml:space="preserve"> delle offerte tecniche </w:t>
      </w:r>
      <w:r w:rsidR="009530CA" w:rsidRPr="00AF481C">
        <w:rPr>
          <w:rFonts w:ascii="Titillium" w:hAnsi="Titillium" w:cs="Calibri"/>
          <w:sz w:val="18"/>
          <w:szCs w:val="18"/>
        </w:rPr>
        <w:t xml:space="preserve">o </w:t>
      </w:r>
      <w:r w:rsidR="00B07443" w:rsidRPr="00AF481C">
        <w:rPr>
          <w:rFonts w:ascii="Titillium" w:hAnsi="Titillium" w:cs="Calibri"/>
          <w:sz w:val="18"/>
          <w:szCs w:val="18"/>
        </w:rPr>
        <w:t>economiche</w:t>
      </w:r>
      <w:r w:rsidRPr="00AF481C">
        <w:rPr>
          <w:rFonts w:ascii="Titillium" w:hAnsi="Titillium" w:cs="Calibri"/>
          <w:sz w:val="18"/>
          <w:szCs w:val="18"/>
        </w:rPr>
        <w:t>, l’operatore economico può effettuare, tramite laPAD, la richiesta di rettifica di un errore materiale contenuto</w:t>
      </w:r>
      <w:r w:rsidR="00B07443" w:rsidRPr="00AF481C">
        <w:rPr>
          <w:rFonts w:ascii="Titillium" w:hAnsi="Titillium" w:cs="Calibri"/>
          <w:sz w:val="18"/>
          <w:szCs w:val="18"/>
        </w:rPr>
        <w:t xml:space="preserve"> rispettivamente</w:t>
      </w:r>
      <w:r w:rsidRPr="00AF481C">
        <w:rPr>
          <w:rFonts w:ascii="Titillium" w:hAnsi="Titillium" w:cs="Calibri"/>
          <w:sz w:val="18"/>
          <w:szCs w:val="18"/>
        </w:rPr>
        <w:t xml:space="preserve"> nell’offerta tecnica o nell’offerta economica, di cui si sia avveduto dopo la scadenza del termine per la loro presentazione. A tal fine, richiede di potersi avvalere di tale facoltà.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w:t>
      </w:r>
      <w:r w:rsidR="00EB0B77">
        <w:rPr>
          <w:rFonts w:ascii="Titillium" w:hAnsi="Titillium" w:cs="Calibri"/>
          <w:sz w:val="18"/>
          <w:szCs w:val="18"/>
        </w:rPr>
        <w:t xml:space="preserve"> </w:t>
      </w:r>
      <w:r w:rsidRPr="00AF481C">
        <w:rPr>
          <w:rFonts w:ascii="Titillium" w:hAnsi="Titillium" w:cs="Calibri"/>
          <w:sz w:val="18"/>
          <w:szCs w:val="18"/>
        </w:rPr>
        <w:t>e non può comportare la presentazione di una nuova offerta, né la sua modifica sostanziale.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la rettifica è ritenuta non accoglibile perché sostanziale, è valutata la possibilità di dichiarare l’offerta inammissibile.</w:t>
      </w:r>
    </w:p>
    <w:p w:rsidR="00B91157" w:rsidRPr="00AF481C" w:rsidRDefault="00B91157" w:rsidP="00AE28AD">
      <w:pPr>
        <w:spacing w:before="60" w:after="60"/>
      </w:pPr>
    </w:p>
    <w:p w:rsidR="00AE28AD" w:rsidRPr="00AF481C" w:rsidRDefault="00AE28AD" w:rsidP="00604C9A">
      <w:pPr>
        <w:pStyle w:val="Titolo2"/>
        <w:numPr>
          <w:ilvl w:val="0"/>
          <w:numId w:val="3"/>
        </w:numPr>
      </w:pPr>
      <w:bookmarkStart w:id="1676" w:name="_Ref129796272"/>
      <w:bookmarkStart w:id="1677" w:name="_Toc223087486"/>
      <w:r w:rsidRPr="00AF481C">
        <w:t>SOCCORSO ISTRUTTORIO</w:t>
      </w:r>
      <w:bookmarkEnd w:id="1676"/>
      <w:bookmarkEnd w:id="1677"/>
    </w:p>
    <w:p w:rsidR="00AE28AD" w:rsidRPr="00AF481C" w:rsidRDefault="00AE28AD" w:rsidP="00AE28AD">
      <w:pPr>
        <w:spacing w:before="60" w:after="60"/>
        <w:rPr>
          <w:rFonts w:ascii="Titillium" w:hAnsi="Titillium"/>
          <w:sz w:val="18"/>
          <w:szCs w:val="18"/>
        </w:rPr>
      </w:pPr>
      <w:r w:rsidRPr="00AF481C">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rsidR="00E622CD" w:rsidRPr="00AF481C" w:rsidRDefault="00AE28AD" w:rsidP="00E622CD">
      <w:pPr>
        <w:spacing w:before="60" w:after="60"/>
        <w:rPr>
          <w:rFonts w:ascii="Titillium" w:hAnsi="Titillium"/>
          <w:sz w:val="18"/>
          <w:szCs w:val="18"/>
        </w:rPr>
      </w:pPr>
      <w:r w:rsidRPr="00AF481C">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rsidR="00E622CD" w:rsidRPr="00AF481C" w:rsidRDefault="00AE28AD" w:rsidP="00E622CD">
      <w:pPr>
        <w:spacing w:before="60" w:after="60"/>
        <w:rPr>
          <w:rFonts w:ascii="Titillium" w:hAnsi="Titillium"/>
          <w:sz w:val="18"/>
          <w:szCs w:val="18"/>
        </w:rPr>
      </w:pPr>
      <w:r w:rsidRPr="00AF481C">
        <w:rPr>
          <w:rFonts w:ascii="Titillium" w:hAnsi="Titillium"/>
          <w:sz w:val="18"/>
          <w:szCs w:val="18"/>
        </w:rPr>
        <w:t>A titolo esemplificativo, si chiarisce che</w:t>
      </w:r>
      <w:r w:rsidR="00E622CD" w:rsidRPr="00AF481C">
        <w:rPr>
          <w:rFonts w:ascii="Titillium" w:hAnsi="Titillium"/>
          <w:sz w:val="18"/>
          <w:szCs w:val="18"/>
        </w:rPr>
        <w:t xml:space="preserve"> sono sanabili: </w:t>
      </w:r>
    </w:p>
    <w:p w:rsidR="00774D9B" w:rsidRPr="00AF481C" w:rsidRDefault="00774D9B"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 xml:space="preserve">il </w:t>
      </w:r>
      <w:r w:rsidR="003936DB" w:rsidRPr="00AF481C">
        <w:rPr>
          <w:rFonts w:ascii="Titillium" w:hAnsi="Titillium"/>
          <w:sz w:val="18"/>
          <w:szCs w:val="18"/>
        </w:rPr>
        <w:t>mancato</w:t>
      </w:r>
      <w:r w:rsidR="0006790E" w:rsidRPr="00AF481C">
        <w:rPr>
          <w:rFonts w:ascii="Titillium" w:hAnsi="Titillium"/>
          <w:sz w:val="18"/>
          <w:szCs w:val="18"/>
        </w:rPr>
        <w:t xml:space="preserve"> o parziale</w:t>
      </w:r>
      <w:r w:rsidR="00EB0B77">
        <w:rPr>
          <w:rFonts w:ascii="Titillium" w:hAnsi="Titillium"/>
          <w:sz w:val="18"/>
          <w:szCs w:val="18"/>
        </w:rPr>
        <w:t xml:space="preserve"> </w:t>
      </w:r>
      <w:r w:rsidRPr="00AF481C">
        <w:rPr>
          <w:rFonts w:ascii="Titillium" w:hAnsi="Titillium"/>
          <w:sz w:val="18"/>
          <w:szCs w:val="18"/>
        </w:rPr>
        <w:t>pagamento del contributo ANAC</w:t>
      </w:r>
      <w:r w:rsidR="00EB0B77">
        <w:rPr>
          <w:rFonts w:ascii="Titillium" w:hAnsi="Titillium"/>
          <w:sz w:val="18"/>
          <w:szCs w:val="18"/>
        </w:rPr>
        <w:t xml:space="preserve"> </w:t>
      </w:r>
      <w:r w:rsidR="00AE768B" w:rsidRPr="00AF481C">
        <w:rPr>
          <w:rFonts w:ascii="Titillium" w:hAnsi="Titillium"/>
          <w:sz w:val="18"/>
          <w:szCs w:val="18"/>
        </w:rPr>
        <w:t xml:space="preserve">anche laddove non effettuato </w:t>
      </w:r>
      <w:r w:rsidR="003936DB" w:rsidRPr="00AF481C">
        <w:rPr>
          <w:rFonts w:ascii="Titillium" w:hAnsi="Titillium"/>
          <w:sz w:val="18"/>
          <w:szCs w:val="18"/>
        </w:rPr>
        <w:t xml:space="preserve">entro la </w:t>
      </w:r>
      <w:r w:rsidR="00580650" w:rsidRPr="00AF481C">
        <w:rPr>
          <w:rFonts w:ascii="Titillium" w:hAnsi="Titillium"/>
          <w:sz w:val="18"/>
          <w:szCs w:val="18"/>
        </w:rPr>
        <w:t>scadenza del termine di presentazione delle offerte</w:t>
      </w:r>
      <w:r w:rsidR="003936DB" w:rsidRPr="00AF481C">
        <w:rPr>
          <w:rFonts w:ascii="Titillium" w:hAnsi="Titillium"/>
          <w:sz w:val="18"/>
          <w:szCs w:val="18"/>
        </w:rPr>
        <w:t>;</w:t>
      </w:r>
    </w:p>
    <w:p w:rsidR="00E622CD" w:rsidRPr="00AF481C" w:rsidRDefault="00E622CD"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rsidR="00E622CD" w:rsidRPr="00AF481C" w:rsidRDefault="00E622CD"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la mancata produzione del contratto di avvalimento, della garanzia provvisoria, del mandato collettivo speciale o dell’impegno a conferire mandato collettivo, solo se i citati documenti sono preesistenti e comprovabili con data certa anteriore al termine di presentazione dell’offerta risultante dall’apposizione della marca temporale</w:t>
      </w:r>
      <w:bookmarkStart w:id="1678" w:name="_Hlk202279869"/>
      <w:r w:rsidR="004B2158">
        <w:rPr>
          <w:rFonts w:ascii="Titillium" w:hAnsi="Titillium"/>
          <w:sz w:val="18"/>
          <w:szCs w:val="18"/>
        </w:rPr>
        <w:t xml:space="preserve"> </w:t>
      </w:r>
      <w:r w:rsidR="009A36BA" w:rsidRPr="00AF481C">
        <w:rPr>
          <w:rFonts w:ascii="Titillium" w:hAnsi="Titillium"/>
          <w:sz w:val="18"/>
          <w:szCs w:val="18"/>
        </w:rPr>
        <w:t xml:space="preserve">o da ulteriori </w:t>
      </w:r>
      <w:r w:rsidR="00A2050A" w:rsidRPr="00AF481C">
        <w:rPr>
          <w:rFonts w:ascii="Titillium" w:hAnsi="Titillium"/>
          <w:sz w:val="18"/>
          <w:szCs w:val="18"/>
        </w:rPr>
        <w:t>riferimenti temporali</w:t>
      </w:r>
      <w:r w:rsidR="001A7635" w:rsidRPr="00AF481C">
        <w:rPr>
          <w:rFonts w:ascii="Titillium" w:hAnsi="Titillium"/>
          <w:sz w:val="18"/>
          <w:szCs w:val="18"/>
        </w:rPr>
        <w:t xml:space="preserve"> equivalenti ai sensi della vigente normativa; </w:t>
      </w:r>
      <w:bookmarkEnd w:id="1678"/>
    </w:p>
    <w:p w:rsidR="00A2050A" w:rsidRPr="00AF481C" w:rsidRDefault="00A2050A"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il non corretto ammontare della garanzia provvisoria;</w:t>
      </w:r>
    </w:p>
    <w:p w:rsidR="00C53C33" w:rsidRPr="00AF481C" w:rsidRDefault="00B72BC7"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lastRenderedPageBreak/>
        <w:t>l’erronea indicazione del beneficiario della garanzia provvisoria che non comporti la costituzione di una nuova polizza</w:t>
      </w:r>
      <w:r w:rsidR="00F34D0F" w:rsidRPr="00AF481C">
        <w:rPr>
          <w:rFonts w:ascii="Titillium" w:hAnsi="Titillium"/>
          <w:sz w:val="18"/>
          <w:szCs w:val="18"/>
        </w:rPr>
        <w:t>;</w:t>
      </w:r>
    </w:p>
    <w:p w:rsidR="00E622CD" w:rsidRPr="00AF481C" w:rsidRDefault="00E622CD"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la mancata produzione delle dichiarazioni dell’impresa ausiliaria;</w:t>
      </w:r>
    </w:p>
    <w:p w:rsidR="00E622CD" w:rsidRPr="00AF481C" w:rsidRDefault="00E622CD"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rsidR="00E622CD" w:rsidRPr="00AF481C" w:rsidRDefault="00E622CD" w:rsidP="00BE4F13">
      <w:pPr>
        <w:pStyle w:val="Paragrafoelenco"/>
        <w:numPr>
          <w:ilvl w:val="0"/>
          <w:numId w:val="47"/>
        </w:numPr>
        <w:spacing w:before="60" w:after="60"/>
        <w:ind w:left="426"/>
        <w:rPr>
          <w:rFonts w:ascii="Titillium" w:hAnsi="Titillium"/>
          <w:sz w:val="18"/>
          <w:szCs w:val="18"/>
        </w:rPr>
      </w:pPr>
      <w:r w:rsidRPr="00AF481C">
        <w:rPr>
          <w:rFonts w:ascii="Titillium" w:hAnsi="Titillium"/>
          <w:sz w:val="18"/>
          <w:szCs w:val="18"/>
        </w:rPr>
        <w:t>la mancata, incompleta o irregolar</w:t>
      </w:r>
      <w:r w:rsidR="00D26483" w:rsidRPr="00AF481C">
        <w:rPr>
          <w:rFonts w:ascii="Titillium" w:hAnsi="Titillium"/>
          <w:sz w:val="18"/>
          <w:szCs w:val="18"/>
        </w:rPr>
        <w:t xml:space="preserve">e </w:t>
      </w:r>
      <w:r w:rsidRPr="00AF481C">
        <w:rPr>
          <w:rFonts w:ascii="Titillium" w:hAnsi="Titillium"/>
          <w:sz w:val="18"/>
          <w:szCs w:val="18"/>
        </w:rPr>
        <w:t>traduzione</w:t>
      </w:r>
      <w:r w:rsidR="00B83ED9" w:rsidRPr="00AF481C">
        <w:rPr>
          <w:rFonts w:ascii="Titillium" w:hAnsi="Titillium"/>
          <w:sz w:val="18"/>
          <w:szCs w:val="18"/>
        </w:rPr>
        <w:t xml:space="preserve"> in italiano</w:t>
      </w:r>
      <w:r w:rsidRPr="00AF481C">
        <w:rPr>
          <w:rFonts w:ascii="Titillium" w:hAnsi="Titillium"/>
          <w:sz w:val="18"/>
          <w:szCs w:val="18"/>
        </w:rPr>
        <w:t xml:space="preserve"> della documentazione</w:t>
      </w:r>
      <w:r w:rsidR="002027DE" w:rsidRPr="00AF481C">
        <w:rPr>
          <w:rFonts w:ascii="Titillium" w:hAnsi="Titillium"/>
          <w:sz w:val="18"/>
          <w:szCs w:val="18"/>
        </w:rPr>
        <w:t xml:space="preserve"> di gara</w:t>
      </w:r>
      <w:r w:rsidR="00B83ED9" w:rsidRPr="00AF481C">
        <w:rPr>
          <w:rFonts w:ascii="Titillium" w:hAnsi="Titillium"/>
          <w:sz w:val="18"/>
          <w:szCs w:val="18"/>
        </w:rPr>
        <w:t>, quando</w:t>
      </w:r>
      <w:r w:rsidR="00EE23F8" w:rsidRPr="00AF481C">
        <w:rPr>
          <w:rFonts w:ascii="Titillium" w:hAnsi="Titillium"/>
          <w:sz w:val="18"/>
          <w:szCs w:val="18"/>
        </w:rPr>
        <w:t xml:space="preserve"> richiesta ai sensi del paragrafo 13.1</w:t>
      </w:r>
      <w:r w:rsidRPr="00AF481C">
        <w:rPr>
          <w:rFonts w:ascii="Titillium" w:hAnsi="Titillium"/>
          <w:sz w:val="18"/>
          <w:szCs w:val="18"/>
        </w:rPr>
        <w:t>.</w:t>
      </w:r>
    </w:p>
    <w:p w:rsidR="00E622CD" w:rsidRPr="00AF481C" w:rsidRDefault="00E622CD" w:rsidP="00E622CD">
      <w:pPr>
        <w:spacing w:before="60" w:after="60"/>
        <w:rPr>
          <w:rFonts w:ascii="Titillium" w:hAnsi="Titillium"/>
          <w:sz w:val="18"/>
          <w:szCs w:val="18"/>
        </w:rPr>
      </w:pPr>
      <w:r w:rsidRPr="00AF481C">
        <w:rPr>
          <w:rFonts w:ascii="Titillium" w:hAnsi="Titillium"/>
          <w:sz w:val="18"/>
          <w:szCs w:val="18"/>
        </w:rPr>
        <w:t xml:space="preserve">Non sono sanabili: </w:t>
      </w:r>
    </w:p>
    <w:p w:rsidR="00E622CD" w:rsidRPr="00AF481C" w:rsidRDefault="00E622CD" w:rsidP="00BE4F13">
      <w:pPr>
        <w:pStyle w:val="Paragrafoelenco"/>
        <w:numPr>
          <w:ilvl w:val="0"/>
          <w:numId w:val="43"/>
        </w:numPr>
        <w:suppressAutoHyphens/>
        <w:ind w:left="426"/>
        <w:contextualSpacing w:val="0"/>
        <w:rPr>
          <w:rFonts w:ascii="Titillium" w:hAnsi="Titillium"/>
          <w:sz w:val="18"/>
          <w:szCs w:val="18"/>
        </w:rPr>
      </w:pPr>
      <w:r w:rsidRPr="00AF481C">
        <w:rPr>
          <w:rFonts w:ascii="Titillium" w:hAnsi="Titillium"/>
          <w:sz w:val="18"/>
          <w:szCs w:val="18"/>
        </w:rPr>
        <w:t>il mancato possesso dei prescritti requisiti di partecipazione;</w:t>
      </w:r>
    </w:p>
    <w:p w:rsidR="00E622CD" w:rsidRPr="00AF481C" w:rsidRDefault="00E622CD" w:rsidP="00BE4F13">
      <w:pPr>
        <w:pStyle w:val="Paragrafoelenco"/>
        <w:numPr>
          <w:ilvl w:val="0"/>
          <w:numId w:val="43"/>
        </w:numPr>
        <w:suppressAutoHyphens/>
        <w:spacing w:before="60" w:after="60"/>
        <w:ind w:left="426"/>
        <w:contextualSpacing w:val="0"/>
      </w:pPr>
      <w:r w:rsidRPr="00AF481C">
        <w:rPr>
          <w:rFonts w:ascii="Titillium" w:hAnsi="Titillium"/>
          <w:sz w:val="18"/>
          <w:szCs w:val="18"/>
        </w:rPr>
        <w:t>le false dichiarazioni circa il possesso dei prescritti requisiti di partecipazione;</w:t>
      </w:r>
    </w:p>
    <w:p w:rsidR="00E622CD" w:rsidRPr="00AF481C" w:rsidRDefault="00E622CD" w:rsidP="00BE4F13">
      <w:pPr>
        <w:pStyle w:val="Paragrafoelenco"/>
        <w:numPr>
          <w:ilvl w:val="0"/>
          <w:numId w:val="43"/>
        </w:numPr>
        <w:suppressAutoHyphens/>
        <w:spacing w:before="60" w:after="120"/>
        <w:ind w:left="426"/>
        <w:contextualSpacing w:val="0"/>
        <w:rPr>
          <w:rFonts w:ascii="Titillium" w:hAnsi="Titillium"/>
          <w:sz w:val="18"/>
          <w:szCs w:val="18"/>
        </w:rPr>
      </w:pPr>
      <w:r w:rsidRPr="00AF481C">
        <w:rPr>
          <w:rFonts w:ascii="Titillium" w:hAnsi="Titillium"/>
          <w:sz w:val="18"/>
          <w:szCs w:val="18"/>
        </w:rPr>
        <w:t>la mancata indicazione nel contratto di avvalimento delle risorse messe a disposizione dell’ausiliario, in quanto causa di nullità del contratto di avvalimento;</w:t>
      </w:r>
    </w:p>
    <w:p w:rsidR="00E622CD" w:rsidRPr="00EB5A2C" w:rsidRDefault="00E622CD" w:rsidP="00BE4F13">
      <w:pPr>
        <w:pStyle w:val="Paragrafoelenco"/>
        <w:numPr>
          <w:ilvl w:val="0"/>
          <w:numId w:val="43"/>
        </w:numPr>
        <w:suppressAutoHyphens/>
        <w:ind w:left="426"/>
        <w:contextualSpacing w:val="0"/>
        <w:rPr>
          <w:rFonts w:ascii="Titillium" w:hAnsi="Titillium"/>
          <w:b/>
          <w:sz w:val="18"/>
          <w:szCs w:val="18"/>
        </w:rPr>
      </w:pPr>
      <w:r w:rsidRPr="00AF481C">
        <w:rPr>
          <w:rFonts w:ascii="Titillium" w:hAnsi="Titillium"/>
          <w:sz w:val="18"/>
          <w:szCs w:val="18"/>
        </w:rPr>
        <w:t>la sottoscrizione della garanzia provvisoria da parte di un soggetto non legittimato a rilasciare la garanzia o non autorizzato ad impegnare il garante</w:t>
      </w:r>
      <w:r w:rsidR="00970815">
        <w:rPr>
          <w:rFonts w:ascii="Titillium" w:hAnsi="Titillium"/>
          <w:sz w:val="18"/>
          <w:szCs w:val="18"/>
        </w:rPr>
        <w:t xml:space="preserve">, </w:t>
      </w:r>
      <w:r w:rsidR="00970815" w:rsidRPr="00970815">
        <w:rPr>
          <w:rFonts w:ascii="Titillium" w:hAnsi="Titillium"/>
          <w:sz w:val="18"/>
          <w:szCs w:val="18"/>
          <w:u w:val="single"/>
        </w:rPr>
        <w:t xml:space="preserve">da verificare secondo </w:t>
      </w:r>
      <w:r w:rsidR="00970815" w:rsidRPr="00970815">
        <w:rPr>
          <w:rFonts w:ascii="Titillium" w:hAnsi="Titillium" w:cs="Calibri"/>
          <w:sz w:val="18"/>
          <w:szCs w:val="24"/>
          <w:u w:val="single"/>
        </w:rPr>
        <w:t>le modalità di verifica messe a disposizione dall’emittente medesimo</w:t>
      </w:r>
      <w:r w:rsidR="00970815" w:rsidRPr="00970815">
        <w:rPr>
          <w:rFonts w:ascii="Titillium" w:hAnsi="Titillium"/>
          <w:sz w:val="18"/>
          <w:szCs w:val="18"/>
          <w:u w:val="single"/>
        </w:rPr>
        <w:t xml:space="preserve"> indicate dall’Operatore Economica </w:t>
      </w:r>
      <w:r w:rsidR="00970815" w:rsidRPr="00970815">
        <w:rPr>
          <w:rFonts w:ascii="Titillium" w:hAnsi="Titillium" w:cs="Calibri"/>
          <w:sz w:val="18"/>
          <w:szCs w:val="24"/>
          <w:u w:val="single"/>
        </w:rPr>
        <w:t>nella domanda di partecipazione</w:t>
      </w:r>
    </w:p>
    <w:p w:rsidR="00AE28AD" w:rsidRPr="00EB5A2C" w:rsidRDefault="00AE28AD" w:rsidP="00AE28AD">
      <w:pPr>
        <w:spacing w:before="60" w:after="60"/>
        <w:rPr>
          <w:rFonts w:ascii="Titillium" w:hAnsi="Titillium"/>
          <w:b/>
          <w:sz w:val="18"/>
          <w:szCs w:val="18"/>
        </w:rPr>
      </w:pPr>
    </w:p>
    <w:p w:rsidR="00A626D8" w:rsidRPr="00AF481C" w:rsidRDefault="005B279D" w:rsidP="00B91157">
      <w:pPr>
        <w:pStyle w:val="Paragrafoelenco"/>
        <w:ind w:left="0"/>
        <w:rPr>
          <w:rFonts w:ascii="Titillium" w:hAnsi="Titillium"/>
          <w:bCs/>
          <w:iCs/>
          <w:sz w:val="18"/>
          <w:szCs w:val="18"/>
        </w:rPr>
      </w:pPr>
      <w:r w:rsidRPr="00AF481C">
        <w:rPr>
          <w:rFonts w:ascii="Titillium" w:hAnsi="Titillium"/>
          <w:bCs/>
          <w:iCs/>
          <w:sz w:val="18"/>
          <w:szCs w:val="18"/>
        </w:rPr>
        <w:t>Inoltre,</w:t>
      </w:r>
      <w:r w:rsidR="00A626D8" w:rsidRPr="00AF481C">
        <w:rPr>
          <w:rFonts w:ascii="Titillium" w:hAnsi="Titillium"/>
          <w:bCs/>
          <w:iCs/>
          <w:sz w:val="18"/>
          <w:szCs w:val="18"/>
        </w:rPr>
        <w:t xml:space="preserve"> si rappresenta che:</w:t>
      </w:r>
    </w:p>
    <w:p w:rsidR="00B3747B" w:rsidRPr="00AF481C" w:rsidRDefault="00AE28AD" w:rsidP="00B91157">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sono sanabili l’omessa dichiarazione sull</w:t>
      </w:r>
      <w:r w:rsidR="00266661" w:rsidRPr="00AF481C">
        <w:rPr>
          <w:rFonts w:ascii="Titillium" w:hAnsi="Titillium"/>
          <w:sz w:val="18"/>
          <w:szCs w:val="18"/>
        </w:rPr>
        <w:t xml:space="preserve">’assolvimento degli </w:t>
      </w:r>
      <w:r w:rsidRPr="00AF481C">
        <w:rPr>
          <w:rFonts w:ascii="Titillium" w:hAnsi="Titillium"/>
          <w:sz w:val="18"/>
          <w:szCs w:val="18"/>
        </w:rPr>
        <w:t xml:space="preserve">obblighi di cui alla legge 68/1999 e, per i concorrenti che occupano oltre cinquanta dipendenti, l’omessa presentazione di copia </w:t>
      </w:r>
      <w:r w:rsidRPr="00AF481C">
        <w:rPr>
          <w:rFonts w:ascii="Titillium" w:hAnsi="Titillium" w:cs="Courier New"/>
          <w:sz w:val="18"/>
          <w:szCs w:val="18"/>
        </w:rPr>
        <w:t xml:space="preserve">dell’ultimo rapporto periodico sulla situazione del personale maschile e femminile, redatto ai sensi dell’articolo 46 decreto legislativo n. 198 del 2006, e </w:t>
      </w:r>
      <w:r w:rsidR="002C2A2A" w:rsidRPr="00AF481C">
        <w:rPr>
          <w:rFonts w:ascii="Titillium" w:hAnsi="Titillium" w:cs="Courier New"/>
          <w:sz w:val="18"/>
          <w:szCs w:val="18"/>
        </w:rPr>
        <w:t>la trasmissione dello stesso</w:t>
      </w:r>
      <w:r w:rsidRPr="00AF481C">
        <w:rPr>
          <w:rFonts w:ascii="Titillium" w:hAnsi="Titillium" w:cs="Courier New"/>
          <w:sz w:val="18"/>
          <w:szCs w:val="18"/>
        </w:rPr>
        <w:t xml:space="preserve"> alle rappresentanze sindacali e ai consiglieri regionali di parità, purché </w:t>
      </w:r>
      <w:r w:rsidR="00B3747B" w:rsidRPr="00AF481C">
        <w:rPr>
          <w:rFonts w:ascii="Titillium" w:hAnsi="Titillium" w:cs="Courier New"/>
          <w:sz w:val="18"/>
          <w:szCs w:val="18"/>
        </w:rPr>
        <w:t xml:space="preserve">il rapporto sia stato </w:t>
      </w:r>
      <w:r w:rsidRPr="00AF481C">
        <w:rPr>
          <w:rFonts w:ascii="Titillium" w:hAnsi="Titillium" w:cs="Courier New"/>
          <w:sz w:val="18"/>
          <w:szCs w:val="18"/>
        </w:rPr>
        <w:t xml:space="preserve">redatto e trasmesso in data anteriore al termine per la presentazione delle offerte; </w:t>
      </w:r>
    </w:p>
    <w:p w:rsidR="002C2A2A" w:rsidRPr="00AF481C" w:rsidRDefault="00AE28AD" w:rsidP="00CB4FC0">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 xml:space="preserve">non è sanabile mediante soccorso istruttorio l’omesso impegno ad assicurare, in caso di aggiudicazione del contratto, l’assunzione di una quota di </w:t>
      </w:r>
      <w:r w:rsidRPr="00AF481C">
        <w:rPr>
          <w:rFonts w:ascii="Titillium" w:hAnsi="Titillium" w:cs="Arial"/>
          <w:sz w:val="18"/>
          <w:szCs w:val="18"/>
        </w:rPr>
        <w:t>occupazione giovanile e femminile di cui a</w:t>
      </w:r>
      <w:r w:rsidR="000E16FD" w:rsidRPr="00AF481C">
        <w:rPr>
          <w:rFonts w:ascii="Titillium" w:hAnsi="Titillium" w:cs="Arial"/>
          <w:sz w:val="18"/>
          <w:szCs w:val="18"/>
        </w:rPr>
        <w:t>l paragrafo</w:t>
      </w:r>
      <w:fldSimple w:instr=" REF _Ref132050689 \r \h  \* MERGEFORMAT ">
        <w:r w:rsidR="00CA44F6">
          <w:t>9</w:t>
        </w:r>
      </w:fldSimple>
      <w:r w:rsidRPr="00AF481C">
        <w:rPr>
          <w:rFonts w:ascii="Titillium" w:hAnsi="Titillium" w:cs="Arial"/>
          <w:sz w:val="18"/>
          <w:szCs w:val="18"/>
        </w:rPr>
        <w:t xml:space="preserve"> del presente Disciplinare</w:t>
      </w:r>
      <w:r w:rsidR="00CB4FC0" w:rsidRPr="00AF481C">
        <w:rPr>
          <w:rFonts w:ascii="Titillium" w:hAnsi="Titillium" w:cs="Arial"/>
          <w:sz w:val="18"/>
          <w:szCs w:val="18"/>
        </w:rPr>
        <w:t>.</w:t>
      </w:r>
    </w:p>
    <w:p w:rsidR="002C2A2A" w:rsidRPr="00AF481C" w:rsidRDefault="002C2A2A" w:rsidP="002C2A2A">
      <w:pPr>
        <w:pStyle w:val="Paragrafoelenco"/>
        <w:spacing w:before="60" w:after="60"/>
        <w:contextualSpacing w:val="0"/>
        <w:rPr>
          <w:rFonts w:ascii="Titillium" w:hAnsi="Titillium"/>
          <w:sz w:val="18"/>
          <w:szCs w:val="18"/>
        </w:rPr>
      </w:pPr>
    </w:p>
    <w:p w:rsidR="00AE28AD" w:rsidRPr="00AF481C" w:rsidRDefault="00AE28AD" w:rsidP="00AE28AD">
      <w:pPr>
        <w:rPr>
          <w:rFonts w:ascii="Titillium" w:eastAsia="Calibri" w:hAnsi="Titillium"/>
          <w:sz w:val="18"/>
          <w:szCs w:val="18"/>
          <w:lang w:eastAsia="it-IT"/>
        </w:rPr>
      </w:pPr>
      <w:r w:rsidRPr="00AF481C">
        <w:rPr>
          <w:rFonts w:ascii="Titillium" w:eastAsia="Calibri" w:hAnsi="Titillium"/>
          <w:sz w:val="18"/>
          <w:szCs w:val="18"/>
          <w:lang w:eastAsia="it-IT"/>
        </w:rPr>
        <w:t xml:space="preserve">Ai fini del soccorso istruttorio </w:t>
      </w:r>
      <w:r w:rsidR="00223254" w:rsidRPr="00AF481C">
        <w:rPr>
          <w:rFonts w:ascii="Titillium" w:eastAsia="Calibri" w:hAnsi="Titillium"/>
          <w:sz w:val="18"/>
          <w:szCs w:val="18"/>
          <w:lang w:eastAsia="it-IT"/>
        </w:rPr>
        <w:t xml:space="preserve">la stazione appaltante assegna al concorrente un termine </w:t>
      </w:r>
      <w:r w:rsidRPr="00A2152C">
        <w:rPr>
          <w:rFonts w:ascii="Titillium" w:eastAsia="Calibri" w:hAnsi="Titillium" w:cs="Arial"/>
          <w:b/>
          <w:sz w:val="18"/>
          <w:szCs w:val="18"/>
          <w:lang w:eastAsia="it-IT"/>
        </w:rPr>
        <w:t>non inferiore a cinque e non superiore a dieci giorni</w:t>
      </w:r>
      <w:r w:rsidR="00223254" w:rsidRPr="00AF481C">
        <w:rPr>
          <w:rFonts w:ascii="Titillium" w:eastAsia="Calibri" w:hAnsi="Titillium" w:cs="Arial"/>
          <w:sz w:val="18"/>
          <w:szCs w:val="18"/>
          <w:lang w:eastAsia="it-IT"/>
        </w:rPr>
        <w:t xml:space="preserve">, </w:t>
      </w:r>
      <w:r w:rsidRPr="00AF481C">
        <w:rPr>
          <w:rFonts w:ascii="Titillium" w:eastAsia="Calibri" w:hAnsi="Titillium" w:cs="Arial"/>
          <w:sz w:val="18"/>
          <w:szCs w:val="18"/>
          <w:lang w:eastAsia="it-IT"/>
        </w:rPr>
        <w:t>affinché siano rese, integrate o regolarizzate le dichiarazioni necessarie, indicando il contenuto e i soggetti che le devono rendere</w:t>
      </w:r>
      <w:r w:rsidR="00223254" w:rsidRPr="00AF481C">
        <w:rPr>
          <w:rFonts w:ascii="Titillium" w:eastAsia="Calibri" w:hAnsi="Titillium" w:cs="Arial"/>
          <w:sz w:val="18"/>
          <w:szCs w:val="18"/>
          <w:lang w:eastAsia="it-IT"/>
        </w:rPr>
        <w:t>,</w:t>
      </w:r>
      <w:r w:rsidRPr="00AF481C">
        <w:rPr>
          <w:rFonts w:ascii="Titillium" w:eastAsia="Calibri" w:hAnsi="Titillium" w:cs="Arial"/>
          <w:sz w:val="18"/>
          <w:szCs w:val="18"/>
          <w:lang w:eastAsia="it-IT"/>
        </w:rPr>
        <w:t xml:space="preserve"> nonché la sezione della PAD dove deve essere inserita</w:t>
      </w:r>
      <w:r w:rsidRPr="00AF481C">
        <w:rPr>
          <w:rFonts w:ascii="Titillium" w:eastAsia="Calibri" w:hAnsi="Titillium"/>
          <w:sz w:val="18"/>
          <w:szCs w:val="18"/>
          <w:lang w:eastAsia="it-IT"/>
        </w:rPr>
        <w:t xml:space="preserve"> la documentazione richiesta. </w:t>
      </w:r>
    </w:p>
    <w:p w:rsidR="00AE28AD" w:rsidRPr="00AF481C" w:rsidRDefault="00AE28AD" w:rsidP="00AE28AD">
      <w:pPr>
        <w:spacing w:before="60" w:after="60"/>
      </w:pPr>
      <w:r w:rsidRPr="00AF481C">
        <w:rPr>
          <w:rFonts w:ascii="Titillium" w:hAnsi="Titillium"/>
          <w:sz w:val="18"/>
          <w:szCs w:val="18"/>
        </w:rPr>
        <w:t>In caso di inutile decorso del termine, la stazione appaltante procede all’esclusione del concorrente dalla procedura.</w:t>
      </w:r>
    </w:p>
    <w:p w:rsidR="00AE28AD" w:rsidRPr="00AF481C" w:rsidRDefault="00AE28AD" w:rsidP="00AE28AD">
      <w:pPr>
        <w:spacing w:before="60" w:after="60"/>
        <w:rPr>
          <w:rFonts w:ascii="Titillium" w:hAnsi="Titillium"/>
          <w:sz w:val="18"/>
          <w:szCs w:val="18"/>
        </w:rPr>
      </w:pPr>
      <w:r w:rsidRPr="00AF481C">
        <w:rPr>
          <w:rFonts w:ascii="Titillium" w:hAnsi="Titillium"/>
          <w:sz w:val="18"/>
          <w:szCs w:val="18"/>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 stazione appaltante può sempre chiedere chiarimenti sui contenuti dell’offerta tecnica e dell’offerta economica e su ogni loro allegato. L’operatore economico è tenuto a fornire risposta nel termine </w:t>
      </w:r>
      <w:r w:rsidR="00EB5A2C">
        <w:rPr>
          <w:rFonts w:ascii="Titillium" w:hAnsi="Titillium"/>
          <w:sz w:val="18"/>
          <w:szCs w:val="18"/>
        </w:rPr>
        <w:t xml:space="preserve">indicato </w:t>
      </w:r>
      <w:r w:rsidRPr="0016636E">
        <w:rPr>
          <w:rFonts w:ascii="Titillium" w:hAnsi="Titillium"/>
          <w:iCs/>
          <w:sz w:val="18"/>
          <w:szCs w:val="18"/>
        </w:rPr>
        <w:t>che non può essere inferiore a cinque giorni e superiore a dieci giorni</w:t>
      </w:r>
      <w:r w:rsidRPr="0016636E">
        <w:rPr>
          <w:rFonts w:ascii="Titillium" w:hAnsi="Titillium"/>
          <w:sz w:val="18"/>
          <w:szCs w:val="18"/>
        </w:rPr>
        <w:t>.</w:t>
      </w:r>
      <w:r w:rsidRPr="00AF481C">
        <w:rPr>
          <w:rFonts w:ascii="Titillium" w:hAnsi="Titillium"/>
          <w:sz w:val="18"/>
          <w:szCs w:val="18"/>
        </w:rPr>
        <w:t xml:space="preserve"> I chiarimenti resi dall’operatore economico non possono modificare il contenuto dell’offerta.</w:t>
      </w:r>
    </w:p>
    <w:p w:rsidR="00B80938" w:rsidRPr="00AF481C" w:rsidRDefault="00B80938" w:rsidP="00AE28AD">
      <w:pPr>
        <w:spacing w:before="60" w:after="60"/>
        <w:rPr>
          <w:rFonts w:ascii="Titillium" w:hAnsi="Titillium"/>
          <w:sz w:val="18"/>
          <w:szCs w:val="18"/>
        </w:rPr>
      </w:pPr>
    </w:p>
    <w:p w:rsidR="008A7055" w:rsidRDefault="00AE28AD" w:rsidP="00AE28AD">
      <w:pPr>
        <w:pStyle w:val="Titolo2"/>
        <w:numPr>
          <w:ilvl w:val="0"/>
          <w:numId w:val="3"/>
        </w:numPr>
        <w:spacing w:before="60" w:after="60"/>
      </w:pPr>
      <w:bookmarkStart w:id="1679" w:name="_Toc223087487"/>
      <w:r w:rsidRPr="000A1219">
        <w:t>DOMANDA DI PARTECIPAZIONE E DOCUMENTAZIONE AMMINISTRATIVA</w:t>
      </w:r>
      <w:bookmarkStart w:id="1680" w:name="_Ref481767076"/>
      <w:bookmarkStart w:id="1681" w:name="_Ref481767068"/>
      <w:bookmarkStart w:id="1682" w:name="_Toc354038186"/>
      <w:bookmarkStart w:id="1683" w:name="_Toc416423365"/>
      <w:bookmarkStart w:id="1684" w:name="_Toc406754180"/>
      <w:bookmarkStart w:id="1685" w:name="_Toc406058379"/>
      <w:bookmarkStart w:id="1686" w:name="_Toc403471273"/>
      <w:bookmarkStart w:id="1687" w:name="_Toc397422866"/>
      <w:bookmarkStart w:id="1688" w:name="_Toc397346825"/>
      <w:bookmarkStart w:id="1689" w:name="_Toc393706910"/>
      <w:bookmarkStart w:id="1690" w:name="_Toc393700837"/>
      <w:bookmarkStart w:id="1691" w:name="_Toc393283178"/>
      <w:bookmarkStart w:id="1692" w:name="_Toc393272662"/>
      <w:bookmarkStart w:id="1693" w:name="_Toc393272604"/>
      <w:bookmarkStart w:id="1694" w:name="_Toc393187848"/>
      <w:bookmarkStart w:id="1695" w:name="_Toc393112131"/>
      <w:bookmarkStart w:id="1696" w:name="_Toc393110567"/>
      <w:bookmarkStart w:id="1697" w:name="_Toc392577500"/>
      <w:bookmarkStart w:id="1698" w:name="_Toc391036059"/>
      <w:bookmarkStart w:id="1699" w:name="_Toc391035986"/>
      <w:bookmarkStart w:id="1700" w:name="_Toc380501873"/>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rsidR="00AE28AD" w:rsidRPr="008A7055" w:rsidRDefault="00AE28AD" w:rsidP="008A7055">
      <w:pPr>
        <w:spacing w:before="60" w:after="60"/>
        <w:rPr>
          <w:rFonts w:ascii="Titillium" w:hAnsi="Titillium"/>
          <w:sz w:val="18"/>
          <w:szCs w:val="18"/>
        </w:rPr>
      </w:pPr>
      <w:r w:rsidRPr="008A7055">
        <w:rPr>
          <w:rFonts w:ascii="Titillium" w:hAnsi="Titillium"/>
          <w:sz w:val="18"/>
          <w:szCs w:val="18"/>
        </w:rPr>
        <w:t xml:space="preserve">L’operatore economico utilizza la PAD </w:t>
      </w:r>
      <w:r w:rsidR="000A1219" w:rsidRPr="008A7055">
        <w:rPr>
          <w:rFonts w:ascii="Titillium" w:hAnsi="Titillium"/>
          <w:sz w:val="18"/>
          <w:szCs w:val="18"/>
        </w:rPr>
        <w:t>Sater</w:t>
      </w:r>
      <w:r w:rsidRPr="008A7055">
        <w:rPr>
          <w:rFonts w:ascii="Titillium" w:hAnsi="Titillium"/>
          <w:sz w:val="18"/>
          <w:szCs w:val="18"/>
        </w:rPr>
        <w:t xml:space="preserve"> per compilare o allegare la seguente documentazione:</w:t>
      </w:r>
    </w:p>
    <w:p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domanda di partecipazione</w:t>
      </w:r>
      <w:r w:rsidR="00897E8D" w:rsidRPr="00AF481C">
        <w:rPr>
          <w:rFonts w:ascii="Titillium" w:hAnsi="Titillium" w:cs="Calibri"/>
          <w:sz w:val="18"/>
          <w:szCs w:val="18"/>
        </w:rPr>
        <w:t>;</w:t>
      </w:r>
    </w:p>
    <w:p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lastRenderedPageBreak/>
        <w:t>DGUE</w:t>
      </w:r>
      <w:r w:rsidR="00897E8D" w:rsidRPr="00AF481C">
        <w:rPr>
          <w:rFonts w:ascii="Titillium" w:hAnsi="Titillium" w:cs="Calibri"/>
          <w:sz w:val="18"/>
          <w:szCs w:val="18"/>
        </w:rPr>
        <w:t>;</w:t>
      </w:r>
    </w:p>
    <w:p w:rsidR="00AE28AD" w:rsidRPr="00CB06C8" w:rsidRDefault="00AE28AD" w:rsidP="00CB06C8">
      <w:pPr>
        <w:pStyle w:val="Paragrafoelenco"/>
        <w:numPr>
          <w:ilvl w:val="0"/>
          <w:numId w:val="13"/>
        </w:numPr>
        <w:spacing w:before="60" w:after="60"/>
        <w:contextualSpacing w:val="0"/>
      </w:pPr>
      <w:r w:rsidRPr="00AF481C">
        <w:rPr>
          <w:rFonts w:ascii="Titillium" w:hAnsi="Titillium" w:cs="Calibri"/>
          <w:sz w:val="18"/>
          <w:szCs w:val="18"/>
        </w:rPr>
        <w:t>eventuale procura;</w:t>
      </w:r>
    </w:p>
    <w:p w:rsidR="00AE28AD" w:rsidRPr="00AF481C" w:rsidRDefault="00AE28AD" w:rsidP="00225033">
      <w:pPr>
        <w:pStyle w:val="Paragrafoelenco"/>
        <w:numPr>
          <w:ilvl w:val="0"/>
          <w:numId w:val="13"/>
        </w:numPr>
        <w:spacing w:before="60" w:after="60"/>
        <w:contextualSpacing w:val="0"/>
        <w:rPr>
          <w:rFonts w:ascii="Titillium" w:hAnsi="Titillium" w:cs="Calibri"/>
          <w:sz w:val="18"/>
          <w:szCs w:val="18"/>
        </w:rPr>
      </w:pPr>
      <w:r w:rsidRPr="00AF481C">
        <w:rPr>
          <w:rFonts w:ascii="Titillium" w:hAnsi="Titillium" w:cs="Calibri"/>
          <w:sz w:val="18"/>
          <w:szCs w:val="18"/>
        </w:rPr>
        <w:t xml:space="preserve">documentazione in caso di avvalimento di cui al </w:t>
      </w:r>
      <w:r w:rsidR="00B3747B" w:rsidRPr="00AF481C">
        <w:rPr>
          <w:rFonts w:ascii="Titillium" w:hAnsi="Titillium" w:cs="Calibri"/>
          <w:sz w:val="18"/>
          <w:szCs w:val="18"/>
        </w:rPr>
        <w:t xml:space="preserve">successivo </w:t>
      </w:r>
      <w:r w:rsidR="00E04037" w:rsidRPr="00AF481C">
        <w:rPr>
          <w:rFonts w:ascii="Titillium" w:hAnsi="Titillium" w:cs="Calibri"/>
          <w:sz w:val="18"/>
          <w:szCs w:val="18"/>
        </w:rPr>
        <w:t>paragrafo</w:t>
      </w:r>
      <w:r w:rsidRPr="00AF481C">
        <w:rPr>
          <w:rFonts w:ascii="Titillium" w:hAnsi="Titillium" w:cs="Calibri"/>
          <w:sz w:val="18"/>
          <w:szCs w:val="18"/>
        </w:rPr>
        <w:t xml:space="preserve"> 15.4;</w:t>
      </w:r>
    </w:p>
    <w:p w:rsidR="005968B3" w:rsidRPr="000A1219" w:rsidRDefault="00AE28AD" w:rsidP="007B4525">
      <w:pPr>
        <w:pStyle w:val="Paragrafoelenco"/>
        <w:numPr>
          <w:ilvl w:val="0"/>
          <w:numId w:val="13"/>
        </w:numPr>
        <w:spacing w:before="60" w:after="60"/>
        <w:contextualSpacing w:val="0"/>
      </w:pPr>
      <w:r w:rsidRPr="00AF481C">
        <w:rPr>
          <w:rFonts w:ascii="Titillium" w:hAnsi="Titillium" w:cs="Calibri"/>
          <w:sz w:val="18"/>
          <w:szCs w:val="18"/>
        </w:rPr>
        <w:t xml:space="preserve">documentazione per i soggetti associati di cui al </w:t>
      </w:r>
      <w:r w:rsidR="00B3747B" w:rsidRPr="00AF481C">
        <w:rPr>
          <w:rFonts w:ascii="Titillium" w:hAnsi="Titillium" w:cs="Calibri"/>
          <w:sz w:val="18"/>
          <w:szCs w:val="18"/>
        </w:rPr>
        <w:t xml:space="preserve">successivo </w:t>
      </w:r>
      <w:r w:rsidRPr="00AF481C">
        <w:rPr>
          <w:rFonts w:ascii="Titillium" w:hAnsi="Titillium" w:cs="Calibri"/>
          <w:sz w:val="18"/>
          <w:szCs w:val="18"/>
        </w:rPr>
        <w:t>p</w:t>
      </w:r>
      <w:r w:rsidR="00E04037" w:rsidRPr="00AF481C">
        <w:rPr>
          <w:rFonts w:ascii="Titillium" w:hAnsi="Titillium" w:cs="Calibri"/>
          <w:sz w:val="18"/>
          <w:szCs w:val="18"/>
        </w:rPr>
        <w:t xml:space="preserve">aragrafo </w:t>
      </w:r>
      <w:r w:rsidRPr="00AF481C">
        <w:rPr>
          <w:rFonts w:ascii="Titillium" w:hAnsi="Titillium" w:cs="Calibri"/>
          <w:sz w:val="18"/>
          <w:szCs w:val="18"/>
        </w:rPr>
        <w:t>15.5;</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Capitolato speciale firmato per accettazione;</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 xml:space="preserve">Allegato </w:t>
      </w:r>
      <w:r w:rsidR="00087E4E">
        <w:rPr>
          <w:rFonts w:ascii="Titillium" w:hAnsi="Titillium" w:cs="Calibri"/>
          <w:sz w:val="18"/>
          <w:szCs w:val="18"/>
        </w:rPr>
        <w:t>1</w:t>
      </w:r>
      <w:r w:rsidRPr="000A1219">
        <w:rPr>
          <w:rFonts w:ascii="Titillium" w:hAnsi="Titillium" w:cs="Calibri"/>
          <w:sz w:val="18"/>
          <w:szCs w:val="18"/>
        </w:rPr>
        <w:t xml:space="preserve"> Clausole vessatorie, firmato per accettazione;</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garanzia provvisoria, corredata dalla dichiarazione del firmatario ad essere legittimato ad impegnare il garante;</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per gli operatori economici che presentano la cauzione provvisoria in misura ridotta, ai sensi dell’art. 106, comma 8 del Codice. Copia conforme della certificazione di cui all’art. 106, comma 8 del Codice, che giustifica la riduzione dell’importo della cauzione</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 xml:space="preserve">copia informatica della ricevuta di avvenuto pagamento del contributo all’ANAC </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 xml:space="preserve">schema di contratto; </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 xml:space="preserve">ricevuta di pagamento elettronico dell’imposta di bollo o del bonifico bancario o, in alternativa, in caso di pagamento con marca da bollo, copia del contrassegno in formato.pdf. L’operatore economico assume ogni responsabilità in caso di utilizzo plurimo dei contrassegni oppure dichiarazione di esenzione dal pagamento dell’imposta di bollo con i riferimenti legislativi che motivano tale esenzione; </w:t>
      </w:r>
    </w:p>
    <w:p w:rsidR="000A1219" w:rsidRPr="000A1219" w:rsidRDefault="000A1219" w:rsidP="000A1219">
      <w:pPr>
        <w:pStyle w:val="Paragrafoelenco"/>
        <w:numPr>
          <w:ilvl w:val="0"/>
          <w:numId w:val="13"/>
        </w:numPr>
        <w:spacing w:before="60" w:after="60"/>
        <w:contextualSpacing w:val="0"/>
        <w:rPr>
          <w:rFonts w:ascii="Titillium" w:hAnsi="Titillium" w:cs="Calibri"/>
          <w:sz w:val="18"/>
          <w:szCs w:val="18"/>
        </w:rPr>
      </w:pPr>
      <w:r w:rsidRPr="000A1219">
        <w:rPr>
          <w:rFonts w:ascii="Titillium" w:hAnsi="Titillium" w:cs="Calibri"/>
          <w:sz w:val="18"/>
          <w:szCs w:val="18"/>
        </w:rPr>
        <w:t xml:space="preserve">responsabile trattamento dati personali del lotto di riferimento - Allegato 1. Descrizione delle attività di trattamento del lotto di riferimento; </w:t>
      </w:r>
    </w:p>
    <w:p w:rsidR="000A1219" w:rsidRPr="00AF481C" w:rsidRDefault="00A2152C" w:rsidP="000A1219">
      <w:pPr>
        <w:pStyle w:val="Paragrafoelenco"/>
        <w:numPr>
          <w:ilvl w:val="0"/>
          <w:numId w:val="13"/>
        </w:numPr>
        <w:spacing w:before="60" w:after="60"/>
        <w:contextualSpacing w:val="0"/>
      </w:pPr>
      <w:r>
        <w:rPr>
          <w:rFonts w:ascii="Titillium" w:hAnsi="Titillium" w:cs="Calibri"/>
          <w:sz w:val="18"/>
          <w:szCs w:val="18"/>
        </w:rPr>
        <w:t>r</w:t>
      </w:r>
      <w:r w:rsidR="000A1219" w:rsidRPr="000A1219">
        <w:rPr>
          <w:rFonts w:ascii="Titillium" w:hAnsi="Titillium" w:cs="Calibri"/>
          <w:sz w:val="18"/>
          <w:szCs w:val="18"/>
        </w:rPr>
        <w:t>esponsabile trattamento dati personali - Allegato 2. Istruzioni per il Responsabile del trattamento dei dati personali</w:t>
      </w:r>
      <w:r w:rsidR="000A1219" w:rsidRPr="000A1219">
        <w:rPr>
          <w:rFonts w:asciiTheme="minorHAnsi" w:hAnsiTheme="minorHAnsi" w:cstheme="minorHAnsi"/>
          <w:sz w:val="22"/>
        </w:rPr>
        <w:t>;</w:t>
      </w:r>
    </w:p>
    <w:p w:rsidR="00AE28AD" w:rsidRPr="00A2152C" w:rsidRDefault="00A2152C" w:rsidP="002D2D91">
      <w:pPr>
        <w:pStyle w:val="Paragrafoelenco"/>
        <w:numPr>
          <w:ilvl w:val="0"/>
          <w:numId w:val="13"/>
        </w:numPr>
        <w:spacing w:before="60" w:after="60"/>
        <w:contextualSpacing w:val="0"/>
      </w:pPr>
      <w:r w:rsidRPr="00A2152C">
        <w:rPr>
          <w:rFonts w:ascii="Titillium" w:hAnsi="Titillium" w:cs="Calibri"/>
          <w:bCs/>
          <w:iCs/>
          <w:sz w:val="18"/>
          <w:szCs w:val="18"/>
        </w:rPr>
        <w:t xml:space="preserve">Documentazione attestante i </w:t>
      </w:r>
      <w:r w:rsidR="002807C8" w:rsidRPr="00A2152C">
        <w:rPr>
          <w:rFonts w:ascii="Titillium" w:hAnsi="Titillium" w:cs="Calibri"/>
          <w:bCs/>
          <w:iCs/>
          <w:sz w:val="18"/>
          <w:szCs w:val="18"/>
        </w:rPr>
        <w:t>requisiti di cui al punto 6.1 b</w:t>
      </w:r>
    </w:p>
    <w:p w:rsidR="002807C8" w:rsidRPr="00A2152C" w:rsidRDefault="00A2152C" w:rsidP="002807C8">
      <w:pPr>
        <w:pStyle w:val="Paragrafoelenco"/>
        <w:numPr>
          <w:ilvl w:val="0"/>
          <w:numId w:val="13"/>
        </w:numPr>
        <w:spacing w:before="60" w:after="60"/>
        <w:contextualSpacing w:val="0"/>
      </w:pPr>
      <w:r w:rsidRPr="00A2152C">
        <w:rPr>
          <w:rFonts w:ascii="Titillium" w:hAnsi="Titillium" w:cs="Calibri"/>
          <w:bCs/>
          <w:iCs/>
          <w:sz w:val="18"/>
          <w:szCs w:val="18"/>
        </w:rPr>
        <w:t xml:space="preserve">Documentazione attestante i requisiti di cui al punto </w:t>
      </w:r>
      <w:r w:rsidR="002807C8" w:rsidRPr="00A2152C">
        <w:rPr>
          <w:rFonts w:ascii="Titillium" w:hAnsi="Titillium" w:cs="Calibri"/>
          <w:bCs/>
          <w:iCs/>
          <w:sz w:val="18"/>
          <w:szCs w:val="18"/>
        </w:rPr>
        <w:t>6.3</w:t>
      </w:r>
    </w:p>
    <w:p w:rsidR="002807C8" w:rsidRPr="00AF481C" w:rsidRDefault="002807C8" w:rsidP="002807C8">
      <w:pPr>
        <w:pStyle w:val="Paragrafoelenco"/>
        <w:spacing w:before="60" w:after="60"/>
        <w:contextualSpacing w:val="0"/>
      </w:pPr>
    </w:p>
    <w:p w:rsidR="00AE28AD" w:rsidRPr="00AF481C" w:rsidRDefault="00AE28AD" w:rsidP="00225033">
      <w:pPr>
        <w:pStyle w:val="Titolo3"/>
        <w:numPr>
          <w:ilvl w:val="1"/>
          <w:numId w:val="3"/>
        </w:numPr>
        <w:ind w:left="426" w:hanging="426"/>
      </w:pPr>
      <w:bookmarkStart w:id="1701" w:name="_Toc497728162"/>
      <w:bookmarkStart w:id="1702" w:name="_Toc497484964"/>
      <w:bookmarkStart w:id="1703" w:name="_Toc498419754"/>
      <w:bookmarkStart w:id="1704" w:name="_Toc497831556"/>
      <w:bookmarkStart w:id="1705" w:name="_Toc497728161"/>
      <w:bookmarkStart w:id="1706" w:name="_Toc497484963"/>
      <w:bookmarkStart w:id="1707" w:name="_Toc498419755"/>
      <w:bookmarkStart w:id="1708" w:name="_Toc497831557"/>
      <w:bookmarkStart w:id="1709" w:name="_Ref129785861"/>
      <w:bookmarkStart w:id="1710" w:name="_Ref129789908"/>
      <w:bookmarkStart w:id="1711" w:name="_Toc223087488"/>
      <w:bookmarkEnd w:id="1701"/>
      <w:bookmarkEnd w:id="1702"/>
      <w:bookmarkEnd w:id="1703"/>
      <w:bookmarkEnd w:id="1704"/>
      <w:bookmarkEnd w:id="1705"/>
      <w:bookmarkEnd w:id="1706"/>
      <w:bookmarkEnd w:id="1707"/>
      <w:bookmarkEnd w:id="1708"/>
      <w:r w:rsidRPr="00AF481C">
        <w:rPr>
          <w:rFonts w:ascii="Titillium" w:hAnsi="Titillium"/>
          <w:sz w:val="18"/>
          <w:szCs w:val="18"/>
        </w:rPr>
        <w:t>DOMANDA DI PARTECIPAZIONE ED EVENTUALE PROCURA</w:t>
      </w:r>
      <w:bookmarkEnd w:id="1709"/>
      <w:bookmarkEnd w:id="1710"/>
      <w:bookmarkEnd w:id="1711"/>
    </w:p>
    <w:p w:rsidR="00AE28AD" w:rsidRPr="00AF481C" w:rsidRDefault="00AE28AD" w:rsidP="00AE28AD">
      <w:pPr>
        <w:spacing w:before="60" w:after="60"/>
        <w:rPr>
          <w:rFonts w:ascii="Titillium" w:hAnsi="Titillium"/>
          <w:sz w:val="18"/>
          <w:szCs w:val="18"/>
        </w:rPr>
      </w:pPr>
      <w:r w:rsidRPr="00AF481C">
        <w:rPr>
          <w:rFonts w:ascii="Titillium" w:hAnsi="Titillium" w:cs="Calibri"/>
          <w:sz w:val="18"/>
          <w:szCs w:val="18"/>
        </w:rPr>
        <w:t xml:space="preserve">La domanda di partecipazione è redatta secondo il modello di cui all’allegato </w:t>
      </w:r>
      <w:r w:rsidR="007D2E10">
        <w:rPr>
          <w:rFonts w:ascii="Titillium" w:hAnsi="Titillium" w:cs="Calibri"/>
          <w:sz w:val="18"/>
          <w:szCs w:val="18"/>
        </w:rPr>
        <w:t>A</w:t>
      </w:r>
      <w:r w:rsidR="000A1219">
        <w:rPr>
          <w:rFonts w:ascii="Titillium" w:hAnsi="Titillium" w:cs="Calibri"/>
          <w:sz w:val="18"/>
          <w:szCs w:val="18"/>
        </w:rPr>
        <w:t xml:space="preserve"> Domanda di Partecipazione</w:t>
      </w:r>
      <w:bookmarkStart w:id="1712" w:name="_Toc4164233711"/>
      <w:bookmarkStart w:id="1713" w:name="_Toc4067541881"/>
      <w:bookmarkStart w:id="1714" w:name="_Toc4060583871"/>
      <w:bookmarkStart w:id="1715" w:name="_Toc4034712791"/>
      <w:bookmarkStart w:id="1716" w:name="_Toc3974228721"/>
      <w:bookmarkStart w:id="1717" w:name="_Toc3973468311"/>
      <w:bookmarkStart w:id="1718" w:name="_Toc3937069161"/>
      <w:bookmarkStart w:id="1719" w:name="_Toc3937008431"/>
      <w:bookmarkStart w:id="1720" w:name="_Toc3932831841"/>
      <w:bookmarkStart w:id="1721" w:name="_Toc3932726681"/>
      <w:bookmarkStart w:id="1722" w:name="_Toc3932726101"/>
      <w:bookmarkStart w:id="1723" w:name="_Toc3931878541"/>
      <w:bookmarkStart w:id="1724" w:name="_Toc3931121371"/>
      <w:bookmarkStart w:id="1725" w:name="_Toc3931105731"/>
      <w:bookmarkStart w:id="1726" w:name="_Toc3925775061"/>
      <w:bookmarkStart w:id="1727" w:name="_Toc3910360651"/>
      <w:bookmarkStart w:id="1728" w:name="_Toc3910359921"/>
      <w:bookmarkStart w:id="1729" w:name="_Toc3805018791"/>
      <w:bookmarkStart w:id="1730" w:name="_Toc609251781"/>
      <w:bookmarkStart w:id="1731" w:name="_Ref4984219821"/>
      <w:bookmarkStart w:id="1732" w:name="_Toc484688330"/>
      <w:bookmarkStart w:id="1733" w:name="_Toc484605461"/>
      <w:bookmarkStart w:id="1734" w:name="_Toc484605337"/>
      <w:bookmarkStart w:id="1735" w:name="_Toc484526617"/>
      <w:bookmarkStart w:id="1736" w:name="_Toc484449122"/>
      <w:bookmarkStart w:id="1737" w:name="_Toc484448998"/>
      <w:bookmarkStart w:id="1738" w:name="_Toc484448874"/>
      <w:bookmarkStart w:id="1739" w:name="_Toc484448751"/>
      <w:bookmarkStart w:id="1740" w:name="_Toc484448627"/>
      <w:bookmarkStart w:id="1741" w:name="_Toc484448503"/>
      <w:bookmarkStart w:id="1742" w:name="_Toc484448379"/>
      <w:bookmarkStart w:id="1743" w:name="_Toc484448255"/>
      <w:bookmarkStart w:id="1744" w:name="_Toc484448130"/>
      <w:bookmarkStart w:id="1745" w:name="_Toc484440471"/>
      <w:bookmarkStart w:id="1746" w:name="_Toc484440111"/>
      <w:bookmarkStart w:id="1747" w:name="_Toc484439987"/>
      <w:bookmarkStart w:id="1748" w:name="_Toc484439864"/>
      <w:bookmarkStart w:id="1749" w:name="_Toc484438944"/>
      <w:bookmarkStart w:id="1750" w:name="_Toc484438820"/>
      <w:bookmarkStart w:id="1751" w:name="_Toc484438696"/>
      <w:bookmarkStart w:id="1752" w:name="_Toc484429121"/>
      <w:bookmarkStart w:id="1753" w:name="_Toc484428951"/>
      <w:bookmarkStart w:id="1754" w:name="_Toc484097779"/>
      <w:bookmarkStart w:id="1755" w:name="_Toc484011705"/>
      <w:bookmarkStart w:id="1756" w:name="_Toc484011230"/>
      <w:bookmarkStart w:id="1757" w:name="_Toc484011108"/>
      <w:bookmarkStart w:id="1758" w:name="_Toc484010986"/>
      <w:bookmarkStart w:id="1759" w:name="_Toc484010862"/>
      <w:bookmarkStart w:id="1760" w:name="_Toc484010740"/>
      <w:bookmarkStart w:id="1761" w:name="_Toc483906990"/>
      <w:bookmarkStart w:id="1762" w:name="_Toc483571613"/>
      <w:bookmarkStart w:id="1763" w:name="_Toc483571492"/>
      <w:bookmarkStart w:id="1764" w:name="_Toc483474063"/>
      <w:bookmarkStart w:id="1765" w:name="_Toc483401266"/>
      <w:bookmarkStart w:id="1766" w:name="_Toc483325787"/>
      <w:bookmarkStart w:id="1767" w:name="_Toc483316484"/>
      <w:bookmarkStart w:id="1768" w:name="_Toc483316353"/>
      <w:bookmarkStart w:id="1769" w:name="_Toc483316221"/>
      <w:bookmarkStart w:id="1770" w:name="_Toc483316016"/>
      <w:bookmarkStart w:id="1771" w:name="_Toc483302395"/>
      <w:bookmarkStart w:id="1772" w:name="_Toc485218321"/>
      <w:bookmarkStart w:id="1773" w:name="_Toc484688885"/>
      <w:bookmarkStart w:id="1774" w:name="_Ref484611693"/>
      <w:bookmarkStart w:id="1775" w:name="_Ref484611690"/>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r w:rsidR="007D2E10">
        <w:rPr>
          <w:rFonts w:ascii="Titillium" w:hAnsi="Titillium" w:cs="Calibri"/>
          <w:sz w:val="18"/>
          <w:szCs w:val="18"/>
        </w:rPr>
        <w:t xml:space="preserve">. </w:t>
      </w:r>
      <w:r w:rsidRPr="00AF481C">
        <w:rPr>
          <w:rFonts w:ascii="Titillium" w:hAnsi="Titillium" w:cs="Calibri"/>
          <w:sz w:val="18"/>
          <w:szCs w:val="18"/>
        </w:rPr>
        <w:t>La domanda e le relative dichiarazioni sono sottoscritte</w:t>
      </w:r>
      <w:r w:rsidR="007D2E10">
        <w:rPr>
          <w:rFonts w:ascii="Titillium" w:hAnsi="Titillium" w:cs="Calibri"/>
          <w:sz w:val="18"/>
          <w:szCs w:val="18"/>
        </w:rPr>
        <w:t xml:space="preserve"> </w:t>
      </w:r>
      <w:r w:rsidRPr="00AF481C">
        <w:rPr>
          <w:rFonts w:ascii="Titillium" w:hAnsi="Titillium" w:cs="Calibri"/>
          <w:sz w:val="18"/>
          <w:szCs w:val="18"/>
        </w:rPr>
        <w:t>ai sensi del decreto legislativo n. 82/2005:</w:t>
      </w:r>
    </w:p>
    <w:p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dal concorrente che partecipa in forma singola;</w:t>
      </w:r>
    </w:p>
    <w:p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nel caso di raggruppamento temporaneo o consorzio ordinario o GEIE costituiti, dalla mandataria/capofila;</w:t>
      </w:r>
    </w:p>
    <w:p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nel caso di raggruppamento temporaneo o consorzio ordinario o GEIE non ancora costituiti, da tutti i soggetti che costituiranno il raggruppamento o il consorzio o il gruppo;</w:t>
      </w:r>
    </w:p>
    <w:p w:rsidR="00AE28AD" w:rsidRPr="00AF481C" w:rsidRDefault="00AE28AD" w:rsidP="00225033">
      <w:pPr>
        <w:pStyle w:val="Paragrafoelenco"/>
        <w:numPr>
          <w:ilvl w:val="0"/>
          <w:numId w:val="9"/>
        </w:numPr>
        <w:spacing w:before="60" w:after="60"/>
        <w:ind w:left="426" w:hanging="284"/>
        <w:contextualSpacing w:val="0"/>
        <w:rPr>
          <w:rFonts w:ascii="Titillium" w:hAnsi="Titillium" w:cs="Calibri"/>
          <w:sz w:val="18"/>
          <w:szCs w:val="18"/>
        </w:rPr>
      </w:pPr>
      <w:r w:rsidRPr="00AF481C">
        <w:rPr>
          <w:rFonts w:ascii="Titillium" w:hAnsi="Titillium" w:cs="Calibri"/>
          <w:sz w:val="18"/>
          <w:szCs w:val="18"/>
        </w:rPr>
        <w:t>nel caso di aggregazioni di retisti:</w:t>
      </w:r>
    </w:p>
    <w:p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rPr>
        <w:t>se la rete è dotata di un organo comune con potere di rappresentanza e con soggettività giuridica, ai sensi dell’articolo 3, comma 4-</w:t>
      </w:r>
      <w:r w:rsidRPr="00AF481C">
        <w:rPr>
          <w:rFonts w:ascii="Titillium" w:hAnsi="Titillium" w:cs="Calibri"/>
          <w:i/>
          <w:sz w:val="18"/>
          <w:szCs w:val="18"/>
        </w:rPr>
        <w:t>quater</w:t>
      </w:r>
      <w:r w:rsidRPr="00AF481C">
        <w:rPr>
          <w:rFonts w:ascii="Titillium" w:hAnsi="Titillium" w:cs="Calibri"/>
          <w:sz w:val="18"/>
          <w:szCs w:val="18"/>
        </w:rPr>
        <w:t xml:space="preserve">, del </w:t>
      </w:r>
      <w:r w:rsidR="00897E8D" w:rsidRPr="00AF481C">
        <w:rPr>
          <w:rFonts w:ascii="Titillium" w:hAnsi="Titillium" w:cs="Calibri"/>
          <w:sz w:val="18"/>
          <w:szCs w:val="18"/>
        </w:rPr>
        <w:t>decreto-legge</w:t>
      </w:r>
      <w:r w:rsidRPr="00AF481C">
        <w:rPr>
          <w:rFonts w:ascii="Titillium" w:hAnsi="Titillium" w:cs="Calibri"/>
          <w:sz w:val="18"/>
          <w:szCs w:val="18"/>
        </w:rPr>
        <w:t xml:space="preserve"> 10 febbraio 2009, n. 5, la domanda di partecipazione deve essere sottoscritta dal solo operatore economico che riveste la funzione di organo comune;</w:t>
      </w:r>
    </w:p>
    <w:p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se la rete è dotata di un organo comune con potere di rappresentanza ma è priva di soggettività giuridica, ai sensi dell’articolo 3, comma 4-</w:t>
      </w:r>
      <w:r w:rsidRPr="00AF481C">
        <w:rPr>
          <w:rFonts w:ascii="Titillium" w:hAnsi="Titillium" w:cs="Calibri"/>
          <w:i/>
          <w:sz w:val="18"/>
          <w:szCs w:val="18"/>
          <w:lang w:eastAsia="it-IT"/>
        </w:rPr>
        <w:t>quater</w:t>
      </w:r>
      <w:r w:rsidRPr="00AF481C">
        <w:rPr>
          <w:rFonts w:ascii="Titillium" w:hAnsi="Titillium" w:cs="Calibri"/>
          <w:sz w:val="18"/>
          <w:szCs w:val="18"/>
          <w:lang w:eastAsia="it-IT"/>
        </w:rPr>
        <w:t xml:space="preserve">, del </w:t>
      </w:r>
      <w:r w:rsidR="00897E8D" w:rsidRPr="00AF481C">
        <w:rPr>
          <w:rFonts w:ascii="Titillium" w:hAnsi="Titillium" w:cs="Calibri"/>
          <w:sz w:val="18"/>
          <w:szCs w:val="18"/>
          <w:lang w:eastAsia="it-IT"/>
        </w:rPr>
        <w:t>decreto-legge</w:t>
      </w:r>
      <w:r w:rsidRPr="00AF481C">
        <w:rPr>
          <w:rFonts w:ascii="Titillium" w:hAnsi="Titillium" w:cs="Calibri"/>
          <w:sz w:val="18"/>
          <w:szCs w:val="18"/>
          <w:lang w:eastAsia="it-IT"/>
        </w:rPr>
        <w:t xml:space="preserve"> 10 febbraio 2009, n. 5, la domanda di partecipazione deve essere sottoscritta </w:t>
      </w:r>
      <w:r w:rsidRPr="00AF481C">
        <w:rPr>
          <w:rFonts w:ascii="Titillium" w:hAnsi="Titillium" w:cs="Calibri"/>
          <w:sz w:val="18"/>
          <w:szCs w:val="18"/>
        </w:rPr>
        <w:t>dal</w:t>
      </w:r>
      <w:r w:rsidRPr="00AF481C">
        <w:rPr>
          <w:rFonts w:ascii="Titillium" w:hAnsi="Titillium" w:cs="Calibri"/>
          <w:sz w:val="18"/>
          <w:szCs w:val="18"/>
          <w:lang w:eastAsia="it-IT"/>
        </w:rPr>
        <w:t xml:space="preserve">l’impresa che riveste le funzioni di organo comune nonché da ognuno dei retisti che partecipa alla gara; </w:t>
      </w:r>
    </w:p>
    <w:p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rsidR="00AE28AD" w:rsidRPr="00AF481C" w:rsidRDefault="00AE28AD" w:rsidP="00AE28AD">
      <w:pPr>
        <w:spacing w:before="60" w:after="60"/>
        <w:ind w:left="426" w:hanging="256"/>
        <w:rPr>
          <w:rFonts w:ascii="Titillium" w:hAnsi="Titillium"/>
          <w:sz w:val="18"/>
          <w:szCs w:val="18"/>
        </w:rPr>
      </w:pPr>
      <w:r w:rsidRPr="00AF481C">
        <w:rPr>
          <w:rFonts w:ascii="Titillium" w:hAnsi="Titillium" w:cs="Arial"/>
          <w:sz w:val="18"/>
          <w:szCs w:val="18"/>
        </w:rPr>
        <w:lastRenderedPageBreak/>
        <w:t xml:space="preserve">- </w:t>
      </w:r>
      <w:r w:rsidRPr="00AF481C">
        <w:rPr>
          <w:rFonts w:ascii="Titillium" w:hAnsi="Titillium" w:cs="Arial"/>
          <w:sz w:val="18"/>
          <w:szCs w:val="18"/>
        </w:rPr>
        <w:tab/>
        <w:t>nel</w:t>
      </w:r>
      <w:r w:rsidRPr="00AF481C">
        <w:rPr>
          <w:rFonts w:ascii="Titillium" w:hAnsi="Titillium" w:cs="Calibri"/>
          <w:sz w:val="18"/>
          <w:szCs w:val="18"/>
          <w:lang w:eastAsia="it-IT"/>
        </w:rPr>
        <w:t xml:space="preserve"> caso di consorzio di cooperative e imprese artigiane o di consorzio stabile di cui all’articolo 65, comma 2, lettera b), c) e d) del Codice, </w:t>
      </w:r>
      <w:r w:rsidRPr="00AF481C">
        <w:rPr>
          <w:rFonts w:ascii="Titillium" w:hAnsi="Titillium" w:cs="Calibri"/>
          <w:sz w:val="18"/>
          <w:szCs w:val="18"/>
        </w:rPr>
        <w:t>la domanda è sottoscritta</w:t>
      </w:r>
      <w:r w:rsidRPr="00AF481C">
        <w:rPr>
          <w:rFonts w:ascii="Titillium" w:hAnsi="Titillium" w:cs="Calibri"/>
          <w:sz w:val="18"/>
          <w:szCs w:val="18"/>
          <w:lang w:eastAsia="it-IT"/>
        </w:rPr>
        <w:t xml:space="preserve"> digitalmente dal consorzio medesimo.</w:t>
      </w:r>
    </w:p>
    <w:p w:rsidR="00AE28AD" w:rsidRPr="00AF481C" w:rsidRDefault="00AE28AD" w:rsidP="00AE28AD">
      <w:pPr>
        <w:rPr>
          <w:rFonts w:ascii="Titillium" w:hAnsi="Titillium"/>
          <w:iCs/>
          <w:sz w:val="18"/>
          <w:szCs w:val="18"/>
        </w:rPr>
      </w:pPr>
      <w:r w:rsidRPr="00AF481C">
        <w:rPr>
          <w:rFonts w:ascii="Titillium" w:hAnsi="Titillium"/>
          <w:sz w:val="18"/>
          <w:szCs w:val="18"/>
        </w:rPr>
        <w:t>La domanda e le relative dichiarazioni sono firmate dal legale rappresentante del concorrente o da un suo procuratore munito della relativa procura</w:t>
      </w:r>
      <w:r w:rsidRPr="00AF481C">
        <w:rPr>
          <w:rFonts w:ascii="Titillium" w:hAnsi="Titillium"/>
          <w:b/>
          <w:sz w:val="18"/>
          <w:szCs w:val="18"/>
        </w:rPr>
        <w:t xml:space="preserve">. </w:t>
      </w:r>
      <w:r w:rsidRPr="00AF481C">
        <w:rPr>
          <w:rFonts w:ascii="Titillium" w:hAnsi="Titillium"/>
          <w:sz w:val="18"/>
          <w:szCs w:val="18"/>
        </w:rPr>
        <w:t xml:space="preserve">In tal caso, il concorrente allega alla domanda copia conforme all’originale della procura. </w:t>
      </w:r>
      <w:r w:rsidRPr="00AF481C">
        <w:rPr>
          <w:rFonts w:ascii="Titillium" w:hAnsi="Titillium"/>
          <w:iCs/>
          <w:sz w:val="18"/>
          <w:szCs w:val="18"/>
        </w:rPr>
        <w:t>Non è necessario allegare la procura se dalla visura camerale del concorrente risulti l’indicazione espressa dei poteri rappresentativi conferiti al procuratore</w:t>
      </w:r>
      <w:r w:rsidR="00BB7451" w:rsidRPr="00AF481C">
        <w:rPr>
          <w:rFonts w:ascii="Titillium" w:hAnsi="Titillium"/>
          <w:iCs/>
          <w:sz w:val="18"/>
          <w:szCs w:val="18"/>
        </w:rPr>
        <w:t>.</w:t>
      </w:r>
    </w:p>
    <w:p w:rsidR="00BD3DDE" w:rsidRPr="00AF481C" w:rsidRDefault="00BD3DDE" w:rsidP="00AE28AD">
      <w:pPr>
        <w:rPr>
          <w:rFonts w:ascii="Titillium" w:hAnsi="Titillium"/>
          <w:iCs/>
          <w:sz w:val="18"/>
          <w:szCs w:val="18"/>
        </w:rPr>
      </w:pPr>
    </w:p>
    <w:p w:rsidR="00AE28AD" w:rsidRPr="00AF481C" w:rsidRDefault="00AE28AD" w:rsidP="00AE28AD">
      <w:pPr>
        <w:pStyle w:val="Paragrafoelenco"/>
        <w:spacing w:before="60" w:after="60"/>
        <w:ind w:left="0"/>
      </w:pPr>
      <w:r w:rsidRPr="00AF481C">
        <w:rPr>
          <w:rFonts w:ascii="Titillium" w:hAnsi="Titillium" w:cs="Calibri"/>
          <w:sz w:val="18"/>
          <w:szCs w:val="18"/>
        </w:rPr>
        <w:t xml:space="preserve">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@e.bollodell'Agenzia delle Entrate o </w:t>
      </w:r>
      <w:r w:rsidRPr="00AF481C">
        <w:rPr>
          <w:rFonts w:ascii="Titillium" w:hAnsi="Titillium" w:cs="Calibri"/>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p>
    <w:p w:rsidR="00AE28AD" w:rsidRPr="00AF481C" w:rsidRDefault="00AE28AD" w:rsidP="00AE28AD">
      <w:pPr>
        <w:pStyle w:val="Paragrafoelenco"/>
        <w:spacing w:before="60" w:after="60"/>
        <w:ind w:left="0"/>
      </w:pPr>
      <w:r w:rsidRPr="00AF481C">
        <w:rPr>
          <w:rFonts w:ascii="Titillium" w:hAnsi="Titillium" w:cs="Calibri"/>
          <w:sz w:val="18"/>
          <w:szCs w:val="18"/>
        </w:rPr>
        <w:t>A comprova del pagamento, il concorrente allega la ricevuta di pagamento elettronico ovvero del bonifico bancario.</w:t>
      </w:r>
    </w:p>
    <w:p w:rsidR="00745CC6" w:rsidRPr="00AF481C" w:rsidRDefault="00AE28AD" w:rsidP="00AE28AD">
      <w:pPr>
        <w:pStyle w:val="Paragrafoelenco"/>
        <w:spacing w:before="60" w:after="60"/>
        <w:ind w:left="0"/>
        <w:rPr>
          <w:rFonts w:ascii="Titillium" w:hAnsi="Titillium" w:cs="Calibri"/>
          <w:iCs/>
          <w:sz w:val="18"/>
          <w:szCs w:val="18"/>
        </w:rPr>
      </w:pPr>
      <w:r w:rsidRPr="00AF481C">
        <w:rPr>
          <w:rFonts w:ascii="Titillium" w:hAnsi="Titillium" w:cs="Calibri"/>
          <w:iCs/>
          <w:sz w:val="18"/>
          <w:szCs w:val="18"/>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rsidR="00AE28AD" w:rsidRPr="00AF481C" w:rsidRDefault="00AE28AD" w:rsidP="00AE28AD">
      <w:pPr>
        <w:pStyle w:val="Paragrafoelenco"/>
        <w:spacing w:before="60" w:after="60"/>
        <w:ind w:left="0"/>
        <w:rPr>
          <w:rFonts w:ascii="Titillium" w:hAnsi="Titillium" w:cs="Calibri"/>
          <w:iCs/>
          <w:sz w:val="18"/>
          <w:szCs w:val="18"/>
        </w:rPr>
      </w:pPr>
    </w:p>
    <w:p w:rsidR="00AE28AD" w:rsidRPr="00AF481C" w:rsidRDefault="00AE28AD" w:rsidP="00456D28">
      <w:pPr>
        <w:pStyle w:val="Paragrafoelenco"/>
        <w:pBdr>
          <w:top w:val="single" w:sz="4" w:space="1" w:color="auto"/>
          <w:left w:val="single" w:sz="4" w:space="4" w:color="auto"/>
          <w:bottom w:val="single" w:sz="4" w:space="1" w:color="auto"/>
          <w:right w:val="single" w:sz="4" w:space="4" w:color="auto"/>
        </w:pBdr>
        <w:spacing w:before="60" w:after="60"/>
        <w:ind w:left="0"/>
        <w:rPr>
          <w:rFonts w:ascii="Titillium" w:hAnsi="Titillium" w:cs="Arial"/>
          <w:i/>
          <w:sz w:val="18"/>
          <w:szCs w:val="18"/>
        </w:rPr>
      </w:pPr>
      <w:r w:rsidRPr="00AF481C">
        <w:rPr>
          <w:rFonts w:ascii="Titillium" w:hAnsi="Titillium" w:cs="Arial"/>
          <w:i/>
          <w:sz w:val="18"/>
          <w:szCs w:val="18"/>
        </w:rPr>
        <w:t xml:space="preserve">N.B. Le stazioni appaltanti considerano le esenzioni dal pagamento dell'imposta di bollo di cui al </w:t>
      </w:r>
      <w:hyperlink r:id="rId20" w:tgtFrame="_blank">
        <w:r w:rsidRPr="00AF481C">
          <w:rPr>
            <w:rFonts w:ascii="Titillium" w:hAnsi="Titillium" w:cs="Arial"/>
            <w:i/>
            <w:sz w:val="18"/>
            <w:szCs w:val="18"/>
          </w:rPr>
          <w:t>Decreto del Presidente della Repubblica n. 642/72, allegato B e al Decreto legislativo  n. 117/17, articolo 82</w:t>
        </w:r>
      </w:hyperlink>
      <w:r w:rsidRPr="00AF481C">
        <w:rPr>
          <w:rFonts w:ascii="Titillium" w:hAnsi="Titillium" w:cs="Arial"/>
          <w:i/>
          <w:sz w:val="18"/>
          <w:szCs w:val="18"/>
        </w:rPr>
        <w:t>.</w:t>
      </w:r>
      <w:bookmarkEnd w:id="1774"/>
      <w:bookmarkEnd w:id="1775"/>
    </w:p>
    <w:p w:rsidR="00A20D54" w:rsidRPr="00AF481C" w:rsidRDefault="00A20D54" w:rsidP="002268BB"/>
    <w:p w:rsidR="00AE28AD" w:rsidRPr="00AF481C" w:rsidRDefault="00AE28AD" w:rsidP="00225033">
      <w:pPr>
        <w:pStyle w:val="Titolo3"/>
        <w:numPr>
          <w:ilvl w:val="1"/>
          <w:numId w:val="3"/>
        </w:numPr>
        <w:ind w:left="426" w:hanging="426"/>
      </w:pPr>
      <w:bookmarkStart w:id="1776" w:name="_Toc223087489"/>
      <w:r w:rsidRPr="00AF481C">
        <w:rPr>
          <w:rFonts w:ascii="Titillium" w:hAnsi="Titillium"/>
          <w:sz w:val="18"/>
          <w:szCs w:val="18"/>
        </w:rPr>
        <w:t>DICHIAR</w:t>
      </w:r>
      <w:r w:rsidR="00302B01" w:rsidRPr="00AF481C">
        <w:rPr>
          <w:rFonts w:ascii="Titillium" w:hAnsi="Titillium"/>
          <w:sz w:val="18"/>
          <w:szCs w:val="18"/>
        </w:rPr>
        <w:t xml:space="preserve">AZIONI DA RENDERE A CURA DEGLI </w:t>
      </w:r>
      <w:r w:rsidRPr="00AF481C">
        <w:rPr>
          <w:rFonts w:ascii="Titillium" w:hAnsi="Titillium"/>
          <w:sz w:val="18"/>
          <w:szCs w:val="18"/>
        </w:rPr>
        <w:t xml:space="preserve">OPERATORI ECONOMICI AMMESSI AL CONCORDATO PREVENTIVO CON CONTINUITÀ AZIENDALE DI CUI ALL’ARTICOLO 372 del DECRETO LEGISLATIVO 12 GENNAIO </w:t>
      </w:r>
      <w:r w:rsidR="00302B01" w:rsidRPr="00AF481C">
        <w:rPr>
          <w:rFonts w:ascii="Titillium" w:hAnsi="Titillium"/>
          <w:sz w:val="18"/>
          <w:szCs w:val="18"/>
        </w:rPr>
        <w:t>2019</w:t>
      </w:r>
      <w:r w:rsidRPr="00AF481C">
        <w:rPr>
          <w:rFonts w:ascii="Titillium" w:hAnsi="Titillium"/>
          <w:sz w:val="18"/>
          <w:szCs w:val="18"/>
        </w:rPr>
        <w:t>, n. 14</w:t>
      </w:r>
      <w:bookmarkEnd w:id="1776"/>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2775B" w:rsidRPr="00AF481C">
        <w:rPr>
          <w:rFonts w:ascii="Titillium" w:hAnsi="Titillium" w:cs="Calibri"/>
          <w:sz w:val="18"/>
          <w:szCs w:val="18"/>
        </w:rPr>
        <w:t>.</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presenta una relazione di un professionista in possesso dei requisiti di </w:t>
      </w:r>
      <w:r w:rsidR="005D098A" w:rsidRPr="00AF481C">
        <w:rPr>
          <w:rFonts w:ascii="Titillium" w:hAnsi="Titillium" w:cs="Calibri"/>
          <w:sz w:val="18"/>
          <w:szCs w:val="18"/>
        </w:rPr>
        <w:t>cui all'articolo 2, comma 1, lettera o) del decreto legislativo succitato che attesta la conformità al piano e la ragionevole capacit</w:t>
      </w:r>
      <w:r w:rsidRPr="00AF481C">
        <w:rPr>
          <w:rFonts w:ascii="Titillium" w:hAnsi="Titillium" w:cs="Calibri"/>
          <w:sz w:val="18"/>
          <w:szCs w:val="18"/>
        </w:rPr>
        <w:t>à di adempimento del contratto.</w:t>
      </w:r>
    </w:p>
    <w:p w:rsidR="00A20D54" w:rsidRPr="00AF481C" w:rsidRDefault="00A20D54" w:rsidP="00AE28AD">
      <w:pPr>
        <w:spacing w:before="60" w:after="60"/>
        <w:rPr>
          <w:rFonts w:ascii="Titillium" w:hAnsi="Titillium" w:cs="Calibri"/>
          <w:sz w:val="18"/>
          <w:szCs w:val="18"/>
        </w:rPr>
      </w:pPr>
    </w:p>
    <w:p w:rsidR="00AE28AD" w:rsidRPr="00AF481C" w:rsidRDefault="00AE28AD" w:rsidP="00225033">
      <w:pPr>
        <w:pStyle w:val="Titolo3"/>
        <w:numPr>
          <w:ilvl w:val="1"/>
          <w:numId w:val="3"/>
        </w:numPr>
        <w:ind w:left="426" w:hanging="426"/>
      </w:pPr>
      <w:bookmarkStart w:id="1777" w:name="_Toc223087490"/>
      <w:r w:rsidRPr="00AF481C">
        <w:rPr>
          <w:rFonts w:ascii="Titillium" w:hAnsi="Titillium"/>
          <w:sz w:val="18"/>
          <w:szCs w:val="18"/>
        </w:rPr>
        <w:t xml:space="preserve">DICHIARAZIONI DA RENDERE </w:t>
      </w:r>
      <w:r w:rsidR="008733ED" w:rsidRPr="00AF481C">
        <w:rPr>
          <w:rFonts w:ascii="Titillium" w:hAnsi="Titillium"/>
          <w:sz w:val="18"/>
          <w:szCs w:val="18"/>
        </w:rPr>
        <w:t>NEL</w:t>
      </w:r>
      <w:r w:rsidRPr="00AF481C">
        <w:rPr>
          <w:rFonts w:ascii="Titillium" w:hAnsi="Titillium"/>
          <w:sz w:val="18"/>
          <w:szCs w:val="18"/>
        </w:rPr>
        <w:t xml:space="preserve"> DGUE</w:t>
      </w:r>
      <w:bookmarkEnd w:id="1777"/>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r w:rsidR="00FD2D27" w:rsidRPr="00AF481C">
        <w:rPr>
          <w:rFonts w:ascii="Titillium" w:hAnsi="Titillium" w:cs="Calibri"/>
          <w:sz w:val="18"/>
          <w:szCs w:val="18"/>
        </w:rPr>
        <w:t>.</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Le dichiarazioni in ordine all’insussistenza delle cause non automatiche di esclusione di cui all’articolo 98, comma </w:t>
      </w:r>
      <w:r w:rsidR="00BE0C29" w:rsidRPr="00AF481C">
        <w:rPr>
          <w:rFonts w:ascii="Titillium" w:hAnsi="Titillium" w:cs="Calibri"/>
          <w:sz w:val="18"/>
          <w:szCs w:val="18"/>
        </w:rPr>
        <w:t>3</w:t>
      </w:r>
      <w:r w:rsidRPr="00AF481C">
        <w:rPr>
          <w:rFonts w:ascii="Titillium" w:hAnsi="Titillium" w:cs="Calibri"/>
          <w:sz w:val="18"/>
          <w:szCs w:val="18"/>
        </w:rPr>
        <w:t>, lettere g) ed h) del Codice sono rese dall’operatore economico in relazione ai soggetti di cui al punto precedente.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altre cause di esclusione sono rese in relazione all’operatore economico.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Con riferimento alle cause di esclusione di cui all’articolo 95 del Codice, il concorrente dichiara:</w:t>
      </w:r>
    </w:p>
    <w:p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lastRenderedPageBreak/>
        <w:t xml:space="preserve">le gravi infrazioni di cui all’articolo 95, comma 1, lettera a) del Codice commesse nei tre anni antecedenti la data di pubblicazione del bando di gara; </w:t>
      </w:r>
    </w:p>
    <w:p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gli atti e i provvedimenti indicati all’articolo 98 comma 6 del codice emessi nei tre anni antecedenti la data di pubblicazione del bando di gara</w:t>
      </w:r>
      <w:r w:rsidR="006271A4" w:rsidRPr="00AF481C">
        <w:rPr>
          <w:rFonts w:ascii="Titillium" w:hAnsi="Titillium" w:cs="Calibri"/>
          <w:sz w:val="18"/>
          <w:szCs w:val="18"/>
        </w:rPr>
        <w:t>;</w:t>
      </w:r>
    </w:p>
    <w:p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tutti gli altri comportamenti di cui all’articolo 98 del Codice, commessi nei tre anni antecedenti la data di pubblicazione del bando di gara.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dichiarazione di cui sopra deve essere resa anche nel caso di impugnazione in giudizio dei relativi provvedimenti</w:t>
      </w:r>
      <w:r w:rsidR="006E43ED" w:rsidRPr="00AF481C">
        <w:rPr>
          <w:rFonts w:ascii="Titillium" w:hAnsi="Titillium" w:cs="Calibri"/>
          <w:sz w:val="18"/>
          <w:szCs w:val="18"/>
        </w:rPr>
        <w:t>, fatta eccezione per la fattispecie di cui all’ art</w:t>
      </w:r>
      <w:r w:rsidR="00A20D54" w:rsidRPr="00AF481C">
        <w:rPr>
          <w:rFonts w:ascii="Titillium" w:hAnsi="Titillium" w:cs="Calibri"/>
          <w:sz w:val="18"/>
          <w:szCs w:val="18"/>
        </w:rPr>
        <w:t>icolo</w:t>
      </w:r>
      <w:r w:rsidR="006E43ED" w:rsidRPr="00AF481C">
        <w:rPr>
          <w:rFonts w:ascii="Titillium" w:hAnsi="Titillium" w:cs="Calibri"/>
          <w:sz w:val="18"/>
          <w:szCs w:val="18"/>
        </w:rPr>
        <w:t xml:space="preserve"> 98, comma 3, lett. e), per la quale va resa soltanto in caso di accertamento definitivo della violazione.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adotta le misure di self-cleaning che è stato impossibilitato ad adottare prima della presentazione dell’offerta e quelle relative a cause di esclusione che si sono verificate dopo tale momento.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rsidR="00A20D54" w:rsidRPr="00AF481C" w:rsidRDefault="00A20D54" w:rsidP="00AE28AD">
      <w:pPr>
        <w:spacing w:before="60" w:after="60"/>
        <w:rPr>
          <w:rFonts w:ascii="Titillium" w:hAnsi="Titillium" w:cs="Calibri"/>
          <w:sz w:val="18"/>
          <w:szCs w:val="18"/>
        </w:rPr>
      </w:pPr>
    </w:p>
    <w:p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Calibri"/>
          <w:i/>
          <w:iCs/>
          <w:sz w:val="18"/>
          <w:szCs w:val="18"/>
        </w:rPr>
        <w:t xml:space="preserve">NB. Le cause di esclusione di cui agli articoli 95, comma 1, lettere b), c) e d) e 98, comma </w:t>
      </w:r>
      <w:r w:rsidR="00BE0C29" w:rsidRPr="00AF481C">
        <w:rPr>
          <w:rFonts w:ascii="Titillium" w:hAnsi="Titillium" w:cs="Calibri"/>
          <w:i/>
          <w:iCs/>
          <w:sz w:val="18"/>
          <w:szCs w:val="18"/>
        </w:rPr>
        <w:t>3</w:t>
      </w:r>
      <w:r w:rsidRPr="00AF481C">
        <w:rPr>
          <w:rFonts w:ascii="Titillium" w:hAnsi="Titillium" w:cs="Calibri"/>
          <w:i/>
          <w:iCs/>
          <w:sz w:val="18"/>
          <w:szCs w:val="18"/>
        </w:rPr>
        <w:t xml:space="preserve">, lettera b) del Codice rilevano per la sola gara cui la condotta </w:t>
      </w:r>
      <w:r w:rsidR="005D098A" w:rsidRPr="00AF481C">
        <w:rPr>
          <w:rFonts w:ascii="Titillium" w:hAnsi="Titillium" w:cs="Calibri"/>
          <w:i/>
          <w:iCs/>
          <w:sz w:val="18"/>
          <w:szCs w:val="18"/>
        </w:rPr>
        <w:t>si</w:t>
      </w:r>
      <w:r w:rsidRPr="00AF481C">
        <w:rPr>
          <w:rFonts w:ascii="Titillium" w:hAnsi="Titillium" w:cs="Calibri"/>
          <w:i/>
          <w:iCs/>
          <w:sz w:val="18"/>
          <w:szCs w:val="18"/>
        </w:rPr>
        <w:t xml:space="preserve"> riferisce. Pertanto, tali circostanze non devono essere dichiarate in occasione della partecipazione a gare successive e i relativi provvedimenti non sono inseriti nel FVOE.</w:t>
      </w:r>
    </w:p>
    <w:p w:rsidR="00A20D54" w:rsidRPr="00AF481C" w:rsidRDefault="00A20D54" w:rsidP="002268BB">
      <w:bookmarkStart w:id="1778" w:name="_Ref132054207"/>
    </w:p>
    <w:p w:rsidR="00AE28AD" w:rsidRPr="00AF481C" w:rsidRDefault="00AE28AD" w:rsidP="00225033">
      <w:pPr>
        <w:pStyle w:val="Titolo3"/>
        <w:numPr>
          <w:ilvl w:val="1"/>
          <w:numId w:val="3"/>
        </w:numPr>
        <w:ind w:left="426" w:hanging="426"/>
        <w:rPr>
          <w:rFonts w:ascii="Titillium" w:hAnsi="Titillium"/>
          <w:sz w:val="18"/>
          <w:szCs w:val="18"/>
        </w:rPr>
      </w:pPr>
      <w:bookmarkStart w:id="1779" w:name="_Toc223087491"/>
      <w:r w:rsidRPr="00AF481C">
        <w:rPr>
          <w:rFonts w:ascii="Titillium" w:hAnsi="Titillium"/>
          <w:sz w:val="18"/>
          <w:szCs w:val="18"/>
        </w:rPr>
        <w:t>DOCUMENTAZIONE IN CASO DI AVVALIMENTO</w:t>
      </w:r>
      <w:bookmarkEnd w:id="1778"/>
      <w:bookmarkEnd w:id="1779"/>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L’impresa ausiliaria rende le dichiarazioni sul possesso dei requisiti di ordine generale mediante compilazione dell’apposita sezione del DGUE.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per ciascuna </w:t>
      </w:r>
      <w:r w:rsidR="00B3747B" w:rsidRPr="00AF481C">
        <w:rPr>
          <w:rFonts w:ascii="Titillium" w:hAnsi="Titillium" w:cs="Calibri"/>
          <w:sz w:val="18"/>
          <w:szCs w:val="18"/>
        </w:rPr>
        <w:t xml:space="preserve">impresa </w:t>
      </w:r>
      <w:r w:rsidRPr="00AF481C">
        <w:rPr>
          <w:rFonts w:ascii="Titillium" w:hAnsi="Titillium" w:cs="Calibri"/>
          <w:sz w:val="18"/>
          <w:szCs w:val="18"/>
        </w:rPr>
        <w:t>ausiliaria, allega:</w:t>
      </w:r>
    </w:p>
    <w:p w:rsidR="008733E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la dichiarazione di avvalimento;</w:t>
      </w:r>
    </w:p>
    <w:p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il contratto di avvalimento</w:t>
      </w:r>
      <w:r w:rsidR="00C5040E" w:rsidRPr="00AF481C">
        <w:rPr>
          <w:rFonts w:ascii="Titillium" w:hAnsi="Titillium" w:cs="Calibri"/>
          <w:sz w:val="18"/>
          <w:szCs w:val="18"/>
        </w:rPr>
        <w:t>, anche misto</w:t>
      </w:r>
      <w:r w:rsidR="00CB7401" w:rsidRPr="00AF481C">
        <w:rPr>
          <w:rFonts w:ascii="Titillium" w:hAnsi="Titillium" w:cs="Calibri"/>
          <w:sz w:val="18"/>
          <w:szCs w:val="18"/>
        </w:rPr>
        <w:t>;</w:t>
      </w:r>
    </w:p>
    <w:p w:rsidR="00CB7401" w:rsidRPr="00AF481C" w:rsidRDefault="002807C8" w:rsidP="00225033">
      <w:pPr>
        <w:pStyle w:val="Paragrafoelenco"/>
        <w:numPr>
          <w:ilvl w:val="2"/>
          <w:numId w:val="14"/>
        </w:numPr>
        <w:spacing w:before="60" w:after="60"/>
        <w:ind w:left="567" w:hanging="567"/>
        <w:contextualSpacing w:val="0"/>
        <w:rPr>
          <w:rFonts w:ascii="Titillium" w:hAnsi="Titillium" w:cs="Calibri"/>
          <w:i/>
          <w:iCs/>
          <w:sz w:val="18"/>
          <w:szCs w:val="18"/>
        </w:rPr>
      </w:pPr>
      <w:r w:rsidRPr="002807C8">
        <w:rPr>
          <w:rFonts w:ascii="Titillium" w:hAnsi="Titillium" w:cs="Calibri"/>
          <w:iCs/>
          <w:sz w:val="18"/>
          <w:szCs w:val="18"/>
        </w:rPr>
        <w:t>i</w:t>
      </w:r>
      <w:r w:rsidR="00923668" w:rsidRPr="002807C8">
        <w:rPr>
          <w:rFonts w:ascii="Titillium" w:hAnsi="Titillium" w:cs="Calibri"/>
          <w:iCs/>
          <w:sz w:val="18"/>
          <w:szCs w:val="18"/>
        </w:rPr>
        <w:t>l contratto di avvalimento premiale</w:t>
      </w:r>
      <w:r w:rsidR="00901173" w:rsidRPr="00AF481C">
        <w:rPr>
          <w:rFonts w:ascii="Titillium" w:hAnsi="Titillium" w:cs="Calibri"/>
          <w:i/>
          <w:iCs/>
          <w:sz w:val="18"/>
          <w:szCs w:val="18"/>
        </w:rPr>
        <w:t>.</w:t>
      </w:r>
    </w:p>
    <w:p w:rsidR="00AE28AD" w:rsidRPr="00AF481C" w:rsidRDefault="00AE28AD" w:rsidP="00AE28AD">
      <w:pPr>
        <w:spacing w:before="60" w:after="60"/>
        <w:rPr>
          <w:rFonts w:ascii="Titillium" w:hAnsi="Titillium" w:cs="Calibri"/>
          <w:sz w:val="18"/>
          <w:szCs w:val="18"/>
        </w:rPr>
      </w:pPr>
    </w:p>
    <w:p w:rsidR="00AE28AD" w:rsidRPr="00AF481C" w:rsidRDefault="00AE28AD" w:rsidP="00BB7451">
      <w:pPr>
        <w:pStyle w:val="Titolo3"/>
        <w:numPr>
          <w:ilvl w:val="1"/>
          <w:numId w:val="3"/>
        </w:numPr>
        <w:ind w:left="426" w:hanging="426"/>
        <w:rPr>
          <w:rFonts w:ascii="Titillium" w:hAnsi="Titillium"/>
          <w:sz w:val="18"/>
          <w:szCs w:val="18"/>
        </w:rPr>
      </w:pPr>
      <w:bookmarkStart w:id="1780" w:name="_Ref498427979"/>
      <w:bookmarkStart w:id="1781" w:name="_Toc223087492"/>
      <w:r w:rsidRPr="00AF481C">
        <w:rPr>
          <w:rFonts w:ascii="Titillium" w:hAnsi="Titillium"/>
          <w:sz w:val="18"/>
          <w:szCs w:val="18"/>
        </w:rPr>
        <w:t>DOCUMENTAZIONE ULTERIORE PER I SOGGETTI ASSOCIATI</w:t>
      </w:r>
      <w:bookmarkEnd w:id="1780"/>
      <w:bookmarkEnd w:id="1781"/>
    </w:p>
    <w:p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già costituiti</w:t>
      </w:r>
    </w:p>
    <w:p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 per atto pubblico o scrittura privata autenticata;</w:t>
      </w:r>
    </w:p>
    <w:p w:rsidR="004E0EC6" w:rsidRPr="00AF481C" w:rsidRDefault="00AE28AD" w:rsidP="00225033">
      <w:pPr>
        <w:pStyle w:val="Paragrafoelenco"/>
        <w:numPr>
          <w:ilvl w:val="0"/>
          <w:numId w:val="20"/>
        </w:numPr>
        <w:spacing w:before="60" w:after="60"/>
        <w:ind w:left="284" w:hanging="284"/>
        <w:contextualSpacing w:val="0"/>
        <w:rPr>
          <w:rFonts w:ascii="Titillium" w:hAnsi="Titillium"/>
          <w:b/>
          <w:sz w:val="18"/>
          <w:szCs w:val="18"/>
        </w:rPr>
      </w:pPr>
      <w:r w:rsidRPr="00AF481C">
        <w:rPr>
          <w:rFonts w:ascii="Titillium" w:hAnsi="Titillium" w:cs="Calibri"/>
          <w:sz w:val="18"/>
          <w:szCs w:val="18"/>
        </w:rPr>
        <w:t xml:space="preserve">dichiarazione delle parti del servizio/fornitura, ovvero della percentuale in caso di servizio/forniture indivisibili, che saranno eseguite dai singoli operatori economici riuniti. </w:t>
      </w:r>
    </w:p>
    <w:p w:rsidR="00AE28AD" w:rsidRPr="00AF481C" w:rsidRDefault="00AE28AD" w:rsidP="004E0EC6">
      <w:pPr>
        <w:spacing w:before="60" w:after="60"/>
        <w:rPr>
          <w:rFonts w:ascii="Titillium" w:hAnsi="Titillium"/>
          <w:b/>
          <w:sz w:val="18"/>
          <w:szCs w:val="18"/>
        </w:rPr>
      </w:pPr>
      <w:r w:rsidRPr="00AF481C">
        <w:rPr>
          <w:rFonts w:ascii="Titillium" w:hAnsi="Titillium"/>
          <w:b/>
          <w:sz w:val="18"/>
          <w:szCs w:val="18"/>
        </w:rPr>
        <w:t>Per i consorzi ordinari o GEIE già costituiti</w:t>
      </w:r>
    </w:p>
    <w:p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copia dell’atto costitutivo e dello statuto del consorzio o GEIE, con indicazione del soggetto designato quale capofila; </w:t>
      </w:r>
    </w:p>
    <w:p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lastRenderedPageBreak/>
        <w:t xml:space="preserve">dichiarazione sottoscritta delle parti del servizio/fornitura, ovvero la percentuale in caso di servizi/forniture indivisibili, che saranno eseguite dai singoli operatori economici consorziati. </w:t>
      </w:r>
    </w:p>
    <w:p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o consorzi ordinari o GEIE non ancora costituiti</w:t>
      </w:r>
    </w:p>
    <w:p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 dichiarazion</w:t>
      </w:r>
      <w:r w:rsidR="00041425" w:rsidRPr="00AF481C">
        <w:rPr>
          <w:rFonts w:ascii="Titillium" w:hAnsi="Titillium" w:cs="Calibri"/>
          <w:sz w:val="18"/>
          <w:szCs w:val="18"/>
        </w:rPr>
        <w:t>e</w:t>
      </w:r>
      <w:r w:rsidRPr="00AF481C">
        <w:rPr>
          <w:rFonts w:ascii="Titillium" w:hAnsi="Titillium" w:cs="Calibri"/>
          <w:sz w:val="18"/>
          <w:szCs w:val="18"/>
        </w:rPr>
        <w:t xml:space="preserve"> res</w:t>
      </w:r>
      <w:r w:rsidR="00041425" w:rsidRPr="00AF481C">
        <w:rPr>
          <w:rFonts w:ascii="Titillium" w:hAnsi="Titillium" w:cs="Calibri"/>
          <w:sz w:val="18"/>
          <w:szCs w:val="18"/>
        </w:rPr>
        <w:t>a</w:t>
      </w:r>
      <w:r w:rsidRPr="00AF481C">
        <w:rPr>
          <w:rFonts w:ascii="Titillium" w:hAnsi="Titillium" w:cs="Calibri"/>
          <w:sz w:val="18"/>
          <w:szCs w:val="18"/>
        </w:rPr>
        <w:t xml:space="preserve"> da ciascun concorrente, attestante:</w:t>
      </w:r>
    </w:p>
    <w:p w:rsidR="00AE28AD" w:rsidRPr="00AF481C" w:rsidRDefault="00AE28AD" w:rsidP="00A20D54">
      <w:pPr>
        <w:numPr>
          <w:ilvl w:val="0"/>
          <w:numId w:val="10"/>
        </w:numPr>
        <w:spacing w:before="60" w:after="60"/>
        <w:ind w:left="567" w:hanging="284"/>
        <w:rPr>
          <w:rFonts w:ascii="Titillium" w:hAnsi="Titillium" w:cs="Calibri"/>
          <w:sz w:val="18"/>
          <w:szCs w:val="18"/>
        </w:rPr>
      </w:pPr>
      <w:r w:rsidRPr="00AF481C">
        <w:rPr>
          <w:rFonts w:ascii="Titillium" w:hAnsi="Titillium" w:cs="Calibri"/>
          <w:sz w:val="18"/>
          <w:szCs w:val="18"/>
        </w:rPr>
        <w:t>a quale operatore economico, in caso di aggiudicazione, sarà conferito mandato speciale con rappresentanza o funzioni di capogruppo;</w:t>
      </w:r>
    </w:p>
    <w:p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 xml:space="preserve">le parti del servizio/fornitura, ovvero la percentuale in caso di servizio/forniture indivisibili, che saranno eseguite dai singoli operatori economici riuniti o consorziati. </w:t>
      </w:r>
    </w:p>
    <w:p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e soggettività giuridica</w:t>
      </w:r>
    </w:p>
    <w:p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copia del contratto di rete, con indicazione dell’organo comune che agisce in rappresentanza della rete</w:t>
      </w:r>
      <w:r w:rsidR="00041425" w:rsidRPr="00AF481C">
        <w:rPr>
          <w:rFonts w:ascii="Titillium" w:hAnsi="Titillium" w:cs="Calibri"/>
          <w:sz w:val="18"/>
          <w:szCs w:val="18"/>
        </w:rPr>
        <w:t>;</w:t>
      </w:r>
    </w:p>
    <w:p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che indichi per quali imprese la rete concorre; </w:t>
      </w:r>
    </w:p>
    <w:p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sottoscritta con firma digitale delle parti del servizio o della fornitura, ovvero la percentuale in caso di servizio/forniture indivisibili, eseguite dai singoli operatori economici aggregati in rete. </w:t>
      </w:r>
    </w:p>
    <w:p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ma è priva di soggettività giuridica</w:t>
      </w:r>
    </w:p>
    <w:p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copia del contratto di rete;</w:t>
      </w:r>
    </w:p>
    <w:p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 xml:space="preserve">copia del mandato collettivo irrevocabile con rappresentanza conferito all’organo comune; </w:t>
      </w:r>
    </w:p>
    <w:p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costituito</w:t>
      </w:r>
      <w:r w:rsidRPr="00AF481C">
        <w:rPr>
          <w:rFonts w:ascii="Titillium" w:hAnsi="Titillium" w:cs="Calibri"/>
          <w:sz w:val="18"/>
          <w:szCs w:val="18"/>
        </w:rPr>
        <w:t xml:space="preserve">: </w:t>
      </w:r>
    </w:p>
    <w:p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w:t>
      </w:r>
      <w:r w:rsidR="00B71663" w:rsidRPr="00AF481C">
        <w:rPr>
          <w:rFonts w:ascii="Titillium" w:hAnsi="Titillium" w:cs="Calibri"/>
          <w:sz w:val="18"/>
          <w:szCs w:val="18"/>
        </w:rPr>
        <w:t>;</w:t>
      </w:r>
    </w:p>
    <w:p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costituendo</w:t>
      </w:r>
      <w:r w:rsidRPr="00AF481C">
        <w:rPr>
          <w:rFonts w:ascii="Titillium" w:hAnsi="Titillium" w:cs="Calibri"/>
          <w:sz w:val="18"/>
          <w:szCs w:val="18"/>
        </w:rPr>
        <w:t xml:space="preserve">: </w:t>
      </w:r>
    </w:p>
    <w:p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dichiarazioni, rese da ciascun concorrente aderente all’aggregazione di rete, attestanti:</w:t>
      </w:r>
    </w:p>
    <w:p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a quale concorrente, in caso di aggiudicazione, sarà conferito mandato speciale con rappresentanza o funzioni di capogruppo;</w:t>
      </w:r>
    </w:p>
    <w:p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l’impegno, in caso di aggiudicazione, ad uniformarsi alla disciplina vigente in materia di raggruppamenti temporanei;</w:t>
      </w:r>
    </w:p>
    <w:p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le parti del servizio o della fornitura, ovvero la percentuale in caso di servizio/forniture indivisibili, eseguite dai singoli operatori economici aggregati in rete.</w:t>
      </w:r>
    </w:p>
    <w:p w:rsidR="00597011" w:rsidRPr="00AF481C" w:rsidRDefault="004E0EC6" w:rsidP="004E0EC6">
      <w:pPr>
        <w:spacing w:before="60" w:after="60"/>
        <w:rPr>
          <w:rFonts w:ascii="Titillium" w:hAnsi="Titillium" w:cs="Calibri"/>
          <w:b/>
          <w:bCs/>
          <w:sz w:val="18"/>
          <w:szCs w:val="18"/>
        </w:rPr>
      </w:pPr>
      <w:r w:rsidRPr="00AF481C">
        <w:rPr>
          <w:rFonts w:ascii="Titillium" w:hAnsi="Titillium" w:cs="Calibri"/>
          <w:b/>
          <w:bCs/>
          <w:sz w:val="18"/>
          <w:szCs w:val="18"/>
        </w:rPr>
        <w:lastRenderedPageBreak/>
        <w:t>Per i consorzi</w:t>
      </w:r>
      <w:r w:rsidR="00597011" w:rsidRPr="00AF481C">
        <w:rPr>
          <w:rFonts w:ascii="Titillium" w:hAnsi="Titillium" w:cs="Calibri"/>
          <w:b/>
          <w:bCs/>
          <w:sz w:val="18"/>
          <w:szCs w:val="18"/>
        </w:rPr>
        <w:t xml:space="preserve"> di cui all’art. 65, comma 2, lett. b), c) e d) del Codice</w:t>
      </w:r>
    </w:p>
    <w:p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DGUE compilato e sottoscritto da ciascuna con</w:t>
      </w:r>
      <w:r w:rsidR="00041425" w:rsidRPr="00AF481C">
        <w:rPr>
          <w:rFonts w:ascii="Titillium" w:hAnsi="Titillium" w:cs="Calibri"/>
          <w:sz w:val="18"/>
          <w:szCs w:val="18"/>
        </w:rPr>
        <w:t>s</w:t>
      </w:r>
      <w:r w:rsidRPr="00AF481C">
        <w:rPr>
          <w:rFonts w:ascii="Titillium" w:hAnsi="Titillium" w:cs="Calibri"/>
          <w:sz w:val="18"/>
          <w:szCs w:val="18"/>
        </w:rPr>
        <w:t xml:space="preserve">orziata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w:t>
      </w:r>
    </w:p>
    <w:p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 xml:space="preserve">dichiarazione resa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 attestante</w:t>
      </w:r>
      <w:r w:rsidR="00534C0E" w:rsidRPr="00AF481C">
        <w:rPr>
          <w:rFonts w:ascii="Titillium" w:hAnsi="Titillium" w:cs="Calibri"/>
          <w:sz w:val="18"/>
          <w:szCs w:val="18"/>
        </w:rPr>
        <w:t>:</w:t>
      </w:r>
    </w:p>
    <w:p w:rsidR="00D10F63" w:rsidRPr="00AF481C" w:rsidRDefault="00C773FD" w:rsidP="00A20D54">
      <w:pPr>
        <w:pStyle w:val="Paragrafoelenco"/>
        <w:numPr>
          <w:ilvl w:val="1"/>
          <w:numId w:val="10"/>
        </w:numPr>
        <w:spacing w:before="60" w:after="60"/>
        <w:ind w:left="709"/>
        <w:rPr>
          <w:rFonts w:ascii="Titillium" w:hAnsi="Titillium" w:cs="Calibri"/>
          <w:sz w:val="18"/>
          <w:szCs w:val="18"/>
        </w:rPr>
      </w:pPr>
      <w:r w:rsidRPr="00AF481C">
        <w:rPr>
          <w:rFonts w:ascii="Titillium" w:hAnsi="Titillium" w:cs="Calibri"/>
          <w:i/>
          <w:iCs/>
          <w:sz w:val="18"/>
          <w:szCs w:val="18"/>
        </w:rPr>
        <w:t>[Eventuale, in caso di servizi o forniture rientranti in una delle attività a maggior rischio di infiltrazione mafiosa di cui al comma 53, dell’art. 1, della legge 6 novembre 2012, n. 190</w:t>
      </w:r>
      <w:r w:rsidR="0083164D" w:rsidRPr="00AF481C">
        <w:rPr>
          <w:rFonts w:ascii="Titillium" w:hAnsi="Titillium" w:cs="Calibri"/>
          <w:i/>
          <w:iCs/>
          <w:sz w:val="18"/>
          <w:szCs w:val="18"/>
        </w:rPr>
        <w:t>]</w:t>
      </w:r>
      <w:r w:rsidR="0083164D" w:rsidRPr="00AF481C">
        <w:rPr>
          <w:rFonts w:ascii="Titillium" w:hAnsi="Titillium" w:cs="Calibri"/>
          <w:sz w:val="18"/>
          <w:szCs w:val="18"/>
        </w:rPr>
        <w:t>:</w:t>
      </w:r>
    </w:p>
    <w:p w:rsidR="00D10F63" w:rsidRPr="00AF481C" w:rsidRDefault="003079A0" w:rsidP="00A20D54">
      <w:pPr>
        <w:pStyle w:val="Paragrafoelenco"/>
        <w:numPr>
          <w:ilvl w:val="4"/>
          <w:numId w:val="10"/>
        </w:numPr>
        <w:spacing w:before="60" w:after="60"/>
        <w:ind w:left="851" w:hanging="142"/>
        <w:rPr>
          <w:rFonts w:ascii="Titillium" w:hAnsi="Titillium" w:cs="Calibri"/>
          <w:sz w:val="18"/>
          <w:szCs w:val="18"/>
        </w:rPr>
      </w:pPr>
      <w:r w:rsidRPr="00AF481C">
        <w:rPr>
          <w:rFonts w:ascii="Titillium" w:hAnsi="Titillium" w:cs="Calibri"/>
          <w:sz w:val="18"/>
          <w:szCs w:val="18"/>
        </w:rPr>
        <w:t>1</w:t>
      </w:r>
      <w:r w:rsidR="00C773FD" w:rsidRPr="00AF481C">
        <w:rPr>
          <w:rFonts w:ascii="Titillium" w:hAnsi="Titillium" w:cs="Calibri"/>
          <w:sz w:val="18"/>
          <w:szCs w:val="18"/>
        </w:rPr>
        <w:t>di essere iscritto nell’elenco dei fornitori, prestatori di servizi non soggetti a tentativo di infiltrazione mafiosa (c.d. White List)</w:t>
      </w:r>
      <w:r w:rsidR="00534C0E" w:rsidRPr="00AF481C">
        <w:rPr>
          <w:rFonts w:ascii="Titillium" w:hAnsi="Titillium" w:cs="Calibri"/>
          <w:sz w:val="18"/>
          <w:szCs w:val="18"/>
        </w:rPr>
        <w:t xml:space="preserve">, </w:t>
      </w:r>
      <w:r w:rsidR="00C773FD" w:rsidRPr="00AF481C">
        <w:rPr>
          <w:rFonts w:ascii="Titillium" w:hAnsi="Titillium" w:cs="Calibri"/>
          <w:sz w:val="18"/>
          <w:szCs w:val="18"/>
        </w:rPr>
        <w:t xml:space="preserve">indicando la Prefettura </w:t>
      </w:r>
      <w:r w:rsidR="00534C0E" w:rsidRPr="00AF481C">
        <w:rPr>
          <w:rFonts w:ascii="Titillium" w:hAnsi="Titillium" w:cs="Calibri"/>
          <w:sz w:val="18"/>
          <w:szCs w:val="18"/>
        </w:rPr>
        <w:t>presso cui l’elenco è istituito</w:t>
      </w:r>
      <w:bookmarkStart w:id="1782" w:name="_Hlk203730467"/>
      <w:r w:rsidR="00690976" w:rsidRPr="00AF481C">
        <w:rPr>
          <w:rFonts w:ascii="Titillium" w:hAnsi="Titillium" w:cs="Calibri"/>
          <w:sz w:val="18"/>
          <w:szCs w:val="18"/>
        </w:rPr>
        <w:t>;</w:t>
      </w:r>
    </w:p>
    <w:p w:rsidR="00534C0E"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204DDD" w:rsidRPr="00AF481C">
        <w:rPr>
          <w:rFonts w:ascii="Titillium" w:eastAsia="Calibri" w:hAnsi="Titillium" w:cs="Courier New"/>
          <w:b/>
          <w:i/>
          <w:iCs/>
          <w:sz w:val="18"/>
          <w:szCs w:val="18"/>
          <w:lang w:eastAsia="it-IT"/>
        </w:rPr>
        <w:t>o</w:t>
      </w:r>
      <w:r w:rsidRPr="00AF481C">
        <w:rPr>
          <w:rFonts w:ascii="Titillium" w:eastAsia="Calibri" w:hAnsi="Titillium" w:cs="Courier New"/>
          <w:b/>
          <w:i/>
          <w:iCs/>
          <w:sz w:val="18"/>
          <w:szCs w:val="18"/>
          <w:lang w:eastAsia="it-IT"/>
        </w:rPr>
        <w:t>)</w:t>
      </w:r>
    </w:p>
    <w:bookmarkEnd w:id="1782"/>
    <w:p w:rsidR="00D10F63" w:rsidRPr="00AF481C" w:rsidRDefault="00D10F63" w:rsidP="00A20D54">
      <w:pPr>
        <w:pStyle w:val="Titolo"/>
        <w:spacing w:before="60" w:after="60" w:line="276" w:lineRule="auto"/>
        <w:ind w:left="709"/>
        <w:rPr>
          <w:rFonts w:ascii="Titillium" w:hAnsi="Titillium" w:cs="Calibri"/>
          <w:sz w:val="18"/>
          <w:szCs w:val="18"/>
        </w:rPr>
      </w:pPr>
      <w:r w:rsidRPr="00AF481C">
        <w:rPr>
          <w:rFonts w:ascii="Titillium" w:hAnsi="Titillium" w:cs="Calibri"/>
          <w:sz w:val="18"/>
          <w:szCs w:val="18"/>
        </w:rPr>
        <w:t>a.</w:t>
      </w:r>
      <w:r w:rsidR="003079A0" w:rsidRPr="00AF481C">
        <w:rPr>
          <w:rFonts w:ascii="Titillium" w:hAnsi="Titillium" w:cs="Calibri"/>
          <w:sz w:val="18"/>
          <w:szCs w:val="18"/>
        </w:rPr>
        <w:t>.</w:t>
      </w:r>
      <w:r w:rsidRPr="00AF481C">
        <w:rPr>
          <w:rFonts w:ascii="Titillium" w:hAnsi="Titillium" w:cs="Calibri"/>
          <w:sz w:val="18"/>
          <w:szCs w:val="18"/>
        </w:rPr>
        <w:t xml:space="preserve">2 </w:t>
      </w:r>
      <w:r w:rsidR="00C773FD" w:rsidRPr="00AF481C">
        <w:rPr>
          <w:rFonts w:ascii="Titillium" w:hAnsi="Titillium" w:cs="Calibri"/>
          <w:sz w:val="18"/>
          <w:szCs w:val="18"/>
        </w:rPr>
        <w:t>di aver presentato la domanda di iscrizione o di rinnovo nell’elenco dei fornitori, prestatori di servizi non soggetti a tentativo di infiltrazione mafiosa</w:t>
      </w:r>
      <w:r w:rsidR="00534C0E" w:rsidRPr="00AF481C">
        <w:rPr>
          <w:rFonts w:ascii="Titillium" w:hAnsi="Titillium" w:cs="Calibri"/>
          <w:sz w:val="18"/>
          <w:szCs w:val="18"/>
        </w:rPr>
        <w:t>, indicando la Prefettura presso cui l’elenco è istituito;</w:t>
      </w:r>
    </w:p>
    <w:p w:rsidR="00D10F63" w:rsidRPr="00AF481C" w:rsidRDefault="00D10F63" w:rsidP="004F4B66">
      <w:pPr>
        <w:pStyle w:val="Paragrafoelenco"/>
        <w:numPr>
          <w:ilvl w:val="1"/>
          <w:numId w:val="10"/>
        </w:numPr>
        <w:spacing w:before="60" w:after="60"/>
        <w:ind w:left="851"/>
        <w:rPr>
          <w:rFonts w:ascii="Titillium" w:hAnsi="Titillium" w:cs="Calibri"/>
          <w:i/>
          <w:iCs/>
          <w:sz w:val="18"/>
          <w:szCs w:val="18"/>
        </w:rPr>
      </w:pPr>
      <w:r w:rsidRPr="00AF481C">
        <w:rPr>
          <w:rFonts w:ascii="Titillium" w:hAnsi="Titillium" w:cs="Calibri"/>
          <w:i/>
          <w:iCs/>
          <w:sz w:val="18"/>
          <w:szCs w:val="18"/>
        </w:rPr>
        <w:t>[Eventuale in caso di adozione di misure di self-cleaning]:</w:t>
      </w:r>
    </w:p>
    <w:p w:rsidR="00D10F63" w:rsidRPr="00AF481C" w:rsidRDefault="00D10F63" w:rsidP="004F4B66">
      <w:pPr>
        <w:ind w:left="709"/>
        <w:rPr>
          <w:rFonts w:ascii="Titillium" w:hAnsi="Titillium" w:cs="Calibri"/>
          <w:sz w:val="18"/>
          <w:szCs w:val="18"/>
        </w:rPr>
      </w:pPr>
      <w:r w:rsidRPr="00AF481C">
        <w:rPr>
          <w:rFonts w:ascii="Titillium" w:hAnsi="Titillium" w:cs="Calibri"/>
          <w:sz w:val="18"/>
          <w:szCs w:val="18"/>
        </w:rPr>
        <w:t>b.</w:t>
      </w:r>
      <w:r w:rsidR="004F4B66" w:rsidRPr="00AF481C">
        <w:rPr>
          <w:rFonts w:ascii="Titillium" w:hAnsi="Titillium" w:cs="Calibri"/>
          <w:sz w:val="18"/>
          <w:szCs w:val="18"/>
        </w:rPr>
        <w:t>1 di</w:t>
      </w:r>
      <w:r w:rsidRPr="00AF481C">
        <w:rPr>
          <w:rFonts w:ascii="Titillium" w:hAnsi="Titillium" w:cs="Calibri"/>
          <w:sz w:val="18"/>
          <w:szCs w:val="18"/>
        </w:rPr>
        <w:t xml:space="preserve"> avere inserito nel FVOE la relazione che illustra le misure di self cleaning adottate in relazione alle cause di esclusione verificate prima della presentazione della presente domanda e </w:t>
      </w:r>
      <w:r w:rsidR="0083164D" w:rsidRPr="00AF481C">
        <w:rPr>
          <w:rFonts w:ascii="Titillium" w:hAnsi="Titillium" w:cs="Calibri"/>
          <w:sz w:val="18"/>
          <w:szCs w:val="18"/>
        </w:rPr>
        <w:t xml:space="preserve">di aver indicato </w:t>
      </w:r>
      <w:r w:rsidRPr="00AF481C">
        <w:rPr>
          <w:rFonts w:ascii="Titillium" w:hAnsi="Titillium" w:cs="Calibri"/>
          <w:sz w:val="18"/>
          <w:szCs w:val="18"/>
        </w:rPr>
        <w:t>nel DGUE, il riferimento al documento caricato nel FVOE;</w:t>
      </w:r>
    </w:p>
    <w:p w:rsidR="00D10F63"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14469F">
        <w:rPr>
          <w:rFonts w:ascii="Titillium" w:eastAsia="Calibri" w:hAnsi="Titillium" w:cs="Courier New"/>
          <w:b/>
          <w:i/>
          <w:iCs/>
          <w:sz w:val="18"/>
          <w:szCs w:val="18"/>
          <w:lang w:eastAsia="it-IT"/>
        </w:rPr>
        <w:t>o</w:t>
      </w:r>
      <w:r w:rsidRPr="00AF481C">
        <w:rPr>
          <w:rFonts w:ascii="Titillium" w:eastAsia="Calibri" w:hAnsi="Titillium" w:cs="Courier New"/>
          <w:b/>
          <w:i/>
          <w:iCs/>
          <w:sz w:val="18"/>
          <w:szCs w:val="18"/>
          <w:lang w:eastAsia="it-IT"/>
        </w:rPr>
        <w:t xml:space="preserve">) </w:t>
      </w:r>
    </w:p>
    <w:p w:rsidR="00D10F63" w:rsidRPr="00AF481C" w:rsidRDefault="00D10F63" w:rsidP="004F4B66">
      <w:pPr>
        <w:pStyle w:val="Paragrafoelenco"/>
        <w:ind w:left="709"/>
        <w:rPr>
          <w:rFonts w:ascii="Titillium" w:hAnsi="Titillium" w:cs="Calibri"/>
          <w:sz w:val="18"/>
          <w:szCs w:val="18"/>
        </w:rPr>
      </w:pPr>
      <w:r w:rsidRPr="00AF481C">
        <w:rPr>
          <w:rFonts w:ascii="Titillium" w:hAnsi="Titillium" w:cs="Calibri"/>
          <w:sz w:val="18"/>
          <w:szCs w:val="18"/>
        </w:rPr>
        <w:t>b.2 di esser</w:t>
      </w:r>
      <w:r w:rsidR="003079A0" w:rsidRPr="00AF481C">
        <w:rPr>
          <w:rFonts w:ascii="Titillium" w:hAnsi="Titillium" w:cs="Calibri"/>
          <w:sz w:val="18"/>
          <w:szCs w:val="18"/>
        </w:rPr>
        <w:t>e</w:t>
      </w:r>
      <w:r w:rsidRPr="00AF481C">
        <w:rPr>
          <w:rFonts w:ascii="Titillium" w:hAnsi="Titillium" w:cs="Calibri"/>
          <w:sz w:val="18"/>
          <w:szCs w:val="18"/>
        </w:rPr>
        <w:t xml:space="preserve"> stato impossibilitato ad adottare misure di self cleaning per i seguenti motivi ……………………………. [indicare le motivazioni] e si impegna ad adottare misure idonee e a comunicare le stesse tempestivamente e comunque prima dell’aggiudicazione</w:t>
      </w:r>
      <w:r w:rsidR="006966DF" w:rsidRPr="00AF481C">
        <w:rPr>
          <w:rFonts w:ascii="Titillium" w:hAnsi="Titillium" w:cs="Calibri"/>
          <w:sz w:val="18"/>
          <w:szCs w:val="18"/>
        </w:rPr>
        <w:t>;</w:t>
      </w:r>
    </w:p>
    <w:p w:rsidR="006966DF"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 xml:space="preserve">[Eventuale, </w:t>
      </w:r>
      <w:r w:rsidR="00D10F63" w:rsidRPr="00AF481C">
        <w:rPr>
          <w:rFonts w:ascii="Titillium" w:hAnsi="Titillium" w:cs="Calibri"/>
          <w:i/>
          <w:iCs/>
          <w:sz w:val="18"/>
          <w:szCs w:val="18"/>
        </w:rPr>
        <w:t>in caso di sottoposizione a concordato preventivo con continuità aziendale</w:t>
      </w:r>
      <w:r w:rsidRPr="00AF481C">
        <w:rPr>
          <w:rFonts w:ascii="Titillium" w:hAnsi="Titillium" w:cs="Calibri"/>
          <w:i/>
          <w:iCs/>
          <w:sz w:val="18"/>
          <w:szCs w:val="18"/>
        </w:rPr>
        <w:t>]:</w:t>
      </w:r>
    </w:p>
    <w:p w:rsidR="00D10F63" w:rsidRPr="00AF481C" w:rsidRDefault="00D10F63" w:rsidP="00BE4F13">
      <w:pPr>
        <w:pStyle w:val="Titolo"/>
        <w:numPr>
          <w:ilvl w:val="0"/>
          <w:numId w:val="44"/>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che il provvedimento di ammissione al concordato è stato emesso il ……………. da …………………</w:t>
      </w:r>
    </w:p>
    <w:p w:rsidR="00D10F63" w:rsidRPr="00AF481C" w:rsidRDefault="00D10F63" w:rsidP="00BE4F13">
      <w:pPr>
        <w:pStyle w:val="Paragrafoelenco"/>
        <w:numPr>
          <w:ilvl w:val="0"/>
          <w:numId w:val="44"/>
        </w:numPr>
        <w:spacing w:before="60" w:after="60"/>
        <w:ind w:left="709" w:hanging="283"/>
        <w:rPr>
          <w:rFonts w:ascii="Titillium" w:hAnsi="Titillium" w:cs="Calibri"/>
          <w:sz w:val="18"/>
          <w:szCs w:val="18"/>
        </w:rPr>
      </w:pPr>
      <w:r w:rsidRPr="00AF481C">
        <w:rPr>
          <w:rFonts w:ascii="Titillium" w:hAnsi="Titillium" w:cs="Calibri"/>
          <w:sz w:val="18"/>
          <w:szCs w:val="18"/>
        </w:rPr>
        <w:t xml:space="preserve">che il provvedimento di autorizzazione a partecipare alle gare è stato emesso il ……………. </w:t>
      </w:r>
      <w:r w:rsidR="006966DF" w:rsidRPr="00AF481C">
        <w:rPr>
          <w:rFonts w:ascii="Titillium" w:hAnsi="Titillium" w:cs="Calibri"/>
          <w:sz w:val="18"/>
          <w:szCs w:val="18"/>
        </w:rPr>
        <w:t>d</w:t>
      </w:r>
      <w:r w:rsidRPr="00AF481C">
        <w:rPr>
          <w:rFonts w:ascii="Titillium" w:hAnsi="Titillium" w:cs="Calibri"/>
          <w:sz w:val="18"/>
          <w:szCs w:val="18"/>
        </w:rPr>
        <w:t>a</w:t>
      </w:r>
      <w:r w:rsidR="006966DF" w:rsidRPr="00AF481C">
        <w:rPr>
          <w:rFonts w:ascii="Titillium" w:hAnsi="Titillium" w:cs="Calibri"/>
          <w:sz w:val="18"/>
          <w:szCs w:val="18"/>
        </w:rPr>
        <w:t xml:space="preserve"> …….;</w:t>
      </w:r>
    </w:p>
    <w:p w:rsidR="00D10F63"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[Eventuale,</w:t>
      </w:r>
      <w:r w:rsidR="00727AC7" w:rsidRPr="00AF481C">
        <w:rPr>
          <w:rFonts w:ascii="Titillium" w:hAnsi="Titillium" w:cs="Calibri"/>
          <w:i/>
          <w:iCs/>
          <w:sz w:val="18"/>
          <w:szCs w:val="18"/>
        </w:rPr>
        <w:t xml:space="preserve"> i</w:t>
      </w:r>
      <w:r w:rsidR="00D10F63" w:rsidRPr="00AF481C">
        <w:rPr>
          <w:rFonts w:ascii="Titillium" w:hAnsi="Titillium" w:cs="Calibri"/>
          <w:i/>
          <w:iCs/>
          <w:sz w:val="18"/>
          <w:szCs w:val="18"/>
        </w:rPr>
        <w:t xml:space="preserve">n caso di </w:t>
      </w:r>
      <w:r w:rsidR="003079A0" w:rsidRPr="00AF481C">
        <w:rPr>
          <w:rFonts w:ascii="Titillium" w:hAnsi="Titillium" w:cs="Calibri"/>
          <w:i/>
          <w:iCs/>
          <w:sz w:val="18"/>
          <w:szCs w:val="18"/>
        </w:rPr>
        <w:t>s</w:t>
      </w:r>
      <w:r w:rsidR="00D10F63" w:rsidRPr="00AF481C">
        <w:rPr>
          <w:rFonts w:ascii="Titillium" w:hAnsi="Titillium" w:cs="Calibri"/>
          <w:i/>
          <w:iCs/>
          <w:sz w:val="18"/>
          <w:szCs w:val="18"/>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003079A0" w:rsidRPr="00AF481C">
        <w:rPr>
          <w:rFonts w:ascii="Titillium" w:hAnsi="Titillium" w:cs="Calibri"/>
          <w:i/>
          <w:iCs/>
          <w:sz w:val="18"/>
          <w:szCs w:val="18"/>
        </w:rPr>
        <w:t>]</w:t>
      </w:r>
      <w:r w:rsidRPr="00AF481C">
        <w:rPr>
          <w:rFonts w:ascii="Titillium" w:hAnsi="Titillium" w:cs="Calibri"/>
          <w:i/>
          <w:iCs/>
          <w:sz w:val="18"/>
          <w:szCs w:val="18"/>
        </w:rPr>
        <w:t>:</w:t>
      </w:r>
    </w:p>
    <w:p w:rsidR="00D10F63" w:rsidRPr="00AF481C" w:rsidRDefault="00D10F63" w:rsidP="00BE4F13">
      <w:pPr>
        <w:pStyle w:val="Titolo"/>
        <w:numPr>
          <w:ilvl w:val="0"/>
          <w:numId w:val="44"/>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che è stato emesso il provvedimento …. (indicare il tipo di provvedimento</w:t>
      </w:r>
      <w:r w:rsidR="005C29D8" w:rsidRPr="00AF481C">
        <w:rPr>
          <w:rFonts w:ascii="Titillium" w:eastAsia="Times New Roman" w:hAnsi="Titillium" w:cs="Calibri"/>
          <w:spacing w:val="0"/>
          <w:kern w:val="0"/>
          <w:sz w:val="18"/>
          <w:szCs w:val="18"/>
        </w:rPr>
        <w:t>:s</w:t>
      </w:r>
      <w:r w:rsidRPr="00AF481C">
        <w:rPr>
          <w:rFonts w:ascii="Titillium" w:eastAsia="Times New Roman" w:hAnsi="Titillium" w:cs="Calibri"/>
          <w:spacing w:val="0"/>
          <w:kern w:val="0"/>
          <w:sz w:val="18"/>
          <w:szCs w:val="18"/>
        </w:rPr>
        <w:t>ottoposizione a sequestro o confisca ai sensi dell'articolo 240-bis del codice penale o degli articoli 20 e 24 del decreto legislativo 6 settembre 2011, n. 159, e affidamento a custode o amministratore giudiziario o finanziario) in data … da parte di ….</w:t>
      </w:r>
      <w:r w:rsidR="006966DF" w:rsidRPr="00AF481C">
        <w:rPr>
          <w:rFonts w:ascii="Titillium" w:eastAsia="Times New Roman" w:hAnsi="Titillium" w:cs="Calibri"/>
          <w:spacing w:val="0"/>
          <w:kern w:val="0"/>
          <w:sz w:val="18"/>
          <w:szCs w:val="18"/>
        </w:rPr>
        <w:t>;</w:t>
      </w:r>
    </w:p>
    <w:p w:rsidR="00727AC7" w:rsidRPr="00AF481C" w:rsidRDefault="006D41F4"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w:t>
      </w:r>
      <w:r w:rsidR="00B75065" w:rsidRPr="00AF481C">
        <w:rPr>
          <w:rFonts w:ascii="Titillium" w:hAnsi="Titillium" w:cs="Calibri"/>
          <w:b/>
          <w:bCs/>
          <w:i/>
          <w:iCs/>
          <w:sz w:val="18"/>
          <w:szCs w:val="18"/>
        </w:rPr>
        <w:t>solo per i consorzi stabili</w:t>
      </w:r>
      <w:r w:rsidRPr="00AF481C">
        <w:rPr>
          <w:rFonts w:ascii="Titillium" w:hAnsi="Titillium" w:cs="Calibri"/>
          <w:i/>
          <w:iCs/>
          <w:sz w:val="18"/>
          <w:szCs w:val="18"/>
        </w:rPr>
        <w:t>]</w:t>
      </w:r>
      <w:r w:rsidR="004E0EC6" w:rsidRPr="00AF481C">
        <w:rPr>
          <w:rFonts w:ascii="Titillium" w:hAnsi="Titillium" w:cs="Calibri"/>
          <w:sz w:val="18"/>
          <w:szCs w:val="18"/>
        </w:rPr>
        <w:t>di non partecipare a più di un consorzio stabile</w:t>
      </w:r>
      <w:r w:rsidR="00041425" w:rsidRPr="00AF481C">
        <w:rPr>
          <w:rFonts w:ascii="Titillium" w:hAnsi="Titillium" w:cs="Calibri"/>
          <w:sz w:val="18"/>
          <w:szCs w:val="18"/>
        </w:rPr>
        <w:t>;</w:t>
      </w:r>
    </w:p>
    <w:p w:rsidR="001A0ADD" w:rsidRPr="00AF481C" w:rsidRDefault="001A0ADD" w:rsidP="004F4B66">
      <w:pPr>
        <w:pStyle w:val="Paragrafoelenco"/>
        <w:numPr>
          <w:ilvl w:val="1"/>
          <w:numId w:val="10"/>
        </w:numPr>
        <w:spacing w:before="60" w:after="60"/>
        <w:ind w:left="709" w:hanging="283"/>
        <w:rPr>
          <w:rFonts w:ascii="Titillium" w:hAnsi="Titillium"/>
          <w:sz w:val="18"/>
          <w:szCs w:val="18"/>
        </w:rPr>
      </w:pPr>
      <w:r w:rsidRPr="00AF481C">
        <w:rPr>
          <w:rFonts w:ascii="Titillium" w:hAnsi="Titillium"/>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rsidR="001A0ADD" w:rsidRPr="00AF481C" w:rsidRDefault="001A0ADD" w:rsidP="00041425">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 xml:space="preserve">(o) </w:t>
      </w:r>
    </w:p>
    <w:p w:rsidR="001A0ADD" w:rsidRPr="00AF481C" w:rsidRDefault="001A0ADD"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partecipare in più di una forma, ………………… </w:t>
      </w:r>
      <w:r w:rsidR="00897E8D" w:rsidRPr="00AF481C">
        <w:rPr>
          <w:rFonts w:ascii="Titillium" w:hAnsi="Titillium" w:cs="Calibri"/>
          <w:i/>
          <w:iCs/>
          <w:sz w:val="18"/>
          <w:szCs w:val="18"/>
        </w:rPr>
        <w:t>[i</w:t>
      </w:r>
      <w:r w:rsidRPr="00AF481C">
        <w:rPr>
          <w:rFonts w:ascii="Titillium" w:hAnsi="Titillium" w:cs="Calibri"/>
          <w:i/>
          <w:iCs/>
          <w:sz w:val="18"/>
          <w:szCs w:val="18"/>
        </w:rPr>
        <w:t>ndicare quali</w:t>
      </w:r>
      <w:r w:rsidR="00897E8D" w:rsidRPr="00AF481C">
        <w:rPr>
          <w:rFonts w:ascii="Titillium" w:hAnsi="Titillium" w:cs="Calibri"/>
          <w:i/>
          <w:iCs/>
          <w:sz w:val="18"/>
          <w:szCs w:val="18"/>
        </w:rPr>
        <w:t xml:space="preserve">] </w:t>
      </w:r>
      <w:r w:rsidRPr="00AF481C">
        <w:rPr>
          <w:rFonts w:ascii="Titillium" w:hAnsi="Titillium" w:cs="Calibri"/>
          <w:sz w:val="18"/>
          <w:szCs w:val="18"/>
        </w:rPr>
        <w:t>e inserisce nel FVOE idonea documentazione atta a dimostrare che la circostanza non ha influito sulla gara, né è idonea a incidere sulla capacità di rispettare gli obblighi contrattuali;</w:t>
      </w:r>
    </w:p>
    <w:p w:rsidR="00944CA3" w:rsidRPr="00AF481C" w:rsidRDefault="0014469F" w:rsidP="00041425">
      <w:pPr>
        <w:pStyle w:val="Paragrafoelenco"/>
        <w:spacing w:before="60" w:after="60"/>
        <w:ind w:left="-284" w:firstLine="695"/>
        <w:rPr>
          <w:rFonts w:ascii="Titillium" w:eastAsia="Calibri" w:hAnsi="Titillium" w:cs="Courier New"/>
          <w:b/>
          <w:i/>
          <w:iCs/>
          <w:sz w:val="18"/>
          <w:szCs w:val="18"/>
          <w:lang w:eastAsia="it-IT"/>
        </w:rPr>
      </w:pPr>
      <w:r>
        <w:rPr>
          <w:rFonts w:ascii="Titillium" w:eastAsia="Calibri" w:hAnsi="Titillium" w:cs="Courier New"/>
          <w:b/>
          <w:i/>
          <w:iCs/>
          <w:sz w:val="18"/>
          <w:szCs w:val="18"/>
          <w:lang w:eastAsia="it-IT"/>
        </w:rPr>
        <w:t>(o</w:t>
      </w:r>
      <w:r w:rsidR="00944CA3" w:rsidRPr="00AF481C">
        <w:rPr>
          <w:rFonts w:ascii="Titillium" w:eastAsia="Calibri" w:hAnsi="Titillium" w:cs="Courier New"/>
          <w:b/>
          <w:i/>
          <w:iCs/>
          <w:sz w:val="18"/>
          <w:szCs w:val="18"/>
          <w:lang w:eastAsia="it-IT"/>
        </w:rPr>
        <w:t xml:space="preserve">) </w:t>
      </w:r>
    </w:p>
    <w:p w:rsidR="00D40164" w:rsidRPr="00AF481C" w:rsidRDefault="001A0ADD"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avere prestato risorse, in qualità di impresa ausiliaria, al concorrente …. </w:t>
      </w:r>
      <w:r w:rsidR="00897E8D" w:rsidRPr="00AF481C">
        <w:rPr>
          <w:rFonts w:ascii="Titillium" w:hAnsi="Titillium" w:cs="Calibri"/>
          <w:i/>
          <w:iCs/>
          <w:sz w:val="18"/>
          <w:szCs w:val="18"/>
        </w:rPr>
        <w:t>[</w:t>
      </w:r>
      <w:r w:rsidRPr="00AF481C">
        <w:rPr>
          <w:rFonts w:ascii="Titillium" w:hAnsi="Titillium" w:cs="Calibri"/>
          <w:i/>
          <w:iCs/>
          <w:sz w:val="18"/>
          <w:szCs w:val="18"/>
        </w:rPr>
        <w:t>indicare il nominativo</w:t>
      </w:r>
      <w:r w:rsidR="00897E8D" w:rsidRPr="00AF481C">
        <w:rPr>
          <w:rFonts w:ascii="Titillium" w:hAnsi="Titillium" w:cs="Calibri"/>
          <w:i/>
          <w:iCs/>
          <w:sz w:val="18"/>
          <w:szCs w:val="18"/>
        </w:rPr>
        <w:t>]</w:t>
      </w:r>
      <w:r w:rsidRPr="00AF481C">
        <w:rPr>
          <w:rFonts w:ascii="Titillium" w:hAnsi="Titillium" w:cs="Calibri"/>
          <w:sz w:val="18"/>
          <w:szCs w:val="18"/>
        </w:rPr>
        <w:t>, che se ne è avvalso ai fini del miglioramento dell’offerta, e inserisce nel FVOE idonea documentazione atta a dimostrare che non sussistono collegamenti tali da ricondurre entrambe le imprese allo stesso centro decisionale</w:t>
      </w:r>
      <w:r w:rsidR="00D40164" w:rsidRPr="00AF481C">
        <w:rPr>
          <w:rFonts w:ascii="Titillium" w:hAnsi="Titillium" w:cs="Calibri"/>
          <w:sz w:val="18"/>
          <w:szCs w:val="18"/>
        </w:rPr>
        <w:t>;</w:t>
      </w:r>
    </w:p>
    <w:p w:rsidR="006966DF" w:rsidRPr="00AF481C" w:rsidRDefault="00D40164"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lastRenderedPageBreak/>
        <w:t>d</w:t>
      </w:r>
      <w:r w:rsidR="006966DF" w:rsidRPr="00AF481C">
        <w:rPr>
          <w:rFonts w:ascii="Titillium" w:hAnsi="Titillium" w:cs="Calibri"/>
          <w:sz w:val="18"/>
          <w:szCs w:val="18"/>
        </w:rPr>
        <w:t>i prestare il consenso al trattamento dei dati tramite il FVOE, nel rispetto di quanto previsto dal D.lgs. 196 del 30 giugno 2003, ai fini della verifica da parte della stazione appaltante del possesso dei requisiti dichiarati</w:t>
      </w:r>
      <w:r w:rsidR="00CA24B5" w:rsidRPr="00AF481C">
        <w:rPr>
          <w:rFonts w:ascii="Titillium" w:hAnsi="Titillium" w:cs="Calibri"/>
          <w:sz w:val="18"/>
          <w:szCs w:val="18"/>
        </w:rPr>
        <w:t>.</w:t>
      </w:r>
    </w:p>
    <w:p w:rsidR="006966DF" w:rsidRPr="00AF481C" w:rsidRDefault="006966DF" w:rsidP="00604C9A">
      <w:pPr>
        <w:ind w:left="774"/>
        <w:rPr>
          <w:rFonts w:ascii="Titillium" w:hAnsi="Titillium" w:cs="Calibri"/>
          <w:sz w:val="18"/>
          <w:szCs w:val="18"/>
        </w:rPr>
      </w:pPr>
    </w:p>
    <w:p w:rsidR="00AE28AD" w:rsidRPr="00AF481C" w:rsidRDefault="00AE28AD" w:rsidP="00604C9A">
      <w:pPr>
        <w:pStyle w:val="Titolo2"/>
        <w:numPr>
          <w:ilvl w:val="0"/>
          <w:numId w:val="3"/>
        </w:numPr>
      </w:pPr>
      <w:bookmarkStart w:id="1783" w:name="_Toc223087493"/>
      <w:r w:rsidRPr="00AF481C">
        <w:t>OFFERTA TECNICA</w:t>
      </w:r>
      <w:bookmarkEnd w:id="1783"/>
    </w:p>
    <w:p w:rsidR="00AE28AD" w:rsidRPr="00AF481C" w:rsidRDefault="00AE28AD" w:rsidP="00AE28AD">
      <w:pPr>
        <w:spacing w:before="60" w:after="60"/>
      </w:pPr>
      <w:bookmarkStart w:id="1784" w:name="_Toc406058382"/>
      <w:bookmarkStart w:id="1785" w:name="_Toc407013507"/>
      <w:bookmarkStart w:id="1786" w:name="_Toc406754183"/>
      <w:bookmarkEnd w:id="1784"/>
      <w:bookmarkEnd w:id="1785"/>
      <w:bookmarkEnd w:id="1786"/>
      <w:r w:rsidRPr="00AF481C">
        <w:rPr>
          <w:rFonts w:ascii="Titillium" w:hAnsi="Titillium" w:cs="Calibri"/>
          <w:sz w:val="18"/>
          <w:szCs w:val="18"/>
        </w:rPr>
        <w:t>L’operatore economico inserisce la documentazione relativa all’offerta tecnica nella PAD</w:t>
      </w:r>
      <w:r w:rsidRPr="00AF481C">
        <w:rPr>
          <w:rFonts w:ascii="Titillium" w:hAnsi="Titillium" w:cs="Calibri"/>
          <w:i/>
          <w:sz w:val="18"/>
          <w:szCs w:val="18"/>
        </w:rPr>
        <w:t xml:space="preserve">, </w:t>
      </w:r>
      <w:r w:rsidRPr="00AF481C">
        <w:rPr>
          <w:rFonts w:ascii="Titillium" w:hAnsi="Titillium" w:cs="Calibri"/>
          <w:iCs/>
          <w:sz w:val="18"/>
          <w:szCs w:val="18"/>
        </w:rPr>
        <w:t>a pena di inammissibilità dell’offerta. L’offerta è fi</w:t>
      </w:r>
      <w:r w:rsidRPr="00AF481C">
        <w:rPr>
          <w:rFonts w:ascii="Titillium" w:hAnsi="Titillium" w:cs="Calibri"/>
          <w:sz w:val="18"/>
          <w:szCs w:val="18"/>
        </w:rPr>
        <w:t>rmata secondo le modalità previste al precedente p</w:t>
      </w:r>
      <w:r w:rsidR="002F6CA3" w:rsidRPr="00AF481C">
        <w:rPr>
          <w:rFonts w:ascii="Titillium" w:hAnsi="Titillium" w:cs="Calibri"/>
          <w:sz w:val="18"/>
          <w:szCs w:val="18"/>
        </w:rPr>
        <w:t>aragrafo</w:t>
      </w:r>
      <w:fldSimple w:instr=" REF _Ref129785861 \r \h  \* MERGEFORMAT ">
        <w:r w:rsidR="00CA44F6" w:rsidRPr="00CA44F6">
          <w:rPr>
            <w:rFonts w:ascii="Titillium" w:hAnsi="Titillium" w:cs="Calibri"/>
            <w:sz w:val="18"/>
            <w:szCs w:val="18"/>
          </w:rPr>
          <w:t>15.1</w:t>
        </w:r>
      </w:fldSimple>
      <w:r w:rsidRPr="00AF481C">
        <w:rPr>
          <w:rFonts w:ascii="Titillium" w:hAnsi="Titillium" w:cs="Calibri"/>
          <w:sz w:val="18"/>
          <w:szCs w:val="18"/>
        </w:rPr>
        <w:t xml:space="preserve"> e deve contenere, a pena di esclusione, i seguenti documenti:</w:t>
      </w:r>
    </w:p>
    <w:p w:rsidR="00C5040E" w:rsidRPr="00AF481C" w:rsidRDefault="002807C8" w:rsidP="002807C8">
      <w:pPr>
        <w:pStyle w:val="Paragrafoelenco"/>
        <w:numPr>
          <w:ilvl w:val="0"/>
          <w:numId w:val="21"/>
        </w:numPr>
        <w:spacing w:before="60" w:after="60"/>
        <w:ind w:left="709"/>
        <w:contextualSpacing w:val="0"/>
      </w:pPr>
      <w:r>
        <w:rPr>
          <w:rFonts w:ascii="Titillium" w:hAnsi="Titillium" w:cs="Calibri"/>
          <w:sz w:val="18"/>
          <w:szCs w:val="18"/>
        </w:rPr>
        <w:t>relazione tecnica dei servizi</w:t>
      </w:r>
      <w:r w:rsidR="00AE28AD" w:rsidRPr="00AF481C">
        <w:rPr>
          <w:rFonts w:ascii="Titillium" w:hAnsi="Titillium" w:cs="Calibri"/>
          <w:sz w:val="18"/>
          <w:szCs w:val="18"/>
        </w:rPr>
        <w:t xml:space="preserve"> offerti;</w:t>
      </w:r>
    </w:p>
    <w:p w:rsidR="00AE28AD" w:rsidRPr="00AF481C" w:rsidRDefault="00AE28AD" w:rsidP="00AE28AD">
      <w:pPr>
        <w:spacing w:before="60" w:after="60"/>
        <w:rPr>
          <w:rFonts w:ascii="Titillium" w:hAnsi="Titillium" w:cs="Calibri"/>
          <w:sz w:val="18"/>
          <w:szCs w:val="18"/>
        </w:rPr>
      </w:pPr>
    </w:p>
    <w:p w:rsidR="00CF4243" w:rsidRPr="00AF481C" w:rsidRDefault="00AE28AD" w:rsidP="00AE28AD">
      <w:pPr>
        <w:spacing w:before="60" w:after="60"/>
        <w:rPr>
          <w:rFonts w:ascii="Titillium" w:hAnsi="Titillium" w:cs="Calibri"/>
          <w:b/>
          <w:i/>
          <w:sz w:val="18"/>
          <w:szCs w:val="18"/>
        </w:rPr>
      </w:pPr>
      <w:r w:rsidRPr="00AF481C">
        <w:rPr>
          <w:rFonts w:ascii="Titillium" w:hAnsi="Titillium" w:cs="Calibri"/>
          <w:sz w:val="18"/>
          <w:szCs w:val="18"/>
        </w:rPr>
        <w:t xml:space="preserve">La relazione contiene una proposta tecnico-organizzativa che illustra, con riferimento ai criteri e sub-criteri di valutazione indicati nella tabella di cui al successivo </w:t>
      </w:r>
      <w:r w:rsidR="00AD4FA5" w:rsidRPr="00AF481C">
        <w:rPr>
          <w:rFonts w:ascii="Titillium" w:hAnsi="Titillium" w:cs="Calibri"/>
          <w:sz w:val="18"/>
          <w:szCs w:val="18"/>
        </w:rPr>
        <w:t xml:space="preserve">paragrafo </w:t>
      </w:r>
      <w:r w:rsidR="00AD4FA5" w:rsidRPr="00A522A1">
        <w:rPr>
          <w:rFonts w:ascii="Titillium" w:hAnsi="Titillium" w:cs="Calibri"/>
          <w:b/>
          <w:sz w:val="18"/>
          <w:szCs w:val="18"/>
        </w:rPr>
        <w:t>18.1.</w:t>
      </w:r>
      <w:r w:rsidRPr="00A522A1">
        <w:rPr>
          <w:rFonts w:ascii="Titillium" w:hAnsi="Titillium" w:cs="Calibri"/>
          <w:b/>
          <w:sz w:val="18"/>
          <w:szCs w:val="18"/>
        </w:rPr>
        <w:t xml:space="preserve">, </w:t>
      </w:r>
      <w:r w:rsidR="00A522A1" w:rsidRPr="00A522A1">
        <w:rPr>
          <w:rFonts w:ascii="Titillium" w:hAnsi="Titillium" w:cs="Calibri"/>
          <w:b/>
          <w:sz w:val="18"/>
          <w:szCs w:val="18"/>
        </w:rPr>
        <w:t>Criteri di valutazione dell’offerta tecnica, le modalità di svolgimento del servizio e tenga conto delle caratteristiche e delle condizioni minime di esecuzione dello stesso, descritte nel presente disciplinare di gara e nel capitolato speciale. La relazione non dovrà superare indicativamente le venti facciate in formato A4 (Arial 11) debitamente numerate</w:t>
      </w:r>
      <w:r w:rsidR="00A522A1" w:rsidRPr="00A522A1">
        <w:rPr>
          <w:rFonts w:ascii="Titillium" w:hAnsi="Titillium" w:cs="Calibri"/>
          <w:sz w:val="18"/>
          <w:szCs w:val="18"/>
        </w:rPr>
        <w:t>.</w:t>
      </w:r>
    </w:p>
    <w:p w:rsidR="00CF4243" w:rsidRPr="00AF481C" w:rsidRDefault="00CF4243" w:rsidP="002807C8">
      <w:pPr>
        <w:spacing w:before="60" w:after="60"/>
        <w:rPr>
          <w:rFonts w:ascii="Titillium" w:hAnsi="Titillium" w:cs="Calibri"/>
          <w:b/>
          <w:bCs/>
          <w:sz w:val="18"/>
          <w:szCs w:val="18"/>
        </w:rPr>
      </w:pPr>
    </w:p>
    <w:p w:rsidR="00AE28AD" w:rsidRPr="00AF481C" w:rsidRDefault="00AE28AD" w:rsidP="00AE28AD">
      <w:pPr>
        <w:spacing w:before="60" w:after="60"/>
      </w:pPr>
      <w:r w:rsidRPr="00AF481C">
        <w:rPr>
          <w:rFonts w:ascii="Titillium" w:hAnsi="Titillium" w:cs="Calibri"/>
          <w:sz w:val="18"/>
          <w:szCs w:val="18"/>
        </w:rPr>
        <w:t>L’offerta tecnica deve rispettare, pena l’esclusione dalla procedura di gara, le caratteristiche minime stabilite nei documenti di gara, nel rispetto del principio di equivalenza.</w:t>
      </w:r>
    </w:p>
    <w:p w:rsidR="00B71663" w:rsidRPr="00AF481C" w:rsidRDefault="00B71663" w:rsidP="003B5C6D">
      <w:pPr>
        <w:rPr>
          <w:rFonts w:ascii="Titillium" w:hAnsi="Titillium"/>
          <w:b/>
          <w:i/>
          <w:sz w:val="18"/>
          <w:szCs w:val="18"/>
        </w:rPr>
      </w:pPr>
    </w:p>
    <w:p w:rsidR="00AE28AD" w:rsidRPr="00AF481C" w:rsidRDefault="00AE28AD" w:rsidP="00AE28AD">
      <w:pPr>
        <w:spacing w:before="60" w:after="60"/>
        <w:rPr>
          <w:rFonts w:ascii="Titillium" w:eastAsia="Calibri" w:hAnsi="Titillium"/>
          <w:color w:val="000000" w:themeColor="text1"/>
          <w:kern w:val="2"/>
          <w:sz w:val="18"/>
          <w:szCs w:val="18"/>
          <w:lang w:eastAsia="it-IT"/>
        </w:rPr>
      </w:pPr>
      <w:r w:rsidRPr="00AF481C">
        <w:rPr>
          <w:rFonts w:ascii="Titillium" w:hAnsi="Titillium" w:cs="Arial"/>
          <w:sz w:val="18"/>
          <w:szCs w:val="18"/>
        </w:rPr>
        <w:t xml:space="preserve">L’operatore economico dichiara di assumersi l’obbligo, in caso di aggiudicazione del contratto, di assicurare all’occupazione giovanile una quota di </w:t>
      </w:r>
      <w:r w:rsidR="002807C8">
        <w:rPr>
          <w:rFonts w:ascii="Titillium" w:hAnsi="Titillium" w:cs="Arial"/>
          <w:sz w:val="18"/>
          <w:szCs w:val="18"/>
        </w:rPr>
        <w:t>30</w:t>
      </w:r>
      <w:r w:rsidRPr="00AF481C">
        <w:rPr>
          <w:rFonts w:ascii="Titillium" w:hAnsi="Titillium" w:cs="Arial"/>
          <w:sz w:val="18"/>
          <w:szCs w:val="18"/>
        </w:rPr>
        <w:t xml:space="preserve"> % e a quella femminile una quota di </w:t>
      </w:r>
      <w:r w:rsidR="002807C8">
        <w:rPr>
          <w:rFonts w:ascii="Titillium" w:hAnsi="Titillium" w:cs="Arial"/>
          <w:sz w:val="18"/>
          <w:szCs w:val="18"/>
        </w:rPr>
        <w:t>30</w:t>
      </w:r>
      <w:r w:rsidRPr="00AF481C">
        <w:rPr>
          <w:rFonts w:ascii="Titillium" w:hAnsi="Titillium" w:cs="Arial"/>
          <w:sz w:val="18"/>
          <w:szCs w:val="18"/>
        </w:rPr>
        <w:t xml:space="preserve"> % delle assunzioni necessarie per l'esecuzione del contratto o per la realizzazione di attività ad esso connesse o strumentali.</w:t>
      </w:r>
    </w:p>
    <w:p w:rsidR="00D90239" w:rsidRPr="00A2152C" w:rsidRDefault="00D90239" w:rsidP="00D90239">
      <w:pPr>
        <w:spacing w:before="60" w:after="60"/>
        <w:rPr>
          <w:rFonts w:ascii="Titillium" w:eastAsia="Calibri" w:hAnsi="Titillium"/>
          <w:color w:val="000000" w:themeColor="text1"/>
          <w:kern w:val="2"/>
          <w:sz w:val="18"/>
          <w:szCs w:val="18"/>
          <w:u w:val="single"/>
          <w:lang w:eastAsia="it-IT"/>
        </w:rPr>
      </w:pPr>
      <w:r w:rsidRPr="00A2152C">
        <w:rPr>
          <w:rFonts w:ascii="Titillium" w:eastAsia="Calibri" w:hAnsi="Titillium"/>
          <w:color w:val="000000" w:themeColor="text1"/>
          <w:kern w:val="2"/>
          <w:sz w:val="18"/>
          <w:szCs w:val="18"/>
          <w:u w:val="single"/>
          <w:lang w:eastAsia="it-IT"/>
        </w:rPr>
        <w:t xml:space="preserve">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rsidR="00AE28AD" w:rsidRPr="00AF481C" w:rsidRDefault="00AE28AD" w:rsidP="00AE28AD">
      <w:pPr>
        <w:widowControl w:val="0"/>
        <w:spacing w:before="60" w:after="60"/>
        <w:rPr>
          <w:rFonts w:ascii="Titillium" w:hAnsi="Titillium" w:cs="Arial"/>
          <w:sz w:val="18"/>
          <w:szCs w:val="18"/>
        </w:rPr>
      </w:pPr>
    </w:p>
    <w:p w:rsidR="00AE28AD" w:rsidRPr="00AF481C" w:rsidRDefault="00AE28AD" w:rsidP="00604C9A">
      <w:pPr>
        <w:pStyle w:val="Titolo2"/>
        <w:numPr>
          <w:ilvl w:val="0"/>
          <w:numId w:val="3"/>
        </w:numPr>
      </w:pPr>
      <w:bookmarkStart w:id="1787" w:name="_Toc223087494"/>
      <w:r w:rsidRPr="00AF481C">
        <w:t>OFFERTA ECONOMICA</w:t>
      </w:r>
      <w:bookmarkEnd w:id="1787"/>
    </w:p>
    <w:p w:rsidR="009F2822" w:rsidRDefault="00AE28AD" w:rsidP="00813943">
      <w:pPr>
        <w:spacing w:before="60" w:after="60"/>
        <w:ind w:hanging="11"/>
        <w:rPr>
          <w:rFonts w:ascii="Titillium" w:hAnsi="Titillium" w:cs="Calibri"/>
          <w:sz w:val="18"/>
          <w:szCs w:val="18"/>
        </w:rPr>
      </w:pPr>
      <w:bookmarkStart w:id="1788" w:name="_Toc483316490"/>
      <w:bookmarkStart w:id="1789" w:name="_Toc483316359"/>
      <w:bookmarkStart w:id="1790" w:name="_Toc483316227"/>
      <w:bookmarkStart w:id="1791" w:name="_Toc483316022"/>
      <w:bookmarkStart w:id="1792" w:name="_Toc483302401"/>
      <w:bookmarkStart w:id="1793" w:name="_Toc483233684"/>
      <w:bookmarkStart w:id="1794" w:name="_Toc482979724"/>
      <w:bookmarkStart w:id="1795" w:name="_Toc482979626"/>
      <w:bookmarkStart w:id="1796" w:name="_Toc482979528"/>
      <w:bookmarkStart w:id="1797" w:name="_Toc482979420"/>
      <w:bookmarkStart w:id="1798" w:name="_Toc482979311"/>
      <w:bookmarkStart w:id="1799" w:name="_Toc482979202"/>
      <w:bookmarkStart w:id="1800" w:name="_Toc482979091"/>
      <w:bookmarkStart w:id="1801" w:name="_Toc482978983"/>
      <w:bookmarkStart w:id="1802" w:name="_Toc482978874"/>
      <w:bookmarkStart w:id="1803" w:name="_Toc482959755"/>
      <w:bookmarkStart w:id="1804" w:name="_Toc482959645"/>
      <w:bookmarkStart w:id="1805" w:name="_Toc482959535"/>
      <w:bookmarkStart w:id="1806" w:name="_Toc482712747"/>
      <w:bookmarkStart w:id="1807" w:name="_Toc482641301"/>
      <w:bookmarkStart w:id="1808" w:name="_Toc482633124"/>
      <w:bookmarkStart w:id="1809" w:name="_Toc482352283"/>
      <w:bookmarkStart w:id="1810" w:name="_Toc482352193"/>
      <w:bookmarkStart w:id="1811" w:name="_Toc482352103"/>
      <w:bookmarkStart w:id="1812" w:name="_Toc482352013"/>
      <w:bookmarkStart w:id="1813" w:name="_Toc482102149"/>
      <w:bookmarkStart w:id="1814" w:name="_Toc482102055"/>
      <w:bookmarkStart w:id="1815" w:name="_Toc482101960"/>
      <w:bookmarkStart w:id="1816" w:name="_Toc482101865"/>
      <w:bookmarkStart w:id="1817" w:name="_Toc482101772"/>
      <w:bookmarkStart w:id="1818" w:name="_Toc482101597"/>
      <w:bookmarkStart w:id="1819" w:name="_Toc482101482"/>
      <w:bookmarkStart w:id="1820" w:name="_Toc482101345"/>
      <w:bookmarkStart w:id="1821" w:name="_Toc482100919"/>
      <w:bookmarkStart w:id="1822" w:name="_Toc482100762"/>
      <w:bookmarkStart w:id="1823" w:name="_Toc482099045"/>
      <w:bookmarkStart w:id="1824" w:name="_Toc482097943"/>
      <w:bookmarkStart w:id="1825" w:name="_Toc482097751"/>
      <w:bookmarkStart w:id="1826" w:name="_Toc482097662"/>
      <w:bookmarkStart w:id="1827" w:name="_Toc482097573"/>
      <w:bookmarkStart w:id="1828" w:name="_Toc482025749"/>
      <w:bookmarkStart w:id="1829" w:name="_Toc483401270"/>
      <w:bookmarkStart w:id="1830" w:name="_Toc483325793"/>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r w:rsidRPr="00AF481C">
        <w:rPr>
          <w:rFonts w:ascii="Titillium" w:hAnsi="Titillium" w:cs="Calibri"/>
          <w:sz w:val="18"/>
          <w:szCs w:val="18"/>
        </w:rPr>
        <w:t>L’operatore economico inserisce la documen</w:t>
      </w:r>
      <w:r w:rsidR="00813943">
        <w:rPr>
          <w:rFonts w:ascii="Titillium" w:hAnsi="Titillium" w:cs="Calibri"/>
          <w:sz w:val="18"/>
          <w:szCs w:val="18"/>
        </w:rPr>
        <w:t>tazione economica,</w:t>
      </w:r>
      <w:r w:rsidR="00813943" w:rsidRPr="00AF481C">
        <w:rPr>
          <w:rFonts w:ascii="Titillium" w:hAnsi="Titillium" w:cs="Calibri"/>
          <w:sz w:val="18"/>
          <w:szCs w:val="18"/>
        </w:rPr>
        <w:t>firmata secondo le modalità di cui al precedente paragrafo</w:t>
      </w:r>
      <w:fldSimple w:instr=" REF _Ref129789908 \r \h  \* MERGEFORMAT ">
        <w:r w:rsidR="00CA44F6" w:rsidRPr="00CA44F6">
          <w:rPr>
            <w:rFonts w:ascii="Titillium" w:hAnsi="Titillium" w:cs="Calibri"/>
            <w:sz w:val="18"/>
            <w:szCs w:val="18"/>
          </w:rPr>
          <w:t>15.1</w:t>
        </w:r>
      </w:fldSimple>
      <w:r w:rsidR="00813943">
        <w:t>,</w:t>
      </w:r>
      <w:r w:rsidR="00813943" w:rsidRPr="00813943">
        <w:rPr>
          <w:rFonts w:ascii="Titillium" w:hAnsi="Titillium" w:cs="Calibri"/>
          <w:sz w:val="18"/>
          <w:szCs w:val="18"/>
        </w:rPr>
        <w:t xml:space="preserve"> nella Piattaforma compilando in ogni sua parte sia la Scheda Offerta Economica allegata alla documentazione di gara sia le apposite Sezioni previste in Piattaforma</w:t>
      </w:r>
      <w:r w:rsidR="00813943">
        <w:rPr>
          <w:rFonts w:ascii="Titillium" w:hAnsi="Titillium" w:cs="Calibri"/>
          <w:sz w:val="18"/>
          <w:szCs w:val="18"/>
        </w:rPr>
        <w:t>.</w:t>
      </w:r>
    </w:p>
    <w:p w:rsidR="00AE28AD" w:rsidRPr="00AF481C" w:rsidRDefault="00AE28AD" w:rsidP="009F2822">
      <w:pPr>
        <w:spacing w:before="60" w:after="60"/>
        <w:ind w:hanging="11"/>
      </w:pPr>
      <w:r w:rsidRPr="00AF481C">
        <w:rPr>
          <w:rFonts w:ascii="Titillium" w:hAnsi="Titillium" w:cs="Calibri"/>
          <w:sz w:val="18"/>
          <w:szCs w:val="18"/>
        </w:rPr>
        <w:t xml:space="preserve">L’offerta economica, deve indicare, a pena di esclusione, </w:t>
      </w:r>
      <w:r w:rsidR="009F2822">
        <w:rPr>
          <w:rFonts w:ascii="Titillium" w:hAnsi="Titillium" w:cs="Calibri"/>
          <w:sz w:val="18"/>
          <w:szCs w:val="18"/>
        </w:rPr>
        <w:t>gli elementi economici richiesti nella scheda offerta economica</w:t>
      </w:r>
      <w:r w:rsidR="00B12D60">
        <w:rPr>
          <w:rFonts w:ascii="Titillium" w:hAnsi="Titillium" w:cs="Calibri"/>
          <w:sz w:val="18"/>
          <w:szCs w:val="18"/>
        </w:rPr>
        <w:t xml:space="preserve"> </w:t>
      </w:r>
      <w:r w:rsidRPr="00AF481C">
        <w:rPr>
          <w:rFonts w:ascii="Titillium" w:hAnsi="Titillium" w:cs="Calibri"/>
          <w:sz w:val="18"/>
          <w:szCs w:val="18"/>
        </w:rPr>
        <w:t>al netto di</w:t>
      </w:r>
      <w:r w:rsidR="00B12D60">
        <w:rPr>
          <w:rFonts w:ascii="Titillium" w:hAnsi="Titillium" w:cs="Calibri"/>
          <w:sz w:val="18"/>
          <w:szCs w:val="18"/>
        </w:rPr>
        <w:t xml:space="preserve"> </w:t>
      </w:r>
      <w:r w:rsidRPr="00AF481C">
        <w:rPr>
          <w:rFonts w:ascii="Titillium" w:hAnsi="Titillium" w:cs="Calibri"/>
          <w:sz w:val="18"/>
          <w:szCs w:val="18"/>
        </w:rPr>
        <w:t>Iva, nonché de</w:t>
      </w:r>
      <w:r w:rsidR="00DB1691" w:rsidRPr="00AF481C">
        <w:rPr>
          <w:rFonts w:ascii="Titillium" w:hAnsi="Titillium" w:cs="Calibri"/>
          <w:sz w:val="18"/>
          <w:szCs w:val="18"/>
        </w:rPr>
        <w:t>i costi del</w:t>
      </w:r>
      <w:r w:rsidRPr="00AF481C">
        <w:rPr>
          <w:rFonts w:ascii="Titillium" w:hAnsi="Titillium" w:cs="Calibri"/>
          <w:sz w:val="18"/>
          <w:szCs w:val="18"/>
        </w:rPr>
        <w:t xml:space="preserve">la sicurezza dovuti a rischi da interferenze. </w:t>
      </w:r>
    </w:p>
    <w:p w:rsidR="00AE28AD" w:rsidRPr="00AF481C" w:rsidRDefault="00AE28AD" w:rsidP="00221704">
      <w:pPr>
        <w:spacing w:before="60" w:after="60"/>
        <w:rPr>
          <w:rFonts w:ascii="Titillium" w:hAnsi="Titillium" w:cs="Calibri"/>
          <w:sz w:val="18"/>
          <w:szCs w:val="18"/>
        </w:rPr>
      </w:pPr>
      <w:r w:rsidRPr="00AF481C">
        <w:rPr>
          <w:rFonts w:ascii="Titillium" w:hAnsi="Titillium" w:cs="Calibri"/>
          <w:sz w:val="18"/>
          <w:szCs w:val="18"/>
        </w:rPr>
        <w:t xml:space="preserve">Verranno prese in considerazione fino a </w:t>
      </w:r>
      <w:r w:rsidR="00A2152C">
        <w:rPr>
          <w:rFonts w:ascii="Titillium" w:hAnsi="Titillium" w:cs="Calibri"/>
          <w:b/>
          <w:i/>
          <w:sz w:val="18"/>
          <w:szCs w:val="18"/>
        </w:rPr>
        <w:t>2 (due)</w:t>
      </w:r>
      <w:r w:rsidRPr="00AF481C">
        <w:rPr>
          <w:rFonts w:ascii="Titillium" w:hAnsi="Titillium" w:cs="Calibri"/>
          <w:iCs/>
          <w:sz w:val="18"/>
          <w:szCs w:val="18"/>
        </w:rPr>
        <w:t>cifre decimali</w:t>
      </w:r>
      <w:r w:rsidRPr="00AF481C">
        <w:rPr>
          <w:rFonts w:ascii="Titillium" w:hAnsi="Titillium" w:cs="Calibri"/>
          <w:sz w:val="18"/>
          <w:szCs w:val="18"/>
        </w:rPr>
        <w:t>;</w:t>
      </w:r>
    </w:p>
    <w:p w:rsidR="00065386" w:rsidRPr="00AF481C" w:rsidRDefault="00426D5F" w:rsidP="009F2822">
      <w:pPr>
        <w:spacing w:before="60" w:after="60"/>
      </w:pPr>
      <w:r w:rsidRPr="00AF481C">
        <w:rPr>
          <w:rFonts w:ascii="Titillium" w:hAnsi="Titillium" w:cs="Calibri"/>
          <w:sz w:val="18"/>
          <w:szCs w:val="18"/>
        </w:rPr>
        <w:t xml:space="preserve">Nel caso </w:t>
      </w:r>
      <w:r w:rsidR="00D90239" w:rsidRPr="00AF481C">
        <w:rPr>
          <w:rFonts w:ascii="Titillium" w:hAnsi="Titillium" w:cs="Calibri"/>
          <w:sz w:val="18"/>
          <w:szCs w:val="18"/>
        </w:rPr>
        <w:t>d</w:t>
      </w:r>
      <w:r w:rsidRPr="00AF481C">
        <w:rPr>
          <w:rFonts w:ascii="Titillium" w:hAnsi="Titillium" w:cs="Calibri"/>
          <w:sz w:val="18"/>
          <w:szCs w:val="18"/>
        </w:rPr>
        <w:t xml:space="preserve">i costi della manodopera inferiori a quelli stimati dalla stazione appaltante, l’operatore economico può anticipare nell’offerta economica le motivazioni del ribasso </w:t>
      </w:r>
      <w:r w:rsidR="008259AC" w:rsidRPr="00AF481C">
        <w:rPr>
          <w:rFonts w:ascii="Titillium" w:hAnsi="Titillium" w:cs="Calibri"/>
          <w:sz w:val="18"/>
          <w:szCs w:val="18"/>
        </w:rPr>
        <w:t>deriva</w:t>
      </w:r>
      <w:r w:rsidRPr="00AF481C">
        <w:rPr>
          <w:rFonts w:ascii="Titillium" w:hAnsi="Titillium" w:cs="Calibri"/>
          <w:sz w:val="18"/>
          <w:szCs w:val="18"/>
        </w:rPr>
        <w:t>nt</w:t>
      </w:r>
      <w:r w:rsidR="00993F4F" w:rsidRPr="00AF481C">
        <w:rPr>
          <w:rFonts w:ascii="Titillium" w:hAnsi="Titillium" w:cs="Calibri"/>
          <w:sz w:val="18"/>
          <w:szCs w:val="18"/>
        </w:rPr>
        <w:t>i</w:t>
      </w:r>
      <w:r w:rsidR="008259AC" w:rsidRPr="00AF481C">
        <w:rPr>
          <w:rFonts w:ascii="Titillium" w:hAnsi="Titillium" w:cs="Calibri"/>
          <w:sz w:val="18"/>
          <w:szCs w:val="18"/>
        </w:rPr>
        <w:t xml:space="preserve"> da una più efficiente organizzazione aziendale o da sgravi contributivi che non comportano penalizzazioni per la manodopera</w:t>
      </w:r>
      <w:r w:rsidRPr="00AF481C">
        <w:rPr>
          <w:rFonts w:ascii="Titillium" w:hAnsi="Titillium" w:cs="Calibri"/>
          <w:sz w:val="18"/>
          <w:szCs w:val="18"/>
        </w:rPr>
        <w:t xml:space="preserve">, allegando i relativi giustificativi. </w:t>
      </w:r>
      <w:r w:rsidR="00993F4F" w:rsidRPr="00AF481C">
        <w:rPr>
          <w:rFonts w:ascii="Titillium" w:hAnsi="Titillium" w:cs="Calibri"/>
          <w:sz w:val="18"/>
          <w:szCs w:val="18"/>
        </w:rPr>
        <w:t>La mancata anticipazione di motivazioni e/o giustificativi non costituisce causa di esclusione</w:t>
      </w:r>
      <w:r w:rsidR="00221704">
        <w:rPr>
          <w:rFonts w:ascii="Titillium" w:hAnsi="Titillium" w:cs="Calibri"/>
          <w:sz w:val="18"/>
          <w:szCs w:val="18"/>
        </w:rPr>
        <w:t>.</w:t>
      </w:r>
    </w:p>
    <w:p w:rsidR="00A2152C" w:rsidRPr="00A2152C" w:rsidRDefault="00221704" w:rsidP="00A2152C">
      <w:pPr>
        <w:spacing w:before="60" w:after="60"/>
        <w:jc w:val="left"/>
        <w:rPr>
          <w:rFonts w:ascii="Titillium" w:hAnsi="Titillium" w:cs="Calibri"/>
          <w:sz w:val="18"/>
          <w:szCs w:val="18"/>
        </w:rPr>
      </w:pPr>
      <w:r>
        <w:rPr>
          <w:rFonts w:ascii="Titillium" w:hAnsi="Titillium" w:cs="Calibri"/>
          <w:sz w:val="18"/>
          <w:szCs w:val="18"/>
        </w:rPr>
        <w:t xml:space="preserve">In caso di </w:t>
      </w:r>
      <w:r w:rsidR="00B516EB" w:rsidRPr="00AF481C">
        <w:rPr>
          <w:rFonts w:ascii="Titillium" w:hAnsi="Titillium" w:cs="Calibri"/>
          <w:sz w:val="18"/>
          <w:szCs w:val="18"/>
        </w:rPr>
        <w:t>dichiara</w:t>
      </w:r>
      <w:r w:rsidR="005A1DAF" w:rsidRPr="00AF481C">
        <w:rPr>
          <w:rFonts w:ascii="Titillium" w:hAnsi="Titillium" w:cs="Calibri"/>
          <w:sz w:val="18"/>
          <w:szCs w:val="18"/>
        </w:rPr>
        <w:t>zione</w:t>
      </w:r>
      <w:r w:rsidR="00B12D60">
        <w:rPr>
          <w:rFonts w:ascii="Titillium" w:hAnsi="Titillium" w:cs="Calibri"/>
          <w:sz w:val="18"/>
          <w:szCs w:val="18"/>
        </w:rPr>
        <w:t xml:space="preserve"> </w:t>
      </w:r>
      <w:r w:rsidR="006D654C" w:rsidRPr="00AF481C">
        <w:rPr>
          <w:rFonts w:ascii="Titillium" w:hAnsi="Titillium" w:cs="Calibri"/>
          <w:sz w:val="18"/>
          <w:szCs w:val="18"/>
        </w:rPr>
        <w:t xml:space="preserve">di equivalenza delle tutele di cui </w:t>
      </w:r>
      <w:r w:rsidR="00FD2797" w:rsidRPr="00AF481C">
        <w:rPr>
          <w:rFonts w:ascii="Titillium" w:hAnsi="Titillium" w:cs="Calibri"/>
          <w:sz w:val="18"/>
          <w:szCs w:val="18"/>
        </w:rPr>
        <w:t>all’art.11, comma 4</w:t>
      </w:r>
      <w:r w:rsidR="00F86FFB" w:rsidRPr="00AF481C">
        <w:rPr>
          <w:rFonts w:ascii="Titillium" w:hAnsi="Titillium" w:cs="Calibri"/>
          <w:sz w:val="18"/>
          <w:szCs w:val="18"/>
        </w:rPr>
        <w:t>,</w:t>
      </w:r>
      <w:r w:rsidR="00FD2797" w:rsidRPr="00AF481C">
        <w:rPr>
          <w:rFonts w:ascii="Titillium" w:hAnsi="Titillium" w:cs="Calibri"/>
          <w:sz w:val="18"/>
          <w:szCs w:val="18"/>
        </w:rPr>
        <w:t xml:space="preserve"> del Codice</w:t>
      </w:r>
      <w:r>
        <w:rPr>
          <w:rFonts w:ascii="Titillium" w:hAnsi="Titillium" w:cs="Calibri"/>
          <w:sz w:val="18"/>
          <w:szCs w:val="18"/>
        </w:rPr>
        <w:t xml:space="preserve">, l’operatore </w:t>
      </w:r>
      <w:r w:rsidRPr="00A2152C">
        <w:rPr>
          <w:rFonts w:ascii="Titillium" w:hAnsi="Titillium" w:cs="Calibri"/>
          <w:sz w:val="18"/>
          <w:szCs w:val="18"/>
        </w:rPr>
        <w:t xml:space="preserve">economico può indicarne le motivazioni compilando l’allegato </w:t>
      </w:r>
      <w:r w:rsidR="00A2152C" w:rsidRPr="00A2152C">
        <w:rPr>
          <w:rFonts w:ascii="Titillium" w:hAnsi="Titillium" w:cs="Calibri"/>
          <w:sz w:val="18"/>
          <w:szCs w:val="18"/>
        </w:rPr>
        <w:t>Allegato B – dichiarazione di equivalenza CCNL applicato</w:t>
      </w:r>
    </w:p>
    <w:p w:rsidR="004F4B66" w:rsidRPr="00AF481C" w:rsidRDefault="00121032" w:rsidP="009F2822">
      <w:pPr>
        <w:spacing w:before="60" w:after="60"/>
        <w:rPr>
          <w:rFonts w:ascii="Titillium" w:hAnsi="Titillium"/>
          <w:bCs/>
          <w:iCs/>
          <w:sz w:val="18"/>
          <w:szCs w:val="18"/>
        </w:rPr>
      </w:pPr>
      <w:r w:rsidRPr="00AF481C">
        <w:rPr>
          <w:rFonts w:ascii="Titillium" w:hAnsi="Titillium" w:cs="Calibri"/>
          <w:sz w:val="18"/>
          <w:szCs w:val="18"/>
        </w:rPr>
        <w:t>La mancata anticipazione dell</w:t>
      </w:r>
      <w:r w:rsidR="00CE6CBC" w:rsidRPr="00AF481C">
        <w:rPr>
          <w:rFonts w:ascii="Titillium" w:hAnsi="Titillium" w:cs="Calibri"/>
          <w:sz w:val="18"/>
          <w:szCs w:val="18"/>
        </w:rPr>
        <w:t>a</w:t>
      </w:r>
      <w:r w:rsidRPr="00AF481C">
        <w:rPr>
          <w:rFonts w:ascii="Titillium" w:hAnsi="Titillium" w:cs="Calibri"/>
          <w:sz w:val="18"/>
          <w:szCs w:val="18"/>
        </w:rPr>
        <w:t xml:space="preserve"> dichiarazione di equivalenza delle tutele non costituisce causa di esclusione.</w:t>
      </w:r>
    </w:p>
    <w:p w:rsidR="00221704" w:rsidRPr="00221704" w:rsidRDefault="00221704" w:rsidP="00221704">
      <w:pPr>
        <w:autoSpaceDE w:val="0"/>
        <w:autoSpaceDN w:val="0"/>
        <w:adjustRightInd w:val="0"/>
        <w:spacing w:line="240" w:lineRule="auto"/>
        <w:rPr>
          <w:rFonts w:ascii="Titillium" w:hAnsi="Titillium" w:cs="Calibri"/>
          <w:sz w:val="18"/>
          <w:szCs w:val="18"/>
        </w:rPr>
      </w:pPr>
      <w:r w:rsidRPr="00221704">
        <w:rPr>
          <w:rFonts w:ascii="Titillium" w:hAnsi="Titillium" w:cs="Calibri"/>
          <w:sz w:val="18"/>
          <w:szCs w:val="18"/>
        </w:rPr>
        <w:lastRenderedPageBreak/>
        <w:t xml:space="preserve">Il concorrente allega, in sede di presentazione dell’offerta economica, le giustificazioni relative alle voci di prezzo e di costo, di cui all’articolo 110 del Codice degli Appalti, con particolare riguardo all’incidenza, in termini percentuali, del costo del personale, degli oneri aziendali della sicurezza di cui all’art. 108, comma 9, del Codice Appalti, dell’utile di esercizio, delle spese generali, ecc. La mancata presentazione anticipata delle giustificazioni non è causa di esclusione. </w:t>
      </w:r>
    </w:p>
    <w:p w:rsidR="00502054" w:rsidRPr="00AF481C" w:rsidRDefault="00AE28AD" w:rsidP="00AE28AD">
      <w:pPr>
        <w:spacing w:before="60" w:after="60"/>
        <w:rPr>
          <w:rFonts w:ascii="Titillium" w:hAnsi="Titillium"/>
          <w:sz w:val="18"/>
          <w:szCs w:val="18"/>
        </w:rPr>
      </w:pPr>
      <w:r w:rsidRPr="00AF481C">
        <w:rPr>
          <w:rFonts w:ascii="Titillium" w:hAnsi="Titillium"/>
          <w:sz w:val="18"/>
          <w:szCs w:val="18"/>
        </w:rPr>
        <w:t>Sono inammissibili le offerte economiche che super</w:t>
      </w:r>
      <w:r w:rsidR="00386E1E" w:rsidRPr="00AF481C">
        <w:rPr>
          <w:rFonts w:ascii="Titillium" w:hAnsi="Titillium"/>
          <w:sz w:val="18"/>
          <w:szCs w:val="18"/>
        </w:rPr>
        <w:t>a</w:t>
      </w:r>
      <w:r w:rsidR="000733D6" w:rsidRPr="00AF481C">
        <w:rPr>
          <w:rFonts w:ascii="Titillium" w:hAnsi="Titillium"/>
          <w:sz w:val="18"/>
          <w:szCs w:val="18"/>
        </w:rPr>
        <w:t>no l’importo a base d’asta.</w:t>
      </w:r>
    </w:p>
    <w:p w:rsidR="000A2C22" w:rsidRPr="00AF481C" w:rsidRDefault="000A2C22" w:rsidP="00AE28AD">
      <w:pPr>
        <w:spacing w:before="60" w:after="60"/>
        <w:rPr>
          <w:rFonts w:ascii="Titillium" w:hAnsi="Titillium"/>
          <w:sz w:val="18"/>
          <w:szCs w:val="18"/>
        </w:rPr>
      </w:pPr>
    </w:p>
    <w:p w:rsidR="00AE28AD" w:rsidRDefault="00AE28AD" w:rsidP="00604C9A">
      <w:pPr>
        <w:pStyle w:val="Titolo2"/>
        <w:numPr>
          <w:ilvl w:val="0"/>
          <w:numId w:val="3"/>
        </w:numPr>
      </w:pPr>
      <w:bookmarkStart w:id="1831" w:name="_Ref498421982"/>
      <w:bookmarkStart w:id="1832" w:name="_Toc416423371"/>
      <w:bookmarkStart w:id="1833" w:name="_Toc406754188"/>
      <w:bookmarkStart w:id="1834" w:name="_Toc406058387"/>
      <w:bookmarkStart w:id="1835" w:name="_Toc403471279"/>
      <w:bookmarkStart w:id="1836" w:name="_Toc397422872"/>
      <w:bookmarkStart w:id="1837" w:name="_Toc397346831"/>
      <w:bookmarkStart w:id="1838" w:name="_Toc393706916"/>
      <w:bookmarkStart w:id="1839" w:name="_Toc393700843"/>
      <w:bookmarkStart w:id="1840" w:name="_Toc393283184"/>
      <w:bookmarkStart w:id="1841" w:name="_Toc393272668"/>
      <w:bookmarkStart w:id="1842" w:name="_Toc393272610"/>
      <w:bookmarkStart w:id="1843" w:name="_Toc393187854"/>
      <w:bookmarkStart w:id="1844" w:name="_Toc393112137"/>
      <w:bookmarkStart w:id="1845" w:name="_Toc393110573"/>
      <w:bookmarkStart w:id="1846" w:name="_Toc392577506"/>
      <w:bookmarkStart w:id="1847" w:name="_Toc391036065"/>
      <w:bookmarkStart w:id="1848" w:name="_Toc391035992"/>
      <w:bookmarkStart w:id="1849" w:name="_Toc380501879"/>
      <w:bookmarkStart w:id="1850" w:name="_Toc223087495"/>
      <w:r w:rsidRPr="00AF481C">
        <w:t>CRITERIO DI AGGIUDICAZIONE</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rsidR="00A2152C" w:rsidRPr="00A2152C" w:rsidRDefault="00A2152C" w:rsidP="00A2152C"/>
    <w:p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L’appalto è aggiudicato in base al criterio dell’offerta economicamente più vantaggiosa individuata sulla base del miglior rapporto qualità/prezzo.</w:t>
      </w:r>
    </w:p>
    <w:p w:rsidR="00AE28AD" w:rsidRPr="00AF481C" w:rsidRDefault="00AE28AD" w:rsidP="00AE28AD">
      <w:pPr>
        <w:spacing w:before="60" w:after="60"/>
        <w:rPr>
          <w:rFonts w:ascii="Titillium" w:hAnsi="Titillium" w:cs="Calibri"/>
          <w:i/>
          <w:sz w:val="18"/>
          <w:szCs w:val="18"/>
          <w:lang w:eastAsia="it-IT"/>
        </w:rPr>
      </w:pPr>
      <w:r w:rsidRPr="00AF481C">
        <w:rPr>
          <w:rFonts w:ascii="Titillium" w:hAnsi="Titillium" w:cs="Calibri"/>
          <w:sz w:val="18"/>
          <w:szCs w:val="18"/>
          <w:lang w:eastAsia="it-IT"/>
        </w:rPr>
        <w:t>La valutazione dell’offerta tecnica e dell’offerta economica è effettuata in base ai seguenti punteggi</w:t>
      </w:r>
    </w:p>
    <w:tbl>
      <w:tblPr>
        <w:tblW w:w="5000" w:type="pct"/>
        <w:tblLook w:val="04A0"/>
      </w:tblPr>
      <w:tblGrid>
        <w:gridCol w:w="4722"/>
        <w:gridCol w:w="4718"/>
      </w:tblGrid>
      <w:tr w:rsidR="00AE28AD" w:rsidRPr="00AF481C"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rsidR="00AE28AD" w:rsidRPr="00AF481C" w:rsidRDefault="00AE28AD" w:rsidP="00F3762C">
            <w:pPr>
              <w:spacing w:before="60" w:after="60"/>
              <w:rPr>
                <w:rFonts w:ascii="Titillium" w:hAnsi="Titillium" w:cs="Calibri"/>
                <w: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rsidR="00AE28AD" w:rsidRPr="00AF481C" w:rsidRDefault="00AE28AD" w:rsidP="00F3762C">
            <w:pPr>
              <w:spacing w:before="60" w:after="60"/>
              <w:jc w:val="center"/>
              <w:rPr>
                <w:rFonts w:ascii="Titillium" w:hAnsi="Titillium" w:cs="Calibri"/>
                <w:b/>
                <w:sz w:val="18"/>
                <w:szCs w:val="18"/>
                <w:lang w:eastAsia="it-IT"/>
              </w:rPr>
            </w:pPr>
            <w:r w:rsidRPr="00AF481C">
              <w:rPr>
                <w:rFonts w:ascii="Titillium" w:hAnsi="Titillium" w:cs="Calibri"/>
                <w:b/>
                <w:sz w:val="18"/>
                <w:szCs w:val="18"/>
                <w:lang w:eastAsia="it-IT"/>
              </w:rPr>
              <w:t>PUNTEGGIO MASSIMO</w:t>
            </w:r>
          </w:p>
        </w:tc>
      </w:tr>
      <w:tr w:rsidR="00AE28AD" w:rsidRPr="00AF481C" w:rsidTr="00F3762C">
        <w:tc>
          <w:tcPr>
            <w:tcW w:w="2501" w:type="pct"/>
            <w:tcBorders>
              <w:top w:val="single" w:sz="4" w:space="0" w:color="000000"/>
              <w:left w:val="single" w:sz="4" w:space="0" w:color="000000"/>
              <w:bottom w:val="single" w:sz="4" w:space="0" w:color="000000"/>
              <w:right w:val="single" w:sz="4" w:space="0" w:color="000000"/>
            </w:tcBorders>
          </w:tcPr>
          <w:p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tecnica</w:t>
            </w:r>
          </w:p>
        </w:tc>
        <w:tc>
          <w:tcPr>
            <w:tcW w:w="2499" w:type="pct"/>
            <w:tcBorders>
              <w:top w:val="single" w:sz="4" w:space="0" w:color="000000"/>
              <w:left w:val="single" w:sz="4" w:space="0" w:color="000000"/>
              <w:bottom w:val="single" w:sz="4" w:space="0" w:color="000000"/>
              <w:right w:val="single" w:sz="4" w:space="0" w:color="000000"/>
            </w:tcBorders>
          </w:tcPr>
          <w:p w:rsidR="00AE28AD" w:rsidRPr="00AF481C" w:rsidRDefault="00E86F21" w:rsidP="00F3762C">
            <w:pPr>
              <w:spacing w:before="60" w:after="60"/>
              <w:jc w:val="center"/>
              <w:rPr>
                <w:rFonts w:ascii="Titillium" w:hAnsi="Titillium"/>
                <w:i/>
                <w:sz w:val="18"/>
                <w:szCs w:val="18"/>
                <w:lang w:eastAsia="it-IT"/>
              </w:rPr>
            </w:pPr>
            <w:r>
              <w:rPr>
                <w:rFonts w:ascii="Titillium" w:hAnsi="Titillium"/>
                <w:i/>
                <w:sz w:val="18"/>
                <w:szCs w:val="18"/>
                <w:lang w:eastAsia="it-IT"/>
              </w:rPr>
              <w:t>70</w:t>
            </w:r>
          </w:p>
        </w:tc>
      </w:tr>
      <w:tr w:rsidR="00AE28AD" w:rsidRPr="00AF481C" w:rsidTr="00F3762C">
        <w:tc>
          <w:tcPr>
            <w:tcW w:w="2501" w:type="pct"/>
            <w:tcBorders>
              <w:top w:val="single" w:sz="4" w:space="0" w:color="000000"/>
              <w:left w:val="single" w:sz="4" w:space="0" w:color="000000"/>
              <w:bottom w:val="single" w:sz="4" w:space="0" w:color="000000"/>
              <w:right w:val="single" w:sz="4" w:space="0" w:color="000000"/>
            </w:tcBorders>
          </w:tcPr>
          <w:p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economica</w:t>
            </w:r>
          </w:p>
        </w:tc>
        <w:tc>
          <w:tcPr>
            <w:tcW w:w="2499" w:type="pct"/>
            <w:tcBorders>
              <w:top w:val="single" w:sz="4" w:space="0" w:color="000000"/>
              <w:left w:val="single" w:sz="4" w:space="0" w:color="000000"/>
              <w:bottom w:val="single" w:sz="4" w:space="0" w:color="000000"/>
              <w:right w:val="single" w:sz="4" w:space="0" w:color="000000"/>
            </w:tcBorders>
          </w:tcPr>
          <w:p w:rsidR="00AE28AD" w:rsidRPr="00AF481C" w:rsidRDefault="00E86F21" w:rsidP="00F3762C">
            <w:pPr>
              <w:spacing w:before="60" w:after="60"/>
              <w:jc w:val="center"/>
              <w:rPr>
                <w:rFonts w:ascii="Titillium" w:hAnsi="Titillium"/>
                <w:i/>
                <w:sz w:val="18"/>
                <w:szCs w:val="18"/>
                <w:lang w:eastAsia="it-IT"/>
              </w:rPr>
            </w:pPr>
            <w:r>
              <w:rPr>
                <w:rFonts w:ascii="Titillium" w:hAnsi="Titillium"/>
                <w:i/>
                <w:sz w:val="18"/>
                <w:szCs w:val="18"/>
                <w:lang w:eastAsia="it-IT"/>
              </w:rPr>
              <w:t>30</w:t>
            </w:r>
          </w:p>
        </w:tc>
      </w:tr>
      <w:tr w:rsidR="00AE28AD" w:rsidRPr="00AF481C"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TOTALE</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100</w:t>
            </w:r>
          </w:p>
        </w:tc>
      </w:tr>
      <w:tr w:rsidR="00881737" w:rsidRPr="00AF481C"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rsidR="00881737" w:rsidRPr="00AF481C" w:rsidRDefault="00881737" w:rsidP="00F3762C">
            <w:pPr>
              <w:spacing w:before="60" w:after="60"/>
              <w:jc w:val="center"/>
              <w:rPr>
                <w:rFonts w:ascii="Titillium" w:hAnsi="Titillium" w:cs="Calibr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rsidR="00881737" w:rsidRPr="00AF481C" w:rsidRDefault="00881737" w:rsidP="00F3762C">
            <w:pPr>
              <w:spacing w:before="60" w:after="60"/>
              <w:jc w:val="center"/>
              <w:rPr>
                <w:rFonts w:ascii="Titillium" w:hAnsi="Titillium" w:cs="Calibri"/>
                <w:sz w:val="18"/>
                <w:szCs w:val="18"/>
                <w:lang w:eastAsia="it-IT"/>
              </w:rPr>
            </w:pPr>
          </w:p>
        </w:tc>
      </w:tr>
    </w:tbl>
    <w:p w:rsidR="00C06E78" w:rsidRDefault="00C06E78" w:rsidP="002268BB">
      <w:bookmarkStart w:id="1851" w:name="_Ref497226940"/>
      <w:bookmarkStart w:id="1852" w:name="_Ref497226908"/>
      <w:bookmarkStart w:id="1853" w:name="_Ref129786124"/>
    </w:p>
    <w:p w:rsidR="00A2152C" w:rsidRPr="00AF481C" w:rsidRDefault="00A2152C" w:rsidP="002268BB"/>
    <w:p w:rsidR="00AE28AD" w:rsidRPr="00EC33A9" w:rsidRDefault="00AE28AD" w:rsidP="00225033">
      <w:pPr>
        <w:pStyle w:val="Titolo3"/>
        <w:numPr>
          <w:ilvl w:val="1"/>
          <w:numId w:val="3"/>
        </w:numPr>
        <w:ind w:left="426" w:hanging="426"/>
      </w:pPr>
      <w:bookmarkStart w:id="1854" w:name="_Toc223087496"/>
      <w:r w:rsidRPr="00EC33A9">
        <w:rPr>
          <w:rFonts w:ascii="Titillium" w:hAnsi="Titillium"/>
          <w:iCs/>
          <w:sz w:val="18"/>
          <w:szCs w:val="18"/>
        </w:rPr>
        <w:t>CRITERI DI VALUTAZIONE DELL’OFFERTA TECNICA</w:t>
      </w:r>
      <w:bookmarkEnd w:id="1851"/>
      <w:bookmarkEnd w:id="1852"/>
      <w:bookmarkEnd w:id="1853"/>
      <w:bookmarkEnd w:id="1854"/>
    </w:p>
    <w:p w:rsidR="00A2152C" w:rsidRDefault="00A2152C" w:rsidP="00AE28AD">
      <w:pPr>
        <w:spacing w:before="60" w:after="60"/>
        <w:rPr>
          <w:rFonts w:ascii="Titillium" w:hAnsi="Titillium" w:cs="Calibri"/>
          <w:sz w:val="18"/>
          <w:szCs w:val="18"/>
          <w:lang w:eastAsia="it-IT"/>
        </w:rPr>
      </w:pPr>
    </w:p>
    <w:p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Il punteggio dell’offerta tecnica è attribuito sulla base dei criteri di valutazione elencati nella sottostante tabella</w:t>
      </w:r>
      <w:r w:rsidRPr="00AF481C">
        <w:rPr>
          <w:rFonts w:ascii="Titillium" w:hAnsi="Titillium"/>
          <w:sz w:val="18"/>
          <w:szCs w:val="18"/>
        </w:rPr>
        <w:t xml:space="preserve"> con</w:t>
      </w:r>
      <w:r w:rsidRPr="00AF481C">
        <w:rPr>
          <w:rFonts w:ascii="Titillium" w:hAnsi="Titillium" w:cs="Calibri"/>
          <w:sz w:val="18"/>
          <w:szCs w:val="18"/>
          <w:lang w:eastAsia="it-IT"/>
        </w:rPr>
        <w:t xml:space="preserve"> la relativa ripartizione dei punteggi.</w:t>
      </w:r>
    </w:p>
    <w:p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Q vengono indicati i “Punteggi quantitativi”, vale a dire i punteggi il cui coefficiente è attribuito mediante applicazione di una formula matematica.</w:t>
      </w:r>
    </w:p>
    <w:p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rsidR="00A2152C" w:rsidRDefault="00A2152C" w:rsidP="00AE28AD">
      <w:pPr>
        <w:spacing w:before="120" w:after="60"/>
        <w:rPr>
          <w:rFonts w:ascii="Titillium" w:hAnsi="Titillium"/>
          <w:b/>
          <w:i/>
          <w:sz w:val="18"/>
          <w:szCs w:val="18"/>
          <w:lang w:eastAsia="it-IT"/>
        </w:rPr>
      </w:pPr>
    </w:p>
    <w:p w:rsidR="00AE28AD" w:rsidRPr="00AF481C" w:rsidRDefault="00AE28AD" w:rsidP="00AE28AD">
      <w:pPr>
        <w:spacing w:before="120" w:after="60"/>
        <w:rPr>
          <w:rFonts w:ascii="Titillium" w:hAnsi="Titillium"/>
          <w:b/>
          <w:i/>
          <w:sz w:val="18"/>
          <w:szCs w:val="18"/>
          <w:lang w:eastAsia="it-IT"/>
        </w:rPr>
      </w:pPr>
      <w:r w:rsidRPr="00AF481C">
        <w:rPr>
          <w:rFonts w:ascii="Titillium" w:hAnsi="Titillium"/>
          <w:b/>
          <w:i/>
          <w:sz w:val="18"/>
          <w:szCs w:val="18"/>
          <w:lang w:eastAsia="it-IT"/>
        </w:rPr>
        <w:t>Tabella dei criteri discrezionali (D), quantitativi (Q) e tabellari (T) di valutazione dell’offerta tecnica</w:t>
      </w:r>
    </w:p>
    <w:tbl>
      <w:tblPr>
        <w:tblW w:w="5256" w:type="pct"/>
        <w:tblInd w:w="-318" w:type="dxa"/>
        <w:tblLayout w:type="fixed"/>
        <w:tblLook w:val="04A0"/>
      </w:tblPr>
      <w:tblGrid>
        <w:gridCol w:w="426"/>
        <w:gridCol w:w="5811"/>
        <w:gridCol w:w="709"/>
        <w:gridCol w:w="709"/>
        <w:gridCol w:w="708"/>
        <w:gridCol w:w="709"/>
        <w:gridCol w:w="851"/>
      </w:tblGrid>
      <w:tr w:rsidR="00A43D28" w:rsidRPr="00AF481C" w:rsidTr="00A43D28">
        <w:tc>
          <w:tcPr>
            <w:tcW w:w="4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n°</w:t>
            </w:r>
          </w:p>
        </w:tc>
        <w:tc>
          <w:tcPr>
            <w:tcW w:w="58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F3762C">
            <w:pPr>
              <w:spacing w:before="60" w:after="60" w:line="240" w:lineRule="auto"/>
              <w:jc w:val="center"/>
              <w:rPr>
                <w:rFonts w:ascii="Titillium" w:hAnsi="Titillium" w:cs="Calibri"/>
                <w:bCs/>
                <w:smallCaps/>
                <w:sz w:val="18"/>
                <w:szCs w:val="18"/>
                <w:lang w:eastAsia="it-IT"/>
              </w:rPr>
            </w:pPr>
            <w:r w:rsidRPr="00AF481C">
              <w:rPr>
                <w:rFonts w:ascii="Titillium" w:hAnsi="Titillium" w:cs="Calibri"/>
                <w:bCs/>
                <w:smallCaps/>
                <w:sz w:val="18"/>
                <w:szCs w:val="18"/>
                <w:lang w:eastAsia="it-IT"/>
              </w:rPr>
              <w:t>criteri di valutazione</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CC2B2D">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max</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A43D28" w:rsidRDefault="00A43D28" w:rsidP="00A43D28">
            <w:pPr>
              <w:spacing w:before="60" w:after="60" w:line="240" w:lineRule="auto"/>
              <w:jc w:val="center"/>
              <w:rPr>
                <w:rFonts w:ascii="Titillium" w:hAnsi="Titillium"/>
                <w:bCs/>
                <w:smallCaps/>
                <w:color w:val="000000"/>
                <w:sz w:val="18"/>
                <w:szCs w:val="18"/>
              </w:rPr>
            </w:pPr>
            <w:r>
              <w:rPr>
                <w:rFonts w:ascii="Titillium" w:hAnsi="Titillium"/>
                <w:bCs/>
                <w:smallCaps/>
                <w:color w:val="000000"/>
                <w:sz w:val="18"/>
                <w:szCs w:val="18"/>
              </w:rPr>
              <w:t xml:space="preserve">Puntid </w:t>
            </w:r>
            <w:r w:rsidRPr="00AF481C">
              <w:rPr>
                <w:rFonts w:ascii="Titillium" w:hAnsi="Titillium"/>
                <w:bCs/>
                <w:smallCaps/>
                <w:color w:val="000000"/>
                <w:sz w:val="18"/>
                <w:szCs w:val="18"/>
              </w:rPr>
              <w:t>max</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Pr>
          <w:p w:rsidR="00A43D28" w:rsidRPr="00AF481C" w:rsidRDefault="00A43D28" w:rsidP="00CC2B2D">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w:t>
            </w:r>
            <w:r>
              <w:rPr>
                <w:rFonts w:ascii="Titillium" w:hAnsi="Titillium"/>
                <w:bCs/>
                <w:smallCaps/>
                <w:color w:val="000000"/>
                <w:sz w:val="18"/>
                <w:szCs w:val="18"/>
              </w:rPr>
              <w:t xml:space="preserve"> D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A43D28" w:rsidRPr="00AF481C" w:rsidRDefault="00A43D28" w:rsidP="00A43D28">
            <w:pPr>
              <w:spacing w:before="60" w:after="60" w:line="240" w:lineRule="auto"/>
              <w:jc w:val="center"/>
              <w:rPr>
                <w:rFonts w:ascii="Titillium" w:hAnsi="Titillium"/>
                <w:bCs/>
                <w:smallCaps/>
                <w:color w:val="000000"/>
                <w:sz w:val="18"/>
                <w:szCs w:val="18"/>
              </w:rPr>
            </w:pPr>
            <w:r>
              <w:rPr>
                <w:rFonts w:ascii="Titillium" w:hAnsi="Titillium"/>
                <w:bCs/>
                <w:smallCaps/>
                <w:color w:val="000000"/>
                <w:sz w:val="18"/>
                <w:szCs w:val="18"/>
              </w:rPr>
              <w:t xml:space="preserve">PuntiQ </w:t>
            </w:r>
            <w:r w:rsidRPr="00AF481C">
              <w:rPr>
                <w:rFonts w:ascii="Titillium" w:hAnsi="Titillium"/>
                <w:bCs/>
                <w:smallCaps/>
                <w:color w:val="000000"/>
                <w:sz w:val="18"/>
                <w:szCs w:val="18"/>
              </w:rPr>
              <w:t>max</w:t>
            </w:r>
          </w:p>
        </w:tc>
        <w:tc>
          <w:tcPr>
            <w:tcW w:w="851" w:type="dxa"/>
            <w:tcBorders>
              <w:top w:val="single" w:sz="4" w:space="0" w:color="000000"/>
              <w:left w:val="single" w:sz="4" w:space="0" w:color="000000"/>
              <w:bottom w:val="single" w:sz="4" w:space="0" w:color="000000"/>
              <w:right w:val="single" w:sz="4" w:space="0" w:color="auto"/>
            </w:tcBorders>
            <w:shd w:val="clear" w:color="auto" w:fill="D9D9D9"/>
            <w:vAlign w:val="center"/>
          </w:tcPr>
          <w:p w:rsidR="00A43D28" w:rsidRPr="00AF481C" w:rsidRDefault="00A43D28" w:rsidP="00CC2B2D">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 xml:space="preserve">punti </w:t>
            </w:r>
            <w:r>
              <w:rPr>
                <w:rFonts w:ascii="Titillium" w:hAnsi="Titillium"/>
                <w:bCs/>
                <w:smallCaps/>
                <w:color w:val="000000"/>
                <w:sz w:val="18"/>
                <w:szCs w:val="18"/>
              </w:rPr>
              <w:t>Q</w:t>
            </w:r>
          </w:p>
        </w:tc>
      </w:tr>
      <w:tr w:rsidR="00A43D28" w:rsidRPr="00AF481C" w:rsidTr="00A43D28">
        <w:trPr>
          <w:trHeight w:val="936"/>
        </w:trPr>
        <w:tc>
          <w:tcPr>
            <w:tcW w:w="426"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F3762C">
            <w:pPr>
              <w:spacing w:before="60" w:after="60" w:line="240" w:lineRule="auto"/>
              <w:jc w:val="center"/>
              <w:rPr>
                <w:rFonts w:ascii="Titillium" w:hAnsi="Titillium"/>
                <w:bCs/>
                <w:sz w:val="18"/>
                <w:szCs w:val="18"/>
              </w:rPr>
            </w:pPr>
            <w:r w:rsidRPr="00AF481C">
              <w:rPr>
                <w:rFonts w:ascii="Titillium" w:hAnsi="Titillium"/>
                <w:bCs/>
                <w:sz w:val="18"/>
                <w:szCs w:val="18"/>
              </w:rPr>
              <w:t>1</w:t>
            </w:r>
          </w:p>
        </w:tc>
        <w:tc>
          <w:tcPr>
            <w:tcW w:w="5812"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pPr>
            <w:r w:rsidRPr="0014469F">
              <w:rPr>
                <w:rFonts w:ascii="Titillium" w:hAnsi="Titillium"/>
                <w:bCs/>
                <w:sz w:val="18"/>
                <w:szCs w:val="18"/>
              </w:rPr>
              <w:t>Progetto tecnico operativo relativo alla gestione dell'appalto,che evidenzi le modalità operative , gli strumenti tecnologici di</w:t>
            </w:r>
            <w:r w:rsidR="002177F0">
              <w:rPr>
                <w:rFonts w:ascii="Titillium" w:hAnsi="Titillium"/>
                <w:bCs/>
                <w:sz w:val="18"/>
                <w:szCs w:val="18"/>
              </w:rPr>
              <w:t xml:space="preserve"> </w:t>
            </w:r>
            <w:r w:rsidRPr="0014469F">
              <w:rPr>
                <w:rFonts w:ascii="Titillium" w:hAnsi="Titillium"/>
                <w:bCs/>
                <w:sz w:val="18"/>
                <w:szCs w:val="18"/>
              </w:rPr>
              <w:t>supporto e l'organizzazione delle varie fasi di processo</w:t>
            </w:r>
          </w:p>
        </w:tc>
        <w:tc>
          <w:tcPr>
            <w:tcW w:w="709"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rPr>
                <w:rFonts w:ascii="Titillium" w:hAnsi="Titillium"/>
                <w:bCs/>
                <w:sz w:val="18"/>
                <w:szCs w:val="18"/>
              </w:rPr>
            </w:pPr>
            <w:r>
              <w:rPr>
                <w:rFonts w:ascii="Titillium" w:hAnsi="Titillium"/>
                <w:bCs/>
                <w:sz w:val="18"/>
                <w:szCs w:val="18"/>
              </w:rPr>
              <w:t>22</w:t>
            </w:r>
          </w:p>
        </w:tc>
        <w:tc>
          <w:tcPr>
            <w:tcW w:w="709" w:type="dxa"/>
            <w:tcBorders>
              <w:top w:val="single" w:sz="4" w:space="0" w:color="000000"/>
              <w:left w:val="single" w:sz="4" w:space="0" w:color="000000"/>
              <w:right w:val="single" w:sz="4" w:space="0" w:color="000000"/>
            </w:tcBorders>
          </w:tcPr>
          <w:p w:rsidR="00A43D28" w:rsidRPr="00A43D28" w:rsidRDefault="00A43D28" w:rsidP="00A43D28">
            <w:pPr>
              <w:spacing w:before="60" w:after="60" w:line="240" w:lineRule="auto"/>
              <w:rPr>
                <w:rFonts w:ascii="Titillium" w:hAnsi="Titillium"/>
                <w:bCs/>
                <w:sz w:val="18"/>
                <w:szCs w:val="18"/>
              </w:rPr>
            </w:pPr>
            <w:r w:rsidRPr="00A43D28">
              <w:rPr>
                <w:rFonts w:ascii="Titillium" w:hAnsi="Titillium"/>
                <w:bCs/>
                <w:sz w:val="18"/>
                <w:szCs w:val="18"/>
              </w:rPr>
              <w:t>22</w:t>
            </w:r>
          </w:p>
        </w:tc>
        <w:tc>
          <w:tcPr>
            <w:tcW w:w="708" w:type="dxa"/>
            <w:tcBorders>
              <w:top w:val="single" w:sz="4" w:space="0" w:color="000000"/>
              <w:left w:val="single" w:sz="4" w:space="0" w:color="000000"/>
              <w:right w:val="single" w:sz="4" w:space="0" w:color="000000"/>
            </w:tcBorders>
          </w:tcPr>
          <w:p w:rsidR="00A43D28" w:rsidRPr="00AF481C" w:rsidRDefault="00A43D28" w:rsidP="003026C8">
            <w:pPr>
              <w:spacing w:before="60" w:after="60" w:line="240" w:lineRule="auto"/>
              <w:jc w:val="center"/>
              <w:rPr>
                <w:rFonts w:ascii="Titillium" w:hAnsi="Titillium"/>
                <w:sz w:val="18"/>
                <w:szCs w:val="18"/>
                <w:lang w:eastAsia="it-IT"/>
              </w:rPr>
            </w:pPr>
          </w:p>
        </w:tc>
        <w:tc>
          <w:tcPr>
            <w:tcW w:w="709" w:type="dxa"/>
            <w:tcBorders>
              <w:top w:val="single" w:sz="4" w:space="0" w:color="000000"/>
              <w:left w:val="single" w:sz="4" w:space="0" w:color="000000"/>
              <w:right w:val="single" w:sz="4" w:space="0" w:color="000000"/>
            </w:tcBorders>
          </w:tcPr>
          <w:p w:rsidR="00A43D28" w:rsidRPr="00AF481C" w:rsidRDefault="00A43D28" w:rsidP="003026C8">
            <w:pPr>
              <w:spacing w:before="60" w:after="60" w:line="240" w:lineRule="auto"/>
              <w:jc w:val="center"/>
              <w:rPr>
                <w:rFonts w:ascii="Titillium" w:hAnsi="Titillium"/>
                <w:sz w:val="18"/>
                <w:szCs w:val="18"/>
                <w:lang w:eastAsia="it-IT"/>
              </w:rPr>
            </w:pPr>
          </w:p>
        </w:tc>
        <w:tc>
          <w:tcPr>
            <w:tcW w:w="851" w:type="dxa"/>
            <w:tcBorders>
              <w:top w:val="single" w:sz="4" w:space="0" w:color="000000"/>
              <w:left w:val="single" w:sz="4" w:space="0" w:color="000000"/>
              <w:right w:val="single" w:sz="4" w:space="0" w:color="auto"/>
            </w:tcBorders>
            <w:vAlign w:val="center"/>
          </w:tcPr>
          <w:p w:rsidR="00A43D28" w:rsidRPr="00AF481C" w:rsidRDefault="00A43D28" w:rsidP="003026C8">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p w:rsidR="00A43D28" w:rsidRPr="00AF481C" w:rsidRDefault="00A43D28" w:rsidP="003026C8">
            <w:pPr>
              <w:spacing w:before="60" w:after="60" w:line="240" w:lineRule="auto"/>
              <w:jc w:val="center"/>
              <w:rPr>
                <w:rFonts w:ascii="Titillium" w:hAnsi="Titillium"/>
                <w:sz w:val="18"/>
                <w:szCs w:val="18"/>
                <w:lang w:eastAsia="it-IT"/>
              </w:rPr>
            </w:pPr>
          </w:p>
        </w:tc>
      </w:tr>
      <w:tr w:rsidR="00A43D28" w:rsidRPr="00AF481C" w:rsidTr="00A43D28">
        <w:trPr>
          <w:trHeight w:val="996"/>
        </w:trPr>
        <w:tc>
          <w:tcPr>
            <w:tcW w:w="426"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sidRPr="00AF481C">
              <w:rPr>
                <w:rFonts w:ascii="Titillium" w:hAnsi="Titillium"/>
                <w:bCs/>
                <w:sz w:val="18"/>
                <w:szCs w:val="18"/>
              </w:rPr>
              <w:t>2</w:t>
            </w:r>
          </w:p>
        </w:tc>
        <w:tc>
          <w:tcPr>
            <w:tcW w:w="5812" w:type="dxa"/>
            <w:tcBorders>
              <w:top w:val="single" w:sz="4" w:space="0" w:color="000000"/>
              <w:left w:val="single" w:sz="4" w:space="0" w:color="000000"/>
              <w:bottom w:val="single" w:sz="4" w:space="0" w:color="000000"/>
              <w:right w:val="single" w:sz="4" w:space="0" w:color="000000"/>
            </w:tcBorders>
            <w:vAlign w:val="center"/>
          </w:tcPr>
          <w:p w:rsidR="00A43D28" w:rsidRPr="004F6307" w:rsidRDefault="00A43D28" w:rsidP="00A2152C">
            <w:pPr>
              <w:spacing w:before="60" w:after="60" w:line="240" w:lineRule="auto"/>
              <w:rPr>
                <w:rFonts w:ascii="Titillium" w:hAnsi="Titillium"/>
                <w:bCs/>
                <w:sz w:val="18"/>
                <w:szCs w:val="18"/>
              </w:rPr>
            </w:pPr>
            <w:r w:rsidRPr="004F6307">
              <w:rPr>
                <w:rFonts w:ascii="Titillium" w:hAnsi="Titillium"/>
                <w:bCs/>
                <w:sz w:val="18"/>
                <w:szCs w:val="18"/>
              </w:rPr>
              <w:t>Organizzazione del team di lavoro con riferimento al numero</w:t>
            </w:r>
            <w:r w:rsidR="007D2E10">
              <w:rPr>
                <w:rFonts w:ascii="Titillium" w:hAnsi="Titillium"/>
                <w:bCs/>
                <w:sz w:val="18"/>
                <w:szCs w:val="18"/>
              </w:rPr>
              <w:t xml:space="preserve"> </w:t>
            </w:r>
            <w:r w:rsidRPr="004F6307">
              <w:rPr>
                <w:rFonts w:ascii="Titillium" w:hAnsi="Titillium"/>
                <w:bCs/>
                <w:sz w:val="18"/>
                <w:szCs w:val="18"/>
              </w:rPr>
              <w:t>dei professionisti che si intendono utilizzare per lo svolgimento</w:t>
            </w:r>
            <w:r w:rsidR="007D2E10">
              <w:rPr>
                <w:rFonts w:ascii="Titillium" w:hAnsi="Titillium"/>
                <w:bCs/>
                <w:sz w:val="18"/>
                <w:szCs w:val="18"/>
              </w:rPr>
              <w:t xml:space="preserve"> </w:t>
            </w:r>
            <w:r w:rsidRPr="004F6307">
              <w:rPr>
                <w:rFonts w:ascii="Titillium" w:hAnsi="Titillium"/>
                <w:bCs/>
                <w:sz w:val="18"/>
                <w:szCs w:val="18"/>
              </w:rPr>
              <w:t>del servizio, specificandone la qualifica e l'esperienza(documentata)</w:t>
            </w:r>
            <w:r w:rsidR="00A2152C">
              <w:rPr>
                <w:rFonts w:ascii="Titillium" w:hAnsi="Titillium"/>
                <w:bCs/>
                <w:sz w:val="18"/>
                <w:szCs w:val="18"/>
              </w:rPr>
              <w:t xml:space="preserve">, </w:t>
            </w:r>
            <w:r w:rsidR="00A2152C" w:rsidRPr="00A2152C">
              <w:rPr>
                <w:rFonts w:ascii="Titillium" w:hAnsi="Titillium"/>
                <w:bCs/>
                <w:sz w:val="18"/>
                <w:szCs w:val="18"/>
                <w:u w:val="single"/>
              </w:rPr>
              <w:t xml:space="preserve">in relazione anche </w:t>
            </w:r>
            <w:r w:rsidR="00A2152C">
              <w:rPr>
                <w:rFonts w:ascii="Titillium" w:hAnsi="Titillium"/>
                <w:bCs/>
                <w:sz w:val="18"/>
                <w:szCs w:val="18"/>
                <w:u w:val="single"/>
              </w:rPr>
              <w:t xml:space="preserve">al livello di </w:t>
            </w:r>
            <w:r w:rsidR="00A2152C" w:rsidRPr="00A2152C">
              <w:rPr>
                <w:rFonts w:ascii="Titillium" w:hAnsi="Titillium"/>
                <w:bCs/>
                <w:sz w:val="18"/>
                <w:szCs w:val="18"/>
                <w:u w:val="single"/>
              </w:rPr>
              <w:t>occupazione giovanile e femminile</w:t>
            </w:r>
            <w:r w:rsidR="00A2152C">
              <w:rPr>
                <w:rFonts w:ascii="Titillium" w:hAnsi="Titillium"/>
                <w:bCs/>
                <w:sz w:val="18"/>
                <w:szCs w:val="18"/>
                <w:u w:val="single"/>
              </w:rPr>
              <w:t xml:space="preserve"> garantita</w:t>
            </w:r>
          </w:p>
        </w:tc>
        <w:tc>
          <w:tcPr>
            <w:tcW w:w="709"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10</w:t>
            </w:r>
          </w:p>
        </w:tc>
        <w:tc>
          <w:tcPr>
            <w:tcW w:w="709" w:type="dxa"/>
            <w:tcBorders>
              <w:top w:val="single" w:sz="4" w:space="0" w:color="000000"/>
              <w:left w:val="single" w:sz="4" w:space="0" w:color="000000"/>
              <w:right w:val="single" w:sz="4" w:space="0" w:color="000000"/>
            </w:tcBorders>
          </w:tcPr>
          <w:p w:rsidR="00A43D28" w:rsidRPr="003026C8" w:rsidRDefault="00A43D28" w:rsidP="00A43D28">
            <w:pPr>
              <w:spacing w:before="60" w:after="60" w:line="240" w:lineRule="auto"/>
              <w:rPr>
                <w:rFonts w:ascii="Titillium" w:hAnsi="Titillium"/>
                <w:bCs/>
                <w:sz w:val="18"/>
                <w:szCs w:val="18"/>
              </w:rPr>
            </w:pPr>
            <w:r>
              <w:rPr>
                <w:rFonts w:ascii="Titillium" w:hAnsi="Titillium"/>
                <w:bCs/>
                <w:sz w:val="18"/>
                <w:szCs w:val="18"/>
              </w:rPr>
              <w:t>10</w:t>
            </w:r>
          </w:p>
        </w:tc>
        <w:tc>
          <w:tcPr>
            <w:tcW w:w="708" w:type="dxa"/>
            <w:tcBorders>
              <w:top w:val="single" w:sz="4" w:space="0" w:color="000000"/>
              <w:left w:val="single" w:sz="4" w:space="0" w:color="000000"/>
              <w:right w:val="single" w:sz="4" w:space="0" w:color="000000"/>
            </w:tcBorders>
          </w:tcPr>
          <w:p w:rsidR="00A43D28" w:rsidRPr="003026C8" w:rsidRDefault="00A43D28" w:rsidP="003026C8">
            <w:pPr>
              <w:spacing w:before="60" w:after="60" w:line="240" w:lineRule="auto"/>
              <w:jc w:val="center"/>
              <w:rPr>
                <w:rFonts w:ascii="Titillium" w:hAnsi="Titillium"/>
                <w:bCs/>
                <w:sz w:val="18"/>
                <w:szCs w:val="18"/>
              </w:rPr>
            </w:pPr>
          </w:p>
        </w:tc>
        <w:tc>
          <w:tcPr>
            <w:tcW w:w="709" w:type="dxa"/>
            <w:tcBorders>
              <w:top w:val="single" w:sz="4" w:space="0" w:color="000000"/>
              <w:left w:val="single" w:sz="4" w:space="0" w:color="000000"/>
              <w:right w:val="single" w:sz="4" w:space="0" w:color="000000"/>
            </w:tcBorders>
          </w:tcPr>
          <w:p w:rsidR="00A43D28" w:rsidRPr="003026C8" w:rsidRDefault="00A43D28" w:rsidP="003026C8">
            <w:pPr>
              <w:spacing w:before="60" w:after="60" w:line="240" w:lineRule="auto"/>
              <w:jc w:val="center"/>
              <w:rPr>
                <w:rFonts w:ascii="Titillium" w:hAnsi="Titillium"/>
                <w:bCs/>
                <w:sz w:val="18"/>
                <w:szCs w:val="18"/>
              </w:rPr>
            </w:pPr>
          </w:p>
        </w:tc>
        <w:tc>
          <w:tcPr>
            <w:tcW w:w="851" w:type="dxa"/>
            <w:tcBorders>
              <w:top w:val="single" w:sz="4" w:space="0" w:color="000000"/>
              <w:left w:val="single" w:sz="4" w:space="0" w:color="000000"/>
              <w:right w:val="single" w:sz="4" w:space="0" w:color="auto"/>
            </w:tcBorders>
            <w:vAlign w:val="center"/>
          </w:tcPr>
          <w:p w:rsidR="00A43D28" w:rsidRPr="003026C8" w:rsidRDefault="00A43D28" w:rsidP="003026C8">
            <w:pPr>
              <w:spacing w:before="60" w:after="60" w:line="240" w:lineRule="auto"/>
              <w:jc w:val="center"/>
              <w:rPr>
                <w:rFonts w:ascii="Titillium" w:hAnsi="Titillium"/>
                <w:bCs/>
                <w:sz w:val="18"/>
                <w:szCs w:val="18"/>
              </w:rPr>
            </w:pPr>
          </w:p>
          <w:p w:rsidR="00A43D28" w:rsidRPr="003026C8" w:rsidRDefault="00A43D28" w:rsidP="003026C8">
            <w:pPr>
              <w:spacing w:before="60" w:after="60" w:line="240" w:lineRule="auto"/>
              <w:jc w:val="center"/>
              <w:rPr>
                <w:rFonts w:ascii="Titillium" w:hAnsi="Titillium"/>
                <w:bCs/>
                <w:sz w:val="18"/>
                <w:szCs w:val="18"/>
              </w:rPr>
            </w:pPr>
            <w:r w:rsidRPr="003026C8">
              <w:rPr>
                <w:rFonts w:ascii="Titillium" w:hAnsi="Titillium"/>
                <w:bCs/>
                <w:sz w:val="18"/>
                <w:szCs w:val="18"/>
              </w:rPr>
              <w:t>…</w:t>
            </w:r>
          </w:p>
        </w:tc>
      </w:tr>
      <w:tr w:rsidR="00A43D28" w:rsidRPr="00AF481C" w:rsidTr="00A43D28">
        <w:tc>
          <w:tcPr>
            <w:tcW w:w="426"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3</w:t>
            </w:r>
          </w:p>
        </w:tc>
        <w:tc>
          <w:tcPr>
            <w:tcW w:w="5812" w:type="dxa"/>
            <w:tcBorders>
              <w:top w:val="single" w:sz="4" w:space="0" w:color="000000"/>
              <w:left w:val="single" w:sz="4" w:space="0" w:color="000000"/>
              <w:bottom w:val="single" w:sz="4" w:space="0" w:color="000000"/>
              <w:right w:val="single" w:sz="4" w:space="0" w:color="000000"/>
            </w:tcBorders>
            <w:vAlign w:val="center"/>
          </w:tcPr>
          <w:p w:rsidR="00A43D28" w:rsidRPr="004F6307" w:rsidRDefault="00A43D28" w:rsidP="00A43D28">
            <w:pPr>
              <w:spacing w:before="60" w:after="60" w:line="240" w:lineRule="auto"/>
              <w:rPr>
                <w:rFonts w:ascii="Titillium" w:hAnsi="Titillium"/>
                <w:bCs/>
                <w:sz w:val="18"/>
                <w:szCs w:val="18"/>
              </w:rPr>
            </w:pPr>
            <w:r w:rsidRPr="004F6307">
              <w:rPr>
                <w:rFonts w:ascii="Titillium" w:hAnsi="Titillium"/>
                <w:bCs/>
                <w:sz w:val="18"/>
                <w:szCs w:val="18"/>
              </w:rPr>
              <w:t>Organizzazione territoriale dell'Azienda con riferimento a</w:t>
            </w:r>
            <w:r w:rsidR="002177F0">
              <w:rPr>
                <w:rFonts w:ascii="Titillium" w:hAnsi="Titillium"/>
                <w:bCs/>
                <w:sz w:val="18"/>
                <w:szCs w:val="18"/>
              </w:rPr>
              <w:t xml:space="preserve"> </w:t>
            </w:r>
            <w:r w:rsidRPr="004F6307">
              <w:rPr>
                <w:rFonts w:ascii="Titillium" w:hAnsi="Titillium"/>
                <w:bCs/>
                <w:sz w:val="18"/>
                <w:szCs w:val="18"/>
              </w:rPr>
              <w:t xml:space="preserve">presenza di sedi o altre strutture o </w:t>
            </w:r>
            <w:r w:rsidRPr="004F6307">
              <w:rPr>
                <w:rFonts w:ascii="Titillium" w:hAnsi="Titillium"/>
                <w:bCs/>
                <w:sz w:val="18"/>
                <w:szCs w:val="18"/>
              </w:rPr>
              <w:lastRenderedPageBreak/>
              <w:t>eventuali corrispondenti nei</w:t>
            </w:r>
            <w:r w:rsidR="002177F0">
              <w:rPr>
                <w:rFonts w:ascii="Titillium" w:hAnsi="Titillium"/>
                <w:bCs/>
                <w:sz w:val="18"/>
                <w:szCs w:val="18"/>
              </w:rPr>
              <w:t xml:space="preserve"> </w:t>
            </w:r>
            <w:r w:rsidRPr="004F6307">
              <w:rPr>
                <w:rFonts w:ascii="Titillium" w:hAnsi="Titillium"/>
                <w:bCs/>
                <w:sz w:val="18"/>
                <w:szCs w:val="18"/>
              </w:rPr>
              <w:t>paesi di interesse dell'appalto</w:t>
            </w:r>
          </w:p>
        </w:tc>
        <w:tc>
          <w:tcPr>
            <w:tcW w:w="709"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lastRenderedPageBreak/>
              <w:t>10</w:t>
            </w:r>
          </w:p>
        </w:tc>
        <w:tc>
          <w:tcPr>
            <w:tcW w:w="709" w:type="dxa"/>
            <w:tcBorders>
              <w:top w:val="single" w:sz="4" w:space="0" w:color="000000"/>
              <w:left w:val="single" w:sz="4" w:space="0" w:color="000000"/>
              <w:bottom w:val="single" w:sz="4" w:space="0" w:color="000000"/>
              <w:right w:val="single" w:sz="4" w:space="0" w:color="000000"/>
            </w:tcBorders>
          </w:tcPr>
          <w:p w:rsidR="00A43D28" w:rsidRPr="00A43D28" w:rsidRDefault="00A43D28" w:rsidP="00A43D28">
            <w:pPr>
              <w:spacing w:before="60" w:after="60" w:line="240" w:lineRule="auto"/>
              <w:jc w:val="center"/>
              <w:rPr>
                <w:rFonts w:ascii="Titillium" w:hAnsi="Titillium"/>
                <w:bCs/>
                <w:sz w:val="18"/>
                <w:szCs w:val="18"/>
              </w:rPr>
            </w:pPr>
            <w:r w:rsidRPr="00A43D28">
              <w:rPr>
                <w:rFonts w:ascii="Titillium" w:hAnsi="Titillium"/>
                <w:bCs/>
                <w:sz w:val="18"/>
                <w:szCs w:val="18"/>
              </w:rPr>
              <w:t>10</w:t>
            </w:r>
          </w:p>
        </w:tc>
        <w:tc>
          <w:tcPr>
            <w:tcW w:w="708" w:type="dxa"/>
            <w:tcBorders>
              <w:top w:val="single" w:sz="4" w:space="0" w:color="000000"/>
              <w:left w:val="single" w:sz="4" w:space="0" w:color="000000"/>
              <w:bottom w:val="single" w:sz="4" w:space="0" w:color="000000"/>
              <w:right w:val="single" w:sz="4" w:space="0" w:color="000000"/>
            </w:tcBorders>
          </w:tcPr>
          <w:p w:rsidR="00A43D28" w:rsidRPr="00AF481C" w:rsidRDefault="00A43D28" w:rsidP="003026C8">
            <w:pPr>
              <w:spacing w:before="60" w:after="60" w:line="240" w:lineRule="auto"/>
              <w:rPr>
                <w:rFonts w:ascii="Titillium" w:hAnsi="Titillium"/>
                <w:sz w:val="18"/>
                <w:szCs w:val="18"/>
                <w:lang w:eastAsia="it-IT"/>
              </w:rPr>
            </w:pPr>
          </w:p>
        </w:tc>
        <w:tc>
          <w:tcPr>
            <w:tcW w:w="709" w:type="dxa"/>
            <w:tcBorders>
              <w:top w:val="single" w:sz="4" w:space="0" w:color="000000"/>
              <w:left w:val="single" w:sz="4" w:space="0" w:color="000000"/>
              <w:bottom w:val="single" w:sz="4" w:space="0" w:color="000000"/>
              <w:right w:val="single" w:sz="4" w:space="0" w:color="000000"/>
            </w:tcBorders>
          </w:tcPr>
          <w:p w:rsidR="00A43D28" w:rsidRPr="00AF481C" w:rsidRDefault="00A43D28" w:rsidP="003026C8">
            <w:pPr>
              <w:spacing w:before="60" w:after="60" w:line="240" w:lineRule="auto"/>
              <w:rPr>
                <w:rFonts w:ascii="Titillium" w:hAnsi="Titillium"/>
                <w:sz w:val="18"/>
                <w:szCs w:val="18"/>
                <w:lang w:eastAsia="it-IT"/>
              </w:rPr>
            </w:pPr>
          </w:p>
        </w:tc>
        <w:tc>
          <w:tcPr>
            <w:tcW w:w="851" w:type="dxa"/>
            <w:tcBorders>
              <w:top w:val="single" w:sz="4" w:space="0" w:color="000000"/>
              <w:left w:val="single" w:sz="4" w:space="0" w:color="000000"/>
              <w:bottom w:val="single" w:sz="4" w:space="0" w:color="000000"/>
              <w:right w:val="single" w:sz="4" w:space="0" w:color="auto"/>
            </w:tcBorders>
            <w:vAlign w:val="center"/>
          </w:tcPr>
          <w:p w:rsidR="00A43D28" w:rsidRPr="00AF481C" w:rsidRDefault="00A43D28" w:rsidP="003026C8">
            <w:pPr>
              <w:spacing w:before="60" w:after="60" w:line="240" w:lineRule="auto"/>
              <w:rPr>
                <w:rFonts w:ascii="Titillium" w:hAnsi="Titillium"/>
                <w:sz w:val="18"/>
                <w:szCs w:val="18"/>
                <w:lang w:eastAsia="it-IT"/>
              </w:rPr>
            </w:pPr>
          </w:p>
        </w:tc>
      </w:tr>
      <w:tr w:rsidR="00A43D28" w:rsidRPr="00AF481C" w:rsidTr="00A43D28">
        <w:trPr>
          <w:trHeight w:val="310"/>
        </w:trPr>
        <w:tc>
          <w:tcPr>
            <w:tcW w:w="426"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lastRenderedPageBreak/>
              <w:t>4</w:t>
            </w:r>
          </w:p>
        </w:tc>
        <w:tc>
          <w:tcPr>
            <w:tcW w:w="5812" w:type="dxa"/>
            <w:tcBorders>
              <w:top w:val="single" w:sz="4" w:space="0" w:color="000000"/>
              <w:left w:val="single" w:sz="4" w:space="0" w:color="000000"/>
              <w:bottom w:val="single" w:sz="4" w:space="0" w:color="000000"/>
              <w:right w:val="single" w:sz="4" w:space="0" w:color="000000"/>
            </w:tcBorders>
            <w:vAlign w:val="center"/>
          </w:tcPr>
          <w:p w:rsidR="00A43D28" w:rsidRPr="00027292" w:rsidRDefault="00A43D28" w:rsidP="00027292">
            <w:pPr>
              <w:spacing w:before="60" w:after="60" w:line="240" w:lineRule="auto"/>
              <w:rPr>
                <w:rFonts w:ascii="Titillium" w:hAnsi="Titillium"/>
                <w:bCs/>
                <w:sz w:val="18"/>
                <w:szCs w:val="18"/>
              </w:rPr>
            </w:pPr>
            <w:r w:rsidRPr="00027292">
              <w:rPr>
                <w:rFonts w:ascii="Titillium" w:hAnsi="Titillium"/>
                <w:bCs/>
                <w:sz w:val="18"/>
                <w:szCs w:val="18"/>
              </w:rPr>
              <w:t>Importo dei crediti da recuperare all'estero affidati alla ditta nell'ultimo triennio  - alla ditta che avrà dichiarato l'importo più alto verranno assegnati punti 8, per le altre ditte il punteggio sarà attribuito in</w:t>
            </w:r>
            <w:r w:rsidR="00424728" w:rsidRPr="00027292">
              <w:rPr>
                <w:rFonts w:ascii="Titillium" w:hAnsi="Titillium"/>
                <w:bCs/>
                <w:sz w:val="18"/>
                <w:szCs w:val="18"/>
              </w:rPr>
              <w:t xml:space="preserve"> misura </w:t>
            </w:r>
            <w:r w:rsidRPr="00027292">
              <w:rPr>
                <w:rFonts w:ascii="Titillium" w:hAnsi="Titillium"/>
                <w:bCs/>
                <w:sz w:val="18"/>
                <w:szCs w:val="18"/>
              </w:rPr>
              <w:t xml:space="preserve">direttamente proporzionale ( punteggio max : importo più alto = x : importo </w:t>
            </w:r>
            <w:r w:rsidR="005353E8" w:rsidRPr="00027292">
              <w:rPr>
                <w:rFonts w:ascii="Titillium" w:hAnsi="Titillium"/>
                <w:bCs/>
                <w:sz w:val="18"/>
                <w:szCs w:val="18"/>
              </w:rPr>
              <w:t xml:space="preserve">offerto </w:t>
            </w:r>
            <w:r w:rsidRPr="00027292">
              <w:rPr>
                <w:rFonts w:ascii="Titillium" w:hAnsi="Titillium"/>
                <w:bCs/>
                <w:sz w:val="18"/>
                <w:szCs w:val="18"/>
              </w:rPr>
              <w:t>a cui attribuire un punteggio);</w:t>
            </w:r>
          </w:p>
        </w:tc>
        <w:tc>
          <w:tcPr>
            <w:tcW w:w="709"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CC2B2D">
            <w:pPr>
              <w:spacing w:before="60" w:after="60" w:line="240" w:lineRule="auto"/>
              <w:rPr>
                <w:rFonts w:ascii="Titillium" w:hAnsi="Titillium"/>
                <w:bCs/>
                <w:sz w:val="18"/>
                <w:szCs w:val="18"/>
              </w:rPr>
            </w:pPr>
            <w:r>
              <w:rPr>
                <w:rFonts w:ascii="Titillium" w:hAnsi="Titillium"/>
                <w:bCs/>
                <w:sz w:val="18"/>
                <w:szCs w:val="18"/>
              </w:rPr>
              <w:t>8</w:t>
            </w:r>
          </w:p>
        </w:tc>
        <w:tc>
          <w:tcPr>
            <w:tcW w:w="709" w:type="dxa"/>
            <w:tcBorders>
              <w:top w:val="single" w:sz="4" w:space="0" w:color="000000"/>
              <w:left w:val="single" w:sz="4" w:space="0" w:color="000000"/>
              <w:bottom w:val="single" w:sz="4" w:space="0" w:color="000000"/>
              <w:right w:val="single" w:sz="4" w:space="0" w:color="000000"/>
            </w:tcBorders>
          </w:tcPr>
          <w:p w:rsidR="00A43D28" w:rsidRPr="00AF481C" w:rsidRDefault="00A43D28" w:rsidP="00A43D28">
            <w:pPr>
              <w:spacing w:before="60" w:after="60" w:line="240" w:lineRule="auto"/>
              <w:rPr>
                <w:rFonts w:ascii="Titillium" w:hAnsi="Titillium"/>
                <w:bCs/>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A43D28" w:rsidRPr="00AF481C" w:rsidRDefault="00A43D28" w:rsidP="004F6307">
            <w:pPr>
              <w:spacing w:before="60" w:after="60" w:line="240" w:lineRule="auto"/>
              <w:jc w:val="center"/>
              <w:rPr>
                <w:rFonts w:ascii="Titillium" w:hAnsi="Titillium"/>
                <w:bCs/>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8</w:t>
            </w:r>
          </w:p>
        </w:tc>
        <w:tc>
          <w:tcPr>
            <w:tcW w:w="851" w:type="dxa"/>
            <w:tcBorders>
              <w:top w:val="single" w:sz="4" w:space="0" w:color="000000"/>
              <w:left w:val="single" w:sz="4" w:space="0" w:color="000000"/>
              <w:bottom w:val="single" w:sz="4" w:space="0" w:color="000000"/>
              <w:right w:val="single" w:sz="4" w:space="0" w:color="auto"/>
            </w:tcBorders>
          </w:tcPr>
          <w:p w:rsidR="00A43D28" w:rsidRPr="00AF481C" w:rsidRDefault="00A43D28" w:rsidP="004F6307">
            <w:pPr>
              <w:spacing w:before="60" w:after="60" w:line="240" w:lineRule="auto"/>
              <w:jc w:val="center"/>
              <w:rPr>
                <w:rFonts w:ascii="Titillium" w:hAnsi="Titillium"/>
                <w:bCs/>
                <w:sz w:val="18"/>
                <w:szCs w:val="18"/>
              </w:rPr>
            </w:pPr>
          </w:p>
        </w:tc>
      </w:tr>
      <w:tr w:rsidR="00A43D28" w:rsidRPr="00AF481C" w:rsidTr="00A43D28">
        <w:trPr>
          <w:trHeight w:val="310"/>
        </w:trPr>
        <w:tc>
          <w:tcPr>
            <w:tcW w:w="426"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5</w:t>
            </w:r>
          </w:p>
        </w:tc>
        <w:tc>
          <w:tcPr>
            <w:tcW w:w="5812" w:type="dxa"/>
            <w:tcBorders>
              <w:top w:val="single" w:sz="4" w:space="0" w:color="000000"/>
              <w:left w:val="single" w:sz="4" w:space="0" w:color="000000"/>
              <w:bottom w:val="single" w:sz="4" w:space="0" w:color="000000"/>
              <w:right w:val="single" w:sz="4" w:space="0" w:color="000000"/>
            </w:tcBorders>
            <w:vAlign w:val="center"/>
          </w:tcPr>
          <w:p w:rsidR="00A43D28" w:rsidRPr="00027292" w:rsidRDefault="00A43D28" w:rsidP="00027292">
            <w:pPr>
              <w:spacing w:before="60" w:after="60" w:line="240" w:lineRule="auto"/>
              <w:rPr>
                <w:rFonts w:ascii="Titillium" w:hAnsi="Titillium"/>
                <w:bCs/>
                <w:sz w:val="18"/>
                <w:szCs w:val="18"/>
              </w:rPr>
            </w:pPr>
            <w:r w:rsidRPr="00027292">
              <w:rPr>
                <w:rFonts w:ascii="Titillium" w:hAnsi="Titillium"/>
                <w:bCs/>
                <w:sz w:val="18"/>
                <w:szCs w:val="18"/>
              </w:rPr>
              <w:t>Importo dei crediti recuperati dalla ditta all'estero nell'ultimo triennio  - alla ditta che avrà dichiarato l'importo più alto verranno assegnati punti 20, per le altre ditte il punteggio sarà attribuito in</w:t>
            </w:r>
            <w:r w:rsidR="00424728" w:rsidRPr="00027292">
              <w:rPr>
                <w:rFonts w:ascii="Titillium" w:hAnsi="Titillium"/>
                <w:bCs/>
                <w:sz w:val="18"/>
                <w:szCs w:val="18"/>
              </w:rPr>
              <w:t xml:space="preserve"> misura</w:t>
            </w:r>
            <w:r w:rsidRPr="00027292">
              <w:rPr>
                <w:rFonts w:ascii="Titillium" w:hAnsi="Titillium"/>
                <w:bCs/>
                <w:sz w:val="18"/>
                <w:szCs w:val="18"/>
              </w:rPr>
              <w:t xml:space="preserve"> direttamente proporzionale (punteggio max : importo più alto = x : importo </w:t>
            </w:r>
            <w:r w:rsidR="005353E8" w:rsidRPr="00027292">
              <w:rPr>
                <w:rFonts w:ascii="Titillium" w:hAnsi="Titillium"/>
                <w:bCs/>
                <w:sz w:val="18"/>
                <w:szCs w:val="18"/>
              </w:rPr>
              <w:t xml:space="preserve">offerto </w:t>
            </w:r>
            <w:r w:rsidRPr="00027292">
              <w:rPr>
                <w:rFonts w:ascii="Titillium" w:hAnsi="Titillium"/>
                <w:bCs/>
                <w:sz w:val="18"/>
                <w:szCs w:val="18"/>
              </w:rPr>
              <w:t>a cui attribuire un punteggio);</w:t>
            </w:r>
          </w:p>
        </w:tc>
        <w:tc>
          <w:tcPr>
            <w:tcW w:w="709" w:type="dxa"/>
            <w:tcBorders>
              <w:top w:val="single" w:sz="4" w:space="0" w:color="000000"/>
              <w:left w:val="single" w:sz="4" w:space="0" w:color="000000"/>
              <w:bottom w:val="single" w:sz="4" w:space="0" w:color="000000"/>
              <w:right w:val="single" w:sz="4" w:space="0" w:color="000000"/>
            </w:tcBorders>
            <w:vAlign w:val="center"/>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20</w:t>
            </w:r>
          </w:p>
        </w:tc>
        <w:tc>
          <w:tcPr>
            <w:tcW w:w="709" w:type="dxa"/>
            <w:tcBorders>
              <w:top w:val="single" w:sz="4" w:space="0" w:color="000000"/>
              <w:left w:val="single" w:sz="4" w:space="0" w:color="000000"/>
              <w:bottom w:val="single" w:sz="4" w:space="0" w:color="000000"/>
              <w:right w:val="single" w:sz="4" w:space="0" w:color="000000"/>
            </w:tcBorders>
          </w:tcPr>
          <w:p w:rsidR="00A43D28" w:rsidRPr="00AF481C" w:rsidRDefault="00A43D28" w:rsidP="00A43D28">
            <w:pPr>
              <w:spacing w:before="60" w:after="60" w:line="240" w:lineRule="auto"/>
              <w:rPr>
                <w:rFonts w:ascii="Titillium" w:hAnsi="Titillium"/>
                <w:bCs/>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A43D28" w:rsidRPr="00AF481C" w:rsidRDefault="00A43D28" w:rsidP="004F6307">
            <w:pPr>
              <w:spacing w:before="60" w:after="60" w:line="240" w:lineRule="auto"/>
              <w:jc w:val="center"/>
              <w:rPr>
                <w:rFonts w:ascii="Titillium" w:hAnsi="Titillium"/>
                <w:bCs/>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43D28" w:rsidRPr="00AF481C" w:rsidRDefault="00A43D28" w:rsidP="004F6307">
            <w:pPr>
              <w:spacing w:before="60" w:after="60" w:line="240" w:lineRule="auto"/>
              <w:jc w:val="center"/>
              <w:rPr>
                <w:rFonts w:ascii="Titillium" w:hAnsi="Titillium"/>
                <w:bCs/>
                <w:sz w:val="18"/>
                <w:szCs w:val="18"/>
              </w:rPr>
            </w:pPr>
            <w:r>
              <w:rPr>
                <w:rFonts w:ascii="Titillium" w:hAnsi="Titillium"/>
                <w:bCs/>
                <w:sz w:val="18"/>
                <w:szCs w:val="18"/>
              </w:rPr>
              <w:t>20</w:t>
            </w:r>
          </w:p>
        </w:tc>
        <w:tc>
          <w:tcPr>
            <w:tcW w:w="851" w:type="dxa"/>
            <w:tcBorders>
              <w:top w:val="single" w:sz="4" w:space="0" w:color="000000"/>
              <w:left w:val="single" w:sz="4" w:space="0" w:color="000000"/>
              <w:bottom w:val="single" w:sz="4" w:space="0" w:color="000000"/>
              <w:right w:val="single" w:sz="4" w:space="0" w:color="auto"/>
            </w:tcBorders>
          </w:tcPr>
          <w:p w:rsidR="00A43D28" w:rsidRPr="00AF481C" w:rsidRDefault="00A43D28" w:rsidP="004F6307">
            <w:pPr>
              <w:spacing w:before="60" w:after="60" w:line="240" w:lineRule="auto"/>
              <w:jc w:val="center"/>
              <w:rPr>
                <w:rFonts w:ascii="Titillium" w:hAnsi="Titillium"/>
                <w:bCs/>
                <w:sz w:val="18"/>
                <w:szCs w:val="18"/>
              </w:rPr>
            </w:pPr>
          </w:p>
        </w:tc>
      </w:tr>
      <w:tr w:rsidR="00A43D28" w:rsidRPr="00AF481C" w:rsidTr="00A43D28">
        <w:tc>
          <w:tcPr>
            <w:tcW w:w="4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F3762C">
            <w:pPr>
              <w:spacing w:before="60" w:after="60" w:line="240" w:lineRule="auto"/>
              <w:jc w:val="center"/>
              <w:rPr>
                <w:rFonts w:ascii="Titillium" w:hAnsi="Titillium"/>
                <w:sz w:val="18"/>
                <w:szCs w:val="18"/>
                <w:lang w:eastAsia="it-IT"/>
              </w:rPr>
            </w:pPr>
          </w:p>
        </w:tc>
        <w:tc>
          <w:tcPr>
            <w:tcW w:w="58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F3762C">
            <w:pPr>
              <w:spacing w:before="60" w:after="60" w:line="240" w:lineRule="auto"/>
              <w:jc w:val="center"/>
              <w:rPr>
                <w:rFonts w:ascii="Titillium" w:hAnsi="Titillium"/>
                <w:bCs/>
                <w:sz w:val="18"/>
                <w:szCs w:val="18"/>
              </w:rPr>
            </w:pPr>
            <w:r w:rsidRPr="00AF481C">
              <w:rPr>
                <w:rFonts w:ascii="Titillium" w:hAnsi="Titillium"/>
                <w:bCs/>
                <w:sz w:val="18"/>
                <w:szCs w:val="18"/>
              </w:rPr>
              <w:t>Totale</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43D28" w:rsidRPr="00AF481C" w:rsidRDefault="00A43D28" w:rsidP="00F3762C">
            <w:pPr>
              <w:spacing w:before="60" w:after="60" w:line="240" w:lineRule="auto"/>
              <w:jc w:val="center"/>
              <w:rPr>
                <w:rFonts w:ascii="Titillium" w:hAnsi="Titillium"/>
                <w:bCs/>
                <w:sz w:val="18"/>
                <w:szCs w:val="18"/>
              </w:rPr>
            </w:pPr>
            <w:r>
              <w:rPr>
                <w:rFonts w:ascii="Titillium" w:hAnsi="Titillium"/>
                <w:bCs/>
                <w:sz w:val="18"/>
                <w:szCs w:val="18"/>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A43D28" w:rsidRDefault="00A43D28" w:rsidP="00CC2B2D">
            <w:pPr>
              <w:tabs>
                <w:tab w:val="left" w:pos="1064"/>
              </w:tabs>
              <w:spacing w:before="60" w:after="60" w:line="240" w:lineRule="auto"/>
              <w:jc w:val="left"/>
              <w:rPr>
                <w:rFonts w:ascii="Titillium" w:hAnsi="Titillium"/>
                <w:bCs/>
                <w:sz w:val="18"/>
                <w:szCs w:val="18"/>
              </w:rPr>
            </w:pPr>
            <w:r>
              <w:rPr>
                <w:rFonts w:ascii="Titillium" w:hAnsi="Titillium"/>
                <w:bCs/>
                <w:sz w:val="18"/>
                <w:szCs w:val="18"/>
              </w:rPr>
              <w:t>42</w:t>
            </w:r>
          </w:p>
        </w:tc>
        <w:tc>
          <w:tcPr>
            <w:tcW w:w="708" w:type="dxa"/>
            <w:tcBorders>
              <w:top w:val="single" w:sz="4" w:space="0" w:color="000000"/>
              <w:left w:val="single" w:sz="4" w:space="0" w:color="000000"/>
              <w:bottom w:val="single" w:sz="4" w:space="0" w:color="000000"/>
              <w:right w:val="single" w:sz="4" w:space="0" w:color="auto"/>
            </w:tcBorders>
            <w:shd w:val="clear" w:color="auto" w:fill="D9D9D9"/>
          </w:tcPr>
          <w:p w:rsidR="00A43D28" w:rsidRPr="00AF481C" w:rsidRDefault="00A43D28" w:rsidP="00CC2B2D">
            <w:pPr>
              <w:tabs>
                <w:tab w:val="left" w:pos="1064"/>
              </w:tabs>
              <w:spacing w:before="60" w:after="60" w:line="240" w:lineRule="auto"/>
              <w:jc w:val="left"/>
              <w:rPr>
                <w:rFonts w:ascii="Titillium" w:hAnsi="Titillium"/>
                <w:bCs/>
                <w:sz w:val="18"/>
                <w:szCs w:val="18"/>
              </w:rPr>
            </w:pPr>
            <w:r>
              <w:rPr>
                <w:rFonts w:ascii="Titillium" w:hAnsi="Titillium"/>
                <w:bCs/>
                <w:sz w:val="18"/>
                <w:szCs w:val="18"/>
              </w:rPr>
              <w:tab/>
            </w: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A43D28" w:rsidRDefault="00A43D28" w:rsidP="00CC2B2D">
            <w:pPr>
              <w:tabs>
                <w:tab w:val="left" w:pos="1064"/>
              </w:tabs>
              <w:spacing w:before="60" w:after="60" w:line="240" w:lineRule="auto"/>
              <w:jc w:val="left"/>
              <w:rPr>
                <w:rFonts w:ascii="Titillium" w:hAnsi="Titillium"/>
                <w:bCs/>
                <w:sz w:val="18"/>
                <w:szCs w:val="18"/>
              </w:rPr>
            </w:pPr>
            <w:r>
              <w:rPr>
                <w:rFonts w:ascii="Titillium" w:hAnsi="Titillium"/>
                <w:bCs/>
                <w:sz w:val="18"/>
                <w:szCs w:val="18"/>
              </w:rPr>
              <w:t>28</w:t>
            </w:r>
          </w:p>
        </w:tc>
        <w:tc>
          <w:tcPr>
            <w:tcW w:w="851" w:type="dxa"/>
            <w:tcBorders>
              <w:top w:val="single" w:sz="4" w:space="0" w:color="000000"/>
              <w:left w:val="single" w:sz="4" w:space="0" w:color="000000"/>
              <w:bottom w:val="single" w:sz="4" w:space="0" w:color="000000"/>
              <w:right w:val="single" w:sz="4" w:space="0" w:color="auto"/>
            </w:tcBorders>
            <w:shd w:val="clear" w:color="auto" w:fill="D9D9D9"/>
          </w:tcPr>
          <w:p w:rsidR="00A43D28" w:rsidRDefault="00A43D28" w:rsidP="00CC2B2D">
            <w:pPr>
              <w:tabs>
                <w:tab w:val="left" w:pos="1064"/>
              </w:tabs>
              <w:spacing w:before="60" w:after="60" w:line="240" w:lineRule="auto"/>
              <w:jc w:val="left"/>
              <w:rPr>
                <w:rFonts w:ascii="Titillium" w:hAnsi="Titillium"/>
                <w:bCs/>
                <w:sz w:val="18"/>
                <w:szCs w:val="18"/>
              </w:rPr>
            </w:pPr>
          </w:p>
        </w:tc>
      </w:tr>
    </w:tbl>
    <w:p w:rsidR="00AE28AD" w:rsidRPr="00AF481C" w:rsidRDefault="00AE28AD" w:rsidP="00AE28AD">
      <w:pPr>
        <w:spacing w:before="120" w:after="60"/>
        <w:rPr>
          <w:rFonts w:ascii="Titillium" w:hAnsi="Titillium"/>
          <w:sz w:val="18"/>
          <w:szCs w:val="18"/>
          <w:lang w:eastAsia="it-IT"/>
        </w:rPr>
      </w:pPr>
    </w:p>
    <w:p w:rsidR="00A43D28" w:rsidRPr="00A43D28" w:rsidRDefault="00AE28AD" w:rsidP="00AE28AD">
      <w:pPr>
        <w:spacing w:before="120" w:after="60"/>
        <w:rPr>
          <w:rFonts w:ascii="Titillium" w:hAnsi="Titillium"/>
          <w:sz w:val="18"/>
          <w:szCs w:val="18"/>
        </w:rPr>
      </w:pPr>
      <w:r w:rsidRPr="00AF481C">
        <w:rPr>
          <w:rFonts w:ascii="Titillium" w:hAnsi="Titillium" w:cs="Calibri"/>
          <w:sz w:val="18"/>
          <w:szCs w:val="18"/>
          <w:lang w:eastAsia="it-IT"/>
        </w:rPr>
        <w:t xml:space="preserve">Il concorrente è escluso dalla gara nel caso in cui consegua un punteggio inferiore alla </w:t>
      </w:r>
      <w:r w:rsidRPr="00AF481C">
        <w:rPr>
          <w:rFonts w:ascii="Titillium" w:hAnsi="Titillium"/>
          <w:sz w:val="18"/>
          <w:szCs w:val="18"/>
        </w:rPr>
        <w:t xml:space="preserve">soglia minima di sbarramento pari a </w:t>
      </w:r>
      <w:r w:rsidR="00A43D28">
        <w:rPr>
          <w:rFonts w:ascii="Titillium" w:hAnsi="Titillium"/>
          <w:sz w:val="18"/>
          <w:szCs w:val="18"/>
        </w:rPr>
        <w:t>38,5sul</w:t>
      </w:r>
      <w:r w:rsidRPr="00A43D28">
        <w:rPr>
          <w:rFonts w:ascii="Titillium" w:hAnsi="Titillium"/>
          <w:sz w:val="18"/>
          <w:szCs w:val="18"/>
        </w:rPr>
        <w:t>punteggio tecnico complessivo</w:t>
      </w:r>
    </w:p>
    <w:p w:rsidR="00AE28AD" w:rsidRPr="00AF481C" w:rsidRDefault="00C06E78" w:rsidP="00AE28AD">
      <w:pPr>
        <w:spacing w:before="120" w:after="60"/>
        <w:rPr>
          <w:rFonts w:ascii="Titillium" w:hAnsi="Titillium" w:cs="Calibri"/>
          <w:sz w:val="18"/>
          <w:szCs w:val="18"/>
          <w:lang w:eastAsia="it-IT"/>
        </w:rPr>
      </w:pPr>
      <w:r w:rsidRPr="00AF481C">
        <w:rPr>
          <w:rFonts w:ascii="Titillium" w:hAnsi="Titillium" w:cs="Calibri"/>
          <w:iCs/>
          <w:sz w:val="18"/>
          <w:szCs w:val="18"/>
          <w:lang w:eastAsia="it-IT"/>
        </w:rPr>
        <w:t>Il</w:t>
      </w:r>
      <w:r w:rsidR="00AE28AD" w:rsidRPr="00AF481C">
        <w:rPr>
          <w:rFonts w:ascii="Titillium" w:hAnsi="Titillium" w:cs="Calibri"/>
          <w:iCs/>
          <w:sz w:val="18"/>
          <w:szCs w:val="18"/>
          <w:lang w:eastAsia="it-IT"/>
        </w:rPr>
        <w:t xml:space="preserve"> s</w:t>
      </w:r>
      <w:r w:rsidR="00AE28AD" w:rsidRPr="00AF481C">
        <w:rPr>
          <w:rFonts w:ascii="Titillium" w:hAnsi="Titillium" w:cs="Calibri"/>
          <w:sz w:val="18"/>
          <w:szCs w:val="18"/>
          <w:lang w:eastAsia="it-IT"/>
        </w:rPr>
        <w:t>uperamento della soglia di sbarramento è calcolato prima della riparametrazione di cui al p</w:t>
      </w:r>
      <w:r w:rsidR="00F178EA" w:rsidRPr="00AF481C">
        <w:rPr>
          <w:rFonts w:ascii="Titillium" w:hAnsi="Titillium" w:cs="Calibri"/>
          <w:sz w:val="18"/>
          <w:szCs w:val="18"/>
          <w:lang w:eastAsia="it-IT"/>
        </w:rPr>
        <w:t>aragrafo</w:t>
      </w:r>
      <w:fldSimple w:instr=" REF _Ref497226795 \r \h  \* MERGEFORMAT ">
        <w:r w:rsidR="00CA44F6" w:rsidRPr="00CA44F6">
          <w:rPr>
            <w:rFonts w:ascii="Titillium" w:hAnsi="Titillium" w:cs="Calibri"/>
            <w:sz w:val="18"/>
            <w:szCs w:val="18"/>
            <w:lang w:eastAsia="it-IT"/>
          </w:rPr>
          <w:t>18.4</w:t>
        </w:r>
      </w:fldSimple>
      <w:r w:rsidR="00AE28AD" w:rsidRPr="00AF481C">
        <w:rPr>
          <w:rFonts w:ascii="Titillium" w:hAnsi="Titillium" w:cs="Calibri"/>
          <w:sz w:val="18"/>
          <w:szCs w:val="18"/>
          <w:lang w:eastAsia="it-IT"/>
        </w:rPr>
        <w:t>.</w:t>
      </w:r>
    </w:p>
    <w:p w:rsidR="00C06E78" w:rsidRPr="00AF481C" w:rsidRDefault="00C06E78" w:rsidP="00AE28AD">
      <w:pPr>
        <w:spacing w:before="120" w:after="60"/>
        <w:rPr>
          <w:rFonts w:ascii="Titillium" w:hAnsi="Titillium" w:cs="Calibri"/>
          <w:sz w:val="18"/>
          <w:szCs w:val="18"/>
          <w:lang w:eastAsia="it-IT"/>
        </w:rPr>
      </w:pPr>
    </w:p>
    <w:p w:rsidR="00AE28AD" w:rsidRPr="00AF481C" w:rsidRDefault="00AE28AD" w:rsidP="00225033">
      <w:pPr>
        <w:pStyle w:val="Titolo3"/>
        <w:numPr>
          <w:ilvl w:val="1"/>
          <w:numId w:val="3"/>
        </w:numPr>
        <w:ind w:left="426" w:hanging="426"/>
      </w:pPr>
      <w:bookmarkStart w:id="1855" w:name="_Toc223087497"/>
      <w:r w:rsidRPr="00AF481C">
        <w:rPr>
          <w:rFonts w:ascii="Titillium" w:hAnsi="Titillium"/>
          <w:iCs/>
          <w:sz w:val="18"/>
          <w:szCs w:val="18"/>
        </w:rPr>
        <w:t>METODO DI ATTRIBUZIONE DEL COEFFICIENTE PER IL CALCOLO DEL PUNTEGGIO DELL’OFFERTA TECNICA</w:t>
      </w:r>
      <w:bookmarkEnd w:id="1855"/>
    </w:p>
    <w:p w:rsidR="00E86F21" w:rsidRDefault="00AE28AD" w:rsidP="00E86F21">
      <w:pPr>
        <w:pStyle w:val="CM10"/>
        <w:jc w:val="both"/>
        <w:rPr>
          <w:sz w:val="18"/>
          <w:szCs w:val="18"/>
        </w:rPr>
      </w:pPr>
      <w:r w:rsidRPr="00AF481C">
        <w:rPr>
          <w:sz w:val="18"/>
          <w:szCs w:val="18"/>
        </w:rPr>
        <w:t>A ciascuno degli elementi qualitativi cui è assegnato un punteggio discrezionale nella colonna “D” della tabella, è attribuito</w:t>
      </w:r>
      <w:r w:rsidR="00E86F21">
        <w:rPr>
          <w:sz w:val="18"/>
          <w:szCs w:val="18"/>
        </w:rPr>
        <w:t xml:space="preserve"> un coefficiente </w:t>
      </w:r>
      <w:r w:rsidR="005353E8">
        <w:rPr>
          <w:sz w:val="18"/>
          <w:szCs w:val="18"/>
        </w:rPr>
        <w:t>da individuare in</w:t>
      </w:r>
      <w:r w:rsidR="00E86F21">
        <w:rPr>
          <w:sz w:val="18"/>
          <w:szCs w:val="18"/>
        </w:rPr>
        <w:t xml:space="preserve"> base della tabella di seguito ripo</w:t>
      </w:r>
      <w:r w:rsidR="00262DFF">
        <w:rPr>
          <w:sz w:val="18"/>
          <w:szCs w:val="18"/>
        </w:rPr>
        <w:t>rt</w:t>
      </w:r>
      <w:r w:rsidR="00E86F21">
        <w:rPr>
          <w:sz w:val="18"/>
          <w:szCs w:val="18"/>
        </w:rPr>
        <w:t>ata</w:t>
      </w:r>
      <w:r w:rsidR="005353E8">
        <w:rPr>
          <w:sz w:val="18"/>
          <w:szCs w:val="18"/>
        </w:rPr>
        <w:t xml:space="preserve">, </w:t>
      </w:r>
      <w:r w:rsidR="005353E8" w:rsidRPr="005353E8">
        <w:rPr>
          <w:sz w:val="18"/>
          <w:szCs w:val="18"/>
          <w:u w:val="single"/>
        </w:rPr>
        <w:t>riconoscendo la possibilità di ricorrere anche a valori intermedi tra un coefficiente e quello immediatamente inferiore o superiore</w:t>
      </w:r>
    </w:p>
    <w:p w:rsidR="00E86F21" w:rsidRDefault="00E86F21" w:rsidP="00E86F21">
      <w:pPr>
        <w:pStyle w:val="CM10"/>
        <w:jc w:val="both"/>
        <w:rPr>
          <w:rFonts w:asciiTheme="minorHAnsi" w:hAnsiTheme="minorHAnsi" w:cstheme="minorHAnsi"/>
          <w:sz w:val="22"/>
          <w:szCs w:val="22"/>
        </w:rPr>
      </w:pPr>
    </w:p>
    <w:p w:rsidR="00E86F21" w:rsidRPr="0070470F" w:rsidRDefault="00E86F21" w:rsidP="00E86F21">
      <w:pPr>
        <w:pStyle w:val="CM10"/>
        <w:jc w:val="both"/>
        <w:rPr>
          <w:rFonts w:asciiTheme="minorHAnsi" w:hAnsiTheme="minorHAnsi" w:cstheme="minorHAnsi"/>
          <w:sz w:val="22"/>
          <w:szCs w:val="22"/>
        </w:rPr>
      </w:pPr>
      <w:r w:rsidRPr="0070470F">
        <w:rPr>
          <w:rFonts w:asciiTheme="minorHAnsi" w:hAnsiTheme="minorHAnsi" w:cstheme="minorHAnsi"/>
          <w:sz w:val="22"/>
          <w:szCs w:val="22"/>
        </w:rPr>
        <w:t>Tabella di giudizi tra 0 e 1</w:t>
      </w:r>
    </w:p>
    <w:p w:rsidR="00E86F21" w:rsidRPr="0070470F" w:rsidRDefault="00E86F21" w:rsidP="00E86F21">
      <w:pPr>
        <w:spacing w:line="240" w:lineRule="exact"/>
        <w:rPr>
          <w:rFonts w:asciiTheme="minorHAnsi" w:hAnsiTheme="minorHAnsi" w:cstheme="minorHAnsi"/>
          <w:sz w:val="22"/>
        </w:rPr>
      </w:pPr>
    </w:p>
    <w:tbl>
      <w:tblPr>
        <w:tblW w:w="0" w:type="auto"/>
        <w:tblInd w:w="1132" w:type="dxa"/>
        <w:tblLayout w:type="fixed"/>
        <w:tblLook w:val="0000"/>
      </w:tblPr>
      <w:tblGrid>
        <w:gridCol w:w="2762"/>
        <w:gridCol w:w="2137"/>
      </w:tblGrid>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b/>
                <w:sz w:val="22"/>
              </w:rPr>
            </w:pPr>
            <w:r w:rsidRPr="0070470F">
              <w:rPr>
                <w:rFonts w:asciiTheme="minorHAnsi" w:hAnsiTheme="minorHAnsi" w:cstheme="minorHAnsi"/>
                <w:b/>
                <w:sz w:val="22"/>
              </w:rPr>
              <w:t>Giudizio</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b/>
                <w:sz w:val="22"/>
              </w:rPr>
              <w:t>Coefficiente</w:t>
            </w:r>
          </w:p>
        </w:tc>
      </w:tr>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Inadeguato</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0,00</w:t>
            </w:r>
          </w:p>
        </w:tc>
      </w:tr>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 xml:space="preserve">Parzialmente Inadeguato </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0,30</w:t>
            </w:r>
          </w:p>
        </w:tc>
      </w:tr>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 xml:space="preserve">Adeguato </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0,55</w:t>
            </w:r>
          </w:p>
        </w:tc>
      </w:tr>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Discreto</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0,70</w:t>
            </w:r>
          </w:p>
        </w:tc>
      </w:tr>
      <w:tr w:rsidR="00E86F21" w:rsidRPr="0070470F"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Buono</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0,85</w:t>
            </w:r>
          </w:p>
        </w:tc>
      </w:tr>
      <w:tr w:rsidR="00E86F21" w:rsidRPr="006C4036" w:rsidTr="00FA6476">
        <w:tc>
          <w:tcPr>
            <w:tcW w:w="2762" w:type="dxa"/>
            <w:tcBorders>
              <w:top w:val="single" w:sz="4" w:space="0" w:color="000000"/>
              <w:left w:val="single" w:sz="4" w:space="0" w:color="000000"/>
              <w:bottom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Ottimo</w:t>
            </w:r>
          </w:p>
        </w:tc>
        <w:tc>
          <w:tcPr>
            <w:tcW w:w="2137" w:type="dxa"/>
            <w:tcBorders>
              <w:top w:val="single" w:sz="4" w:space="0" w:color="000000"/>
              <w:left w:val="single" w:sz="4" w:space="0" w:color="000000"/>
              <w:bottom w:val="single" w:sz="4" w:space="0" w:color="000000"/>
              <w:right w:val="single" w:sz="4" w:space="0" w:color="000000"/>
            </w:tcBorders>
          </w:tcPr>
          <w:p w:rsidR="00E86F21" w:rsidRPr="0070470F" w:rsidRDefault="00E86F21" w:rsidP="00FA6476">
            <w:pPr>
              <w:widowControl w:val="0"/>
              <w:tabs>
                <w:tab w:val="left" w:pos="-120"/>
              </w:tabs>
              <w:rPr>
                <w:rFonts w:asciiTheme="minorHAnsi" w:hAnsiTheme="minorHAnsi" w:cstheme="minorHAnsi"/>
                <w:sz w:val="22"/>
              </w:rPr>
            </w:pPr>
            <w:r w:rsidRPr="0070470F">
              <w:rPr>
                <w:rFonts w:asciiTheme="minorHAnsi" w:hAnsiTheme="minorHAnsi" w:cstheme="minorHAnsi"/>
                <w:sz w:val="22"/>
              </w:rPr>
              <w:t>1</w:t>
            </w:r>
          </w:p>
        </w:tc>
      </w:tr>
    </w:tbl>
    <w:p w:rsidR="00A522A1" w:rsidRPr="00AF481C" w:rsidRDefault="00A522A1" w:rsidP="00E86F21">
      <w:pPr>
        <w:spacing w:before="60" w:after="60"/>
        <w:rPr>
          <w:rFonts w:ascii="Titillium" w:hAnsi="Titillium"/>
          <w:i/>
          <w:sz w:val="18"/>
          <w:szCs w:val="18"/>
        </w:rPr>
      </w:pPr>
      <w:r>
        <w:rPr>
          <w:rFonts w:ascii="Titillium" w:hAnsi="Titillium"/>
          <w:i/>
          <w:sz w:val="18"/>
          <w:szCs w:val="18"/>
        </w:rPr>
        <w:tab/>
      </w:r>
    </w:p>
    <w:p w:rsidR="00AE28AD" w:rsidRPr="00AF481C" w:rsidRDefault="00AE28AD" w:rsidP="00A522A1">
      <w:pPr>
        <w:tabs>
          <w:tab w:val="left" w:pos="5134"/>
        </w:tabs>
        <w:spacing w:before="60" w:after="60"/>
        <w:rPr>
          <w:rFonts w:ascii="Titillium" w:hAnsi="Titillium"/>
          <w:i/>
          <w:sz w:val="18"/>
          <w:szCs w:val="18"/>
        </w:rPr>
      </w:pPr>
    </w:p>
    <w:p w:rsidR="00AE28AD" w:rsidRPr="00AF481C" w:rsidRDefault="00AE28AD" w:rsidP="00AE28AD">
      <w:pPr>
        <w:spacing w:before="60" w:after="60"/>
        <w:rPr>
          <w:rFonts w:ascii="Titillium" w:hAnsi="Titillium"/>
          <w:i/>
          <w:sz w:val="18"/>
          <w:szCs w:val="18"/>
        </w:rPr>
      </w:pPr>
    </w:p>
    <w:p w:rsidR="00AE28AD" w:rsidRPr="00AF481C" w:rsidRDefault="00AE28AD" w:rsidP="00AE28AD">
      <w:pPr>
        <w:spacing w:before="60" w:after="60"/>
      </w:pPr>
      <w:r w:rsidRPr="00AF481C">
        <w:rPr>
          <w:rFonts w:ascii="Titillium" w:hAnsi="Titillium"/>
          <w:sz w:val="18"/>
          <w:szCs w:val="18"/>
        </w:rPr>
        <w:t xml:space="preserve">A ciascuno degli elementi quantitativi cui è assegnato un punteggio nella colonna “Q” della tabella, è attribuito un coefficiente, variabile tra zero e uno, sulla base del metodo </w:t>
      </w:r>
      <w:r w:rsidR="00262DFF">
        <w:rPr>
          <w:rFonts w:ascii="Titillium" w:hAnsi="Titillium"/>
          <w:sz w:val="18"/>
          <w:szCs w:val="18"/>
        </w:rPr>
        <w:t xml:space="preserve">proporzionale lineare in base alla formula </w:t>
      </w:r>
      <w:r w:rsidR="00262DFF" w:rsidRPr="004F6307">
        <w:rPr>
          <w:rFonts w:ascii="Titillium" w:hAnsi="Titillium"/>
          <w:bCs/>
          <w:sz w:val="18"/>
          <w:szCs w:val="18"/>
        </w:rPr>
        <w:t xml:space="preserve">punteggio max : importo più alto = x : importo </w:t>
      </w:r>
      <w:r w:rsidR="005353E8">
        <w:rPr>
          <w:rFonts w:ascii="Titillium" w:hAnsi="Titillium"/>
          <w:bCs/>
          <w:sz w:val="18"/>
          <w:szCs w:val="18"/>
        </w:rPr>
        <w:t xml:space="preserve">offerto </w:t>
      </w:r>
      <w:r w:rsidR="00262DFF" w:rsidRPr="004F6307">
        <w:rPr>
          <w:rFonts w:ascii="Titillium" w:hAnsi="Titillium"/>
          <w:bCs/>
          <w:sz w:val="18"/>
          <w:szCs w:val="18"/>
        </w:rPr>
        <w:t>a cui attribuire</w:t>
      </w:r>
      <w:r w:rsidR="00EB0B77">
        <w:rPr>
          <w:rFonts w:ascii="Titillium" w:hAnsi="Titillium"/>
          <w:bCs/>
          <w:sz w:val="18"/>
          <w:szCs w:val="18"/>
        </w:rPr>
        <w:t xml:space="preserve"> </w:t>
      </w:r>
      <w:r w:rsidR="00262DFF" w:rsidRPr="004F6307">
        <w:rPr>
          <w:rFonts w:ascii="Titillium" w:hAnsi="Titillium"/>
          <w:bCs/>
          <w:sz w:val="18"/>
          <w:szCs w:val="18"/>
        </w:rPr>
        <w:t>un punteggio</w:t>
      </w:r>
    </w:p>
    <w:p w:rsidR="00C06E78" w:rsidRPr="00AF481C" w:rsidRDefault="00C06E78" w:rsidP="00AE28AD">
      <w:pPr>
        <w:spacing w:before="60" w:after="60"/>
        <w:rPr>
          <w:rFonts w:ascii="Titillium" w:hAnsi="Titillium"/>
          <w:sz w:val="18"/>
          <w:szCs w:val="18"/>
        </w:rPr>
      </w:pPr>
    </w:p>
    <w:p w:rsidR="00AE28AD" w:rsidRPr="00EC33A9" w:rsidRDefault="00AE28AD" w:rsidP="00225033">
      <w:pPr>
        <w:pStyle w:val="Titolo3"/>
        <w:numPr>
          <w:ilvl w:val="1"/>
          <w:numId w:val="3"/>
        </w:numPr>
        <w:ind w:left="426" w:hanging="426"/>
      </w:pPr>
      <w:bookmarkStart w:id="1856" w:name="_Toc205391336"/>
      <w:bookmarkStart w:id="1857" w:name="_Ref498421792"/>
      <w:bookmarkStart w:id="1858" w:name="_Toc223087498"/>
      <w:bookmarkEnd w:id="1856"/>
      <w:r w:rsidRPr="00EC33A9">
        <w:rPr>
          <w:rFonts w:ascii="Titillium" w:hAnsi="Titillium"/>
          <w:iCs/>
          <w:sz w:val="18"/>
          <w:szCs w:val="18"/>
        </w:rPr>
        <w:t>METODO DI ATTRIBUZIONE DEL COEFFICIENTE PER IL CALCOLO DEL PUNTEGGIO DELL’OFFERTA ECONOMICA</w:t>
      </w:r>
      <w:bookmarkEnd w:id="1857"/>
      <w:bookmarkEnd w:id="1858"/>
    </w:p>
    <w:p w:rsidR="00E86F21" w:rsidRDefault="00E86F21" w:rsidP="00A522A1">
      <w:pPr>
        <w:spacing w:before="60" w:after="60"/>
        <w:rPr>
          <w:rFonts w:ascii="Titillium" w:hAnsi="Titillium"/>
          <w:sz w:val="18"/>
          <w:szCs w:val="18"/>
        </w:rPr>
      </w:pPr>
    </w:p>
    <w:p w:rsidR="00A522A1" w:rsidRPr="00E86F21" w:rsidRDefault="00A522A1" w:rsidP="00A522A1">
      <w:pPr>
        <w:spacing w:before="60" w:after="60"/>
        <w:rPr>
          <w:rFonts w:ascii="Titillium" w:hAnsi="Titillium"/>
          <w:sz w:val="18"/>
          <w:szCs w:val="18"/>
        </w:rPr>
      </w:pPr>
      <w:r w:rsidRPr="00E86F21">
        <w:rPr>
          <w:rFonts w:ascii="Titillium" w:hAnsi="Titillium"/>
          <w:sz w:val="18"/>
          <w:szCs w:val="18"/>
        </w:rPr>
        <w:t xml:space="preserve">Prezzo: massimo punti </w:t>
      </w:r>
      <w:r w:rsidR="00E86F21" w:rsidRPr="00E86F21">
        <w:rPr>
          <w:rFonts w:ascii="Titillium" w:hAnsi="Titillium"/>
          <w:sz w:val="18"/>
          <w:szCs w:val="18"/>
        </w:rPr>
        <w:t>30</w:t>
      </w:r>
    </w:p>
    <w:p w:rsidR="00EC33A9" w:rsidRDefault="00A522A1" w:rsidP="00A522A1">
      <w:pPr>
        <w:spacing w:before="60" w:after="60"/>
        <w:rPr>
          <w:rFonts w:ascii="Titillium" w:hAnsi="Titillium"/>
          <w:sz w:val="18"/>
          <w:szCs w:val="18"/>
        </w:rPr>
      </w:pPr>
      <w:r w:rsidRPr="00E86F21">
        <w:rPr>
          <w:rFonts w:ascii="Titillium" w:hAnsi="Titillium"/>
          <w:sz w:val="18"/>
          <w:szCs w:val="18"/>
        </w:rPr>
        <w:t xml:space="preserve">Il punteggio relativo al prezzo viene attribuito come segue: </w:t>
      </w:r>
    </w:p>
    <w:p w:rsidR="00EC33A9" w:rsidRDefault="00EC33A9" w:rsidP="00A522A1">
      <w:pPr>
        <w:spacing w:before="60" w:after="60"/>
        <w:rPr>
          <w:rFonts w:ascii="Titillium" w:hAnsi="Titillium"/>
          <w:sz w:val="18"/>
          <w:szCs w:val="18"/>
        </w:rPr>
      </w:pPr>
    </w:p>
    <w:p w:rsidR="00A522A1" w:rsidRDefault="00EC33A9" w:rsidP="00A522A1">
      <w:pPr>
        <w:spacing w:before="60" w:after="60"/>
        <w:rPr>
          <w:rFonts w:ascii="Titillium" w:hAnsi="Titillium"/>
          <w:sz w:val="18"/>
          <w:szCs w:val="18"/>
        </w:rPr>
      </w:pPr>
      <w:r w:rsidRPr="00EC33A9">
        <w:rPr>
          <w:rFonts w:ascii="Titillium" w:hAnsi="Titillium"/>
          <w:b/>
          <w:sz w:val="18"/>
          <w:szCs w:val="18"/>
        </w:rPr>
        <w:t>Sezione 1</w:t>
      </w:r>
      <w:r>
        <w:rPr>
          <w:rFonts w:ascii="Titillium" w:hAnsi="Titillium"/>
          <w:sz w:val="18"/>
          <w:szCs w:val="18"/>
        </w:rPr>
        <w:t xml:space="preserve"> </w:t>
      </w:r>
      <w:r w:rsidR="00EB0B77">
        <w:rPr>
          <w:rFonts w:ascii="Titillium" w:hAnsi="Titillium"/>
          <w:sz w:val="18"/>
          <w:szCs w:val="18"/>
        </w:rPr>
        <w:t>Costo ANNI 2011 e SEGUENTI</w:t>
      </w:r>
      <w:r>
        <w:rPr>
          <w:rFonts w:ascii="Titillium" w:hAnsi="Titillium"/>
          <w:sz w:val="18"/>
          <w:szCs w:val="18"/>
        </w:rPr>
        <w:t xml:space="preserve">- </w:t>
      </w:r>
      <w:r w:rsidR="00A522A1" w:rsidRPr="00E86F21">
        <w:rPr>
          <w:rFonts w:ascii="Titillium" w:hAnsi="Titillium"/>
          <w:sz w:val="18"/>
          <w:szCs w:val="18"/>
        </w:rPr>
        <w:t xml:space="preserve">Punti </w:t>
      </w:r>
      <w:r>
        <w:rPr>
          <w:rFonts w:ascii="Titillium" w:hAnsi="Titillium"/>
          <w:sz w:val="18"/>
          <w:szCs w:val="18"/>
        </w:rPr>
        <w:t>20</w:t>
      </w:r>
      <w:r w:rsidR="00A522A1" w:rsidRPr="00E86F21">
        <w:rPr>
          <w:rFonts w:ascii="Titillium" w:hAnsi="Titillium"/>
          <w:sz w:val="18"/>
          <w:szCs w:val="18"/>
        </w:rPr>
        <w:t xml:space="preserve"> verranno attribuiti alla Ditta che a</w:t>
      </w:r>
      <w:r>
        <w:rPr>
          <w:rFonts w:ascii="Titillium" w:hAnsi="Titillium"/>
          <w:sz w:val="18"/>
          <w:szCs w:val="18"/>
        </w:rPr>
        <w:t>vrà offerto l’importo totale più basso indicato in scheda economica ed in PAD risultante dalla somma dei valori determinati dalla scoutistica applicata</w:t>
      </w:r>
    </w:p>
    <w:p w:rsidR="00EC33A9" w:rsidRDefault="00EC33A9" w:rsidP="00A522A1">
      <w:pPr>
        <w:spacing w:before="60" w:after="60"/>
        <w:rPr>
          <w:rFonts w:ascii="Titillium" w:hAnsi="Titillium"/>
          <w:sz w:val="18"/>
          <w:szCs w:val="18"/>
        </w:rPr>
      </w:pPr>
      <w:r w:rsidRPr="00E86F21">
        <w:rPr>
          <w:rFonts w:ascii="Titillium" w:hAnsi="Titillium"/>
          <w:sz w:val="18"/>
          <w:szCs w:val="18"/>
        </w:rPr>
        <w:t>Punti 0,00 alla ditta che avrà offerto il prezzo pari all’importo a base d’asta</w:t>
      </w:r>
    </w:p>
    <w:p w:rsidR="00EC33A9" w:rsidRDefault="00EC33A9" w:rsidP="00EC33A9">
      <w:pPr>
        <w:spacing w:before="60" w:after="60"/>
        <w:rPr>
          <w:rFonts w:ascii="Titillium" w:hAnsi="Titillium"/>
          <w:sz w:val="18"/>
          <w:szCs w:val="18"/>
        </w:rPr>
      </w:pPr>
      <w:r w:rsidRPr="00E86F21">
        <w:rPr>
          <w:rFonts w:ascii="Titillium" w:hAnsi="Titillium"/>
          <w:sz w:val="18"/>
          <w:szCs w:val="18"/>
        </w:rPr>
        <w:t>Per le altre ditte il punteggio del prezzo sarà determinato in misura inversamente proporzionale al prezzo. (Prezzo offerto: prezzo più basso = ….:x)</w:t>
      </w:r>
    </w:p>
    <w:p w:rsidR="00EC33A9" w:rsidRDefault="00EC33A9" w:rsidP="00A522A1">
      <w:pPr>
        <w:spacing w:before="60" w:after="60"/>
        <w:rPr>
          <w:rFonts w:ascii="Titillium" w:hAnsi="Titillium"/>
          <w:sz w:val="18"/>
          <w:szCs w:val="18"/>
        </w:rPr>
      </w:pPr>
    </w:p>
    <w:p w:rsidR="00EC33A9" w:rsidRDefault="00EC33A9" w:rsidP="00EC33A9">
      <w:pPr>
        <w:spacing w:before="60" w:after="60"/>
        <w:rPr>
          <w:rFonts w:ascii="Titillium" w:hAnsi="Titillium"/>
          <w:sz w:val="18"/>
          <w:szCs w:val="18"/>
        </w:rPr>
      </w:pPr>
      <w:r w:rsidRPr="00EC33A9">
        <w:rPr>
          <w:rFonts w:ascii="Titillium" w:hAnsi="Titillium"/>
          <w:b/>
          <w:sz w:val="18"/>
          <w:szCs w:val="18"/>
        </w:rPr>
        <w:t>Sezione 2</w:t>
      </w:r>
      <w:r>
        <w:rPr>
          <w:rFonts w:ascii="Titillium" w:hAnsi="Titillium"/>
          <w:sz w:val="18"/>
          <w:szCs w:val="18"/>
        </w:rPr>
        <w:t xml:space="preserve"> </w:t>
      </w:r>
      <w:r w:rsidR="00EB0B77" w:rsidRPr="00EB0B77">
        <w:rPr>
          <w:rFonts w:ascii="Titillium" w:hAnsi="Titillium"/>
          <w:sz w:val="18"/>
          <w:szCs w:val="18"/>
        </w:rPr>
        <w:t xml:space="preserve">COSTO 2010 E PRECEDENTI  </w:t>
      </w:r>
      <w:r>
        <w:rPr>
          <w:rFonts w:ascii="Titillium" w:hAnsi="Titillium"/>
          <w:sz w:val="18"/>
          <w:szCs w:val="18"/>
        </w:rPr>
        <w:t xml:space="preserve">– Punti 5 </w:t>
      </w:r>
      <w:r w:rsidRPr="00E86F21">
        <w:rPr>
          <w:rFonts w:ascii="Titillium" w:hAnsi="Titillium"/>
          <w:sz w:val="18"/>
          <w:szCs w:val="18"/>
        </w:rPr>
        <w:t>verranno attribuiti alla Ditta che a</w:t>
      </w:r>
      <w:r>
        <w:rPr>
          <w:rFonts w:ascii="Titillium" w:hAnsi="Titillium"/>
          <w:sz w:val="18"/>
          <w:szCs w:val="18"/>
        </w:rPr>
        <w:t>vrà offerto l’importo totale più basso indicato in scheda economica ed in PAD risultante dalla scoutistica applicata</w:t>
      </w:r>
    </w:p>
    <w:p w:rsidR="00EC33A9" w:rsidRDefault="00EC33A9" w:rsidP="00EC33A9">
      <w:pPr>
        <w:spacing w:before="60" w:after="60"/>
        <w:rPr>
          <w:rFonts w:ascii="Titillium" w:hAnsi="Titillium"/>
          <w:sz w:val="18"/>
          <w:szCs w:val="18"/>
        </w:rPr>
      </w:pPr>
      <w:r w:rsidRPr="00E86F21">
        <w:rPr>
          <w:rFonts w:ascii="Titillium" w:hAnsi="Titillium"/>
          <w:sz w:val="18"/>
          <w:szCs w:val="18"/>
        </w:rPr>
        <w:t>Punti 0,00 alla ditta che avrà offerto il prezzo pari all’importo a base d’asta</w:t>
      </w:r>
    </w:p>
    <w:p w:rsidR="00EC33A9" w:rsidRDefault="00EC33A9" w:rsidP="00EC33A9">
      <w:pPr>
        <w:spacing w:before="60" w:after="60"/>
        <w:rPr>
          <w:rFonts w:ascii="Titillium" w:hAnsi="Titillium"/>
          <w:sz w:val="18"/>
          <w:szCs w:val="18"/>
        </w:rPr>
      </w:pPr>
      <w:r w:rsidRPr="00E86F21">
        <w:rPr>
          <w:rFonts w:ascii="Titillium" w:hAnsi="Titillium"/>
          <w:sz w:val="18"/>
          <w:szCs w:val="18"/>
        </w:rPr>
        <w:t>Per le altre ditte il punteggio del prezzo sarà determinato in misura inversamente proporzionale al prezzo. (Prezzo offerto: prezzo più basso = ….:x)</w:t>
      </w:r>
    </w:p>
    <w:p w:rsidR="00EC33A9" w:rsidRDefault="00EC33A9" w:rsidP="00EC33A9">
      <w:pPr>
        <w:spacing w:before="60" w:after="60"/>
        <w:rPr>
          <w:rFonts w:ascii="Titillium" w:hAnsi="Titillium"/>
          <w:sz w:val="18"/>
          <w:szCs w:val="18"/>
        </w:rPr>
      </w:pPr>
    </w:p>
    <w:p w:rsidR="00EC33A9" w:rsidRPr="00E86F21" w:rsidRDefault="00EC33A9" w:rsidP="00A522A1">
      <w:pPr>
        <w:spacing w:before="60" w:after="60"/>
        <w:rPr>
          <w:rFonts w:ascii="Titillium" w:hAnsi="Titillium"/>
          <w:sz w:val="18"/>
          <w:szCs w:val="18"/>
        </w:rPr>
      </w:pPr>
      <w:r w:rsidRPr="00EC33A9">
        <w:rPr>
          <w:rFonts w:ascii="Titillium" w:hAnsi="Titillium"/>
          <w:b/>
          <w:sz w:val="18"/>
          <w:szCs w:val="18"/>
        </w:rPr>
        <w:t>Sezione 3</w:t>
      </w:r>
      <w:r>
        <w:rPr>
          <w:rFonts w:ascii="Titillium" w:hAnsi="Titillium"/>
          <w:sz w:val="18"/>
          <w:szCs w:val="18"/>
        </w:rPr>
        <w:t xml:space="preserve"> </w:t>
      </w:r>
      <w:r w:rsidR="00EB0B77" w:rsidRPr="00EB0B77">
        <w:rPr>
          <w:rFonts w:ascii="Titillium" w:hAnsi="Titillium"/>
          <w:sz w:val="18"/>
          <w:szCs w:val="18"/>
        </w:rPr>
        <w:t xml:space="preserve">COSTO PER OGNI PRATICA NEGATIVA </w:t>
      </w:r>
      <w:r>
        <w:rPr>
          <w:rFonts w:ascii="Titillium" w:hAnsi="Titillium"/>
          <w:sz w:val="18"/>
          <w:szCs w:val="18"/>
        </w:rPr>
        <w:t xml:space="preserve">– Punti 5 </w:t>
      </w:r>
      <w:r w:rsidRPr="00E86F21">
        <w:rPr>
          <w:rFonts w:ascii="Titillium" w:hAnsi="Titillium"/>
          <w:sz w:val="18"/>
          <w:szCs w:val="18"/>
        </w:rPr>
        <w:t>attribuiti alla Ditta che a</w:t>
      </w:r>
      <w:r>
        <w:rPr>
          <w:rFonts w:ascii="Titillium" w:hAnsi="Titillium"/>
          <w:sz w:val="18"/>
          <w:szCs w:val="18"/>
        </w:rPr>
        <w:t>vrà offerto l’importo totale più basso indicato in scheda economica ed in PAD</w:t>
      </w:r>
    </w:p>
    <w:p w:rsidR="00A522A1" w:rsidRPr="00E86F21" w:rsidRDefault="00A522A1" w:rsidP="00A522A1">
      <w:pPr>
        <w:spacing w:before="60" w:after="60"/>
        <w:rPr>
          <w:rFonts w:ascii="Titillium" w:hAnsi="Titillium"/>
          <w:sz w:val="18"/>
          <w:szCs w:val="18"/>
        </w:rPr>
      </w:pPr>
      <w:r w:rsidRPr="00E86F21">
        <w:rPr>
          <w:rFonts w:ascii="Titillium" w:hAnsi="Titillium"/>
          <w:sz w:val="18"/>
          <w:szCs w:val="18"/>
        </w:rPr>
        <w:t>Punti 0,00 alla ditta che avrà offerto il prezzo pari all’importo a base d’asta.</w:t>
      </w:r>
    </w:p>
    <w:p w:rsidR="00AE28AD" w:rsidRDefault="00A522A1" w:rsidP="00A522A1">
      <w:pPr>
        <w:spacing w:before="60" w:after="60"/>
        <w:rPr>
          <w:rFonts w:ascii="Titillium" w:hAnsi="Titillium"/>
          <w:sz w:val="18"/>
          <w:szCs w:val="18"/>
        </w:rPr>
      </w:pPr>
      <w:r w:rsidRPr="00E86F21">
        <w:rPr>
          <w:rFonts w:ascii="Titillium" w:hAnsi="Titillium"/>
          <w:sz w:val="18"/>
          <w:szCs w:val="18"/>
        </w:rPr>
        <w:t>Per le altre ditte il punteggio del prezzo sarà determinato in misura inversamente proporzionale al prezzo. (Prezzo offerto: prezzo più basso = ….:x)</w:t>
      </w:r>
    </w:p>
    <w:p w:rsidR="00B12D60" w:rsidRPr="00B12D60" w:rsidRDefault="00B12D60" w:rsidP="00B12D60">
      <w:pPr>
        <w:spacing w:before="60" w:after="60"/>
        <w:jc w:val="center"/>
        <w:rPr>
          <w:b/>
          <w:highlight w:val="green"/>
        </w:rPr>
      </w:pPr>
      <w:r w:rsidRPr="00B12D60">
        <w:rPr>
          <w:b/>
          <w:highlight w:val="green"/>
        </w:rPr>
        <w:t>AVVERTENZA.</w:t>
      </w:r>
    </w:p>
    <w:p w:rsidR="00B12D60" w:rsidRPr="00B12D60" w:rsidRDefault="00B12D60" w:rsidP="00B12D60">
      <w:pPr>
        <w:spacing w:before="60" w:after="60"/>
        <w:rPr>
          <w:rFonts w:ascii="Titillium" w:hAnsi="Titillium"/>
          <w:sz w:val="18"/>
          <w:szCs w:val="18"/>
          <w:highlight w:val="green"/>
        </w:rPr>
      </w:pPr>
      <w:r w:rsidRPr="00B12D60">
        <w:rPr>
          <w:rFonts w:ascii="Titillium" w:hAnsi="Titillium"/>
          <w:sz w:val="18"/>
          <w:szCs w:val="18"/>
          <w:highlight w:val="green"/>
        </w:rPr>
        <w:t>Per consentire alla Piattaforma la corretta attribuzione dei punteggi economici, gli Operatori Economici dovranno indicare nella voce:</w:t>
      </w:r>
    </w:p>
    <w:p w:rsidR="00B12D60" w:rsidRPr="00B12D60" w:rsidRDefault="00B12D60" w:rsidP="00B12D60">
      <w:pPr>
        <w:spacing w:before="60" w:after="60"/>
        <w:rPr>
          <w:rFonts w:ascii="Titillium" w:hAnsi="Titillium"/>
          <w:sz w:val="18"/>
          <w:szCs w:val="18"/>
          <w:highlight w:val="green"/>
        </w:rPr>
      </w:pPr>
      <w:r w:rsidRPr="00B12D60">
        <w:rPr>
          <w:rFonts w:ascii="Titillium" w:hAnsi="Titillium"/>
          <w:sz w:val="18"/>
          <w:szCs w:val="18"/>
          <w:highlight w:val="green"/>
        </w:rPr>
        <w:t>a. PREZZO OFFERTO PER UM IVA ESCLUSA ( 2 DEC. ): il costo TOTALE ANNI 2011 E SEGUENTI;</w:t>
      </w:r>
    </w:p>
    <w:p w:rsidR="00B12D60" w:rsidRPr="00B12D60" w:rsidRDefault="00B12D60" w:rsidP="00B12D60">
      <w:pPr>
        <w:spacing w:before="60" w:after="60"/>
        <w:rPr>
          <w:rFonts w:ascii="Titillium" w:hAnsi="Titillium"/>
          <w:sz w:val="18"/>
          <w:szCs w:val="18"/>
          <w:highlight w:val="green"/>
        </w:rPr>
      </w:pPr>
      <w:r w:rsidRPr="00B12D60">
        <w:rPr>
          <w:rFonts w:ascii="Titillium" w:hAnsi="Titillium"/>
          <w:sz w:val="18"/>
          <w:szCs w:val="18"/>
          <w:highlight w:val="green"/>
        </w:rPr>
        <w:t xml:space="preserve">b. </w:t>
      </w:r>
      <w:r w:rsidR="00661297">
        <w:rPr>
          <w:rFonts w:ascii="Titillium" w:hAnsi="Titillium"/>
          <w:sz w:val="18"/>
          <w:szCs w:val="18"/>
          <w:highlight w:val="green"/>
        </w:rPr>
        <w:t xml:space="preserve">COSTO </w:t>
      </w:r>
      <w:r w:rsidRPr="00B12D60">
        <w:rPr>
          <w:rFonts w:ascii="Titillium" w:hAnsi="Titillium"/>
          <w:sz w:val="18"/>
          <w:szCs w:val="18"/>
          <w:highlight w:val="green"/>
        </w:rPr>
        <w:t>2010 E PRECEDENT</w:t>
      </w:r>
      <w:r w:rsidR="00661297">
        <w:rPr>
          <w:rFonts w:ascii="Titillium" w:hAnsi="Titillium"/>
          <w:sz w:val="18"/>
          <w:szCs w:val="18"/>
          <w:highlight w:val="green"/>
        </w:rPr>
        <w:t>I</w:t>
      </w:r>
      <w:r w:rsidRPr="00B12D60">
        <w:rPr>
          <w:rFonts w:ascii="Titillium" w:hAnsi="Titillium"/>
          <w:sz w:val="18"/>
          <w:szCs w:val="18"/>
          <w:highlight w:val="green"/>
        </w:rPr>
        <w:t xml:space="preserve">  ( 2 DEC. ): il costo CORRISPONDENTE;</w:t>
      </w:r>
    </w:p>
    <w:p w:rsidR="00AE28AD" w:rsidRPr="00AF481C" w:rsidRDefault="00B12D60" w:rsidP="00B12D60">
      <w:pPr>
        <w:spacing w:before="60" w:after="60"/>
      </w:pPr>
      <w:r w:rsidRPr="00B12D60">
        <w:rPr>
          <w:rFonts w:ascii="Titillium" w:hAnsi="Titillium"/>
          <w:sz w:val="18"/>
          <w:szCs w:val="18"/>
          <w:highlight w:val="green"/>
        </w:rPr>
        <w:t>c. COSTO PER OGNI PRATICA NEGATIVA ( 2 DEC. ): il costo CORRISPONDENTE</w:t>
      </w:r>
      <w:r w:rsidRPr="00B12D60">
        <w:rPr>
          <w:highlight w:val="green"/>
        </w:rPr>
        <w:t>;</w:t>
      </w:r>
    </w:p>
    <w:p w:rsidR="00AE28AD" w:rsidRPr="00AF481C" w:rsidRDefault="00AE28AD" w:rsidP="00225033">
      <w:pPr>
        <w:pStyle w:val="Titolo3"/>
        <w:numPr>
          <w:ilvl w:val="1"/>
          <w:numId w:val="3"/>
        </w:numPr>
        <w:ind w:left="426" w:hanging="426"/>
      </w:pPr>
      <w:bookmarkStart w:id="1859" w:name="_Ref497226795"/>
      <w:bookmarkStart w:id="1860" w:name="_Toc223087499"/>
      <w:r w:rsidRPr="00AF481C">
        <w:rPr>
          <w:rFonts w:ascii="Titillium" w:hAnsi="Titillium"/>
          <w:iCs/>
          <w:sz w:val="18"/>
          <w:szCs w:val="18"/>
        </w:rPr>
        <w:t>METODO DI CALCOLO DEI PUNTEGGI</w:t>
      </w:r>
      <w:bookmarkEnd w:id="1859"/>
      <w:bookmarkEnd w:id="1860"/>
    </w:p>
    <w:p w:rsidR="00E86F21" w:rsidRDefault="00E86F21" w:rsidP="00E86F21">
      <w:pPr>
        <w:spacing w:before="60" w:after="60"/>
        <w:rPr>
          <w:rFonts w:ascii="Titillium" w:hAnsi="Titillium"/>
          <w:sz w:val="18"/>
          <w:szCs w:val="18"/>
        </w:rPr>
      </w:pPr>
    </w:p>
    <w:p w:rsidR="00AE28AD" w:rsidRPr="00541FA2" w:rsidRDefault="00AE28AD" w:rsidP="00E86F21">
      <w:pPr>
        <w:spacing w:before="60" w:after="60"/>
        <w:rPr>
          <w:strike/>
        </w:rPr>
      </w:pPr>
      <w:r w:rsidRPr="00AF481C">
        <w:rPr>
          <w:rFonts w:ascii="Titillium" w:hAnsi="Titillium"/>
          <w:sz w:val="18"/>
          <w:szCs w:val="18"/>
        </w:rPr>
        <w:t xml:space="preserve">La commissione, terminata l’attribuzione dei coefficienti agli elementi qualitativi e quantitativi, procede, in relazione a ciascuna offerta, all’attribuzione dei punteggi </w:t>
      </w:r>
    </w:p>
    <w:p w:rsidR="00AE28AD" w:rsidRDefault="00AE28AD" w:rsidP="00AE28AD">
      <w:pPr>
        <w:spacing w:before="120" w:after="60"/>
        <w:rPr>
          <w:rFonts w:ascii="Titillium" w:hAnsi="Titillium"/>
          <w:sz w:val="18"/>
          <w:szCs w:val="18"/>
        </w:rPr>
      </w:pPr>
      <w:r w:rsidRPr="00AF481C">
        <w:rPr>
          <w:rFonts w:ascii="Titillium" w:hAnsi="Titillium"/>
          <w:sz w:val="18"/>
          <w:szCs w:val="18"/>
        </w:rPr>
        <w:t>Al fine di non alterare i pesi stabiliti tra i vari criteri, se nel punteggio per l’offerta tecnica complessiva nessun concorrente ottiene il punteggio massimo, tale punteggio viene nuovamente riparametrato attribuendo all’offerta del concorrente che ha ottenuto il punteggio complessivo più alto per l’offerta tecnica il punteggio massimo previsto e alle offerte degli altri concorrenti un punteggio proporzionale decrescente.</w:t>
      </w:r>
    </w:p>
    <w:p w:rsidR="00541FA2" w:rsidRPr="00541FA2" w:rsidRDefault="00541FA2" w:rsidP="00AE28AD">
      <w:pPr>
        <w:spacing w:before="120" w:after="60"/>
        <w:rPr>
          <w:rFonts w:ascii="Titillium" w:hAnsi="Titillium"/>
          <w:b/>
          <w:sz w:val="18"/>
          <w:szCs w:val="18"/>
        </w:rPr>
      </w:pPr>
      <w:r w:rsidRPr="00541FA2">
        <w:rPr>
          <w:rFonts w:ascii="Titillium" w:hAnsi="Titillium"/>
          <w:b/>
          <w:sz w:val="18"/>
          <w:szCs w:val="18"/>
        </w:rPr>
        <w:t>La gara sarà aggiudicata al concorrente che avrà ottenuto il punteggio complessivo (offerta tecnica ed economica), più alto.</w:t>
      </w:r>
    </w:p>
    <w:p w:rsidR="00AE28AD" w:rsidRPr="00AF481C" w:rsidRDefault="00CE6BDA" w:rsidP="00AE28AD">
      <w:pPr>
        <w:pStyle w:val="Default"/>
        <w:spacing w:before="60" w:after="60"/>
        <w:rPr>
          <w:rFonts w:ascii="Titillium" w:hAnsi="Titillium"/>
          <w:sz w:val="18"/>
          <w:szCs w:val="18"/>
        </w:rPr>
      </w:pPr>
      <w:r w:rsidRPr="00AF481C">
        <w:rPr>
          <w:rFonts w:ascii="Titillium" w:hAnsi="Titillium"/>
          <w:sz w:val="18"/>
          <w:szCs w:val="18"/>
        </w:rPr>
        <w:t>Il punteggio tecnico attribuito in relazione a ciascun elemento di valutazione dell’offerta tecnica è arrotondato alla seconda cifra decimale,per difetto se la terza cifra decimale è compresa tra 0 e 4 e, per eccesso, se la terza cifra decimale è compresa tra 5 e 9.</w:t>
      </w:r>
    </w:p>
    <w:p w:rsidR="00C06E78" w:rsidRPr="00AF481C" w:rsidRDefault="00C06E78" w:rsidP="00AE28AD">
      <w:pPr>
        <w:pStyle w:val="Default"/>
        <w:spacing w:before="60" w:after="60"/>
        <w:rPr>
          <w:rFonts w:ascii="Titillium" w:hAnsi="Titillium" w:cs="Garamond"/>
          <w:sz w:val="18"/>
          <w:szCs w:val="18"/>
        </w:rPr>
      </w:pPr>
    </w:p>
    <w:p w:rsidR="00AE28AD" w:rsidRPr="00AF481C" w:rsidRDefault="00AE28AD" w:rsidP="00604C9A">
      <w:pPr>
        <w:pStyle w:val="Titolo2"/>
        <w:numPr>
          <w:ilvl w:val="0"/>
          <w:numId w:val="3"/>
        </w:numPr>
      </w:pPr>
      <w:bookmarkStart w:id="1861" w:name="_Toc4034712801"/>
      <w:bookmarkStart w:id="1862" w:name="_Toc3974228731"/>
      <w:bookmarkStart w:id="1863" w:name="_Toc3973468321"/>
      <w:bookmarkStart w:id="1864" w:name="_Toc3937069171"/>
      <w:bookmarkStart w:id="1865" w:name="_Toc3937008441"/>
      <w:bookmarkStart w:id="1866" w:name="_Toc3932831851"/>
      <w:bookmarkStart w:id="1867" w:name="_Toc3932726691"/>
      <w:bookmarkStart w:id="1868" w:name="_Toc3932726111"/>
      <w:bookmarkStart w:id="1869" w:name="_Toc3931878551"/>
      <w:bookmarkStart w:id="1870" w:name="_Toc3931121381"/>
      <w:bookmarkStart w:id="1871" w:name="_Toc3931105741"/>
      <w:bookmarkStart w:id="1872" w:name="_Toc3925775071"/>
      <w:bookmarkStart w:id="1873" w:name="_Toc3910360661"/>
      <w:bookmarkStart w:id="1874" w:name="_Toc3910359931"/>
      <w:bookmarkStart w:id="1875" w:name="_Toc3805018801"/>
      <w:bookmarkStart w:id="1876" w:name="_Toc485218331"/>
      <w:bookmarkStart w:id="1877" w:name="_Toc484688895"/>
      <w:bookmarkStart w:id="1878" w:name="_Toc484688340"/>
      <w:bookmarkStart w:id="1879" w:name="_Toc484605471"/>
      <w:bookmarkStart w:id="1880" w:name="_Toc484605347"/>
      <w:bookmarkStart w:id="1881" w:name="_Toc484526628"/>
      <w:bookmarkStart w:id="1882" w:name="_Toc484449133"/>
      <w:bookmarkStart w:id="1883" w:name="_Toc484449009"/>
      <w:bookmarkStart w:id="1884" w:name="_Toc484448885"/>
      <w:bookmarkStart w:id="1885" w:name="_Toc484448762"/>
      <w:bookmarkStart w:id="1886" w:name="_Toc484448638"/>
      <w:bookmarkStart w:id="1887" w:name="_Toc484448514"/>
      <w:bookmarkStart w:id="1888" w:name="_Toc484448390"/>
      <w:bookmarkStart w:id="1889" w:name="_Toc484448266"/>
      <w:bookmarkStart w:id="1890" w:name="_Toc484448142"/>
      <w:bookmarkStart w:id="1891" w:name="_Toc484440482"/>
      <w:bookmarkStart w:id="1892" w:name="_Toc484440122"/>
      <w:bookmarkStart w:id="1893" w:name="_Toc484439998"/>
      <w:bookmarkStart w:id="1894" w:name="_Toc484439875"/>
      <w:bookmarkStart w:id="1895" w:name="_Toc484438955"/>
      <w:bookmarkStart w:id="1896" w:name="_Toc484438831"/>
      <w:bookmarkStart w:id="1897" w:name="_Toc484438707"/>
      <w:bookmarkStart w:id="1898" w:name="_Toc484429132"/>
      <w:bookmarkStart w:id="1899" w:name="_Toc484428962"/>
      <w:bookmarkStart w:id="1900" w:name="_Toc484097788"/>
      <w:bookmarkStart w:id="1901" w:name="_Toc484011714"/>
      <w:bookmarkStart w:id="1902" w:name="_Toc484011239"/>
      <w:bookmarkStart w:id="1903" w:name="_Toc484011117"/>
      <w:bookmarkStart w:id="1904" w:name="_Toc484010995"/>
      <w:bookmarkStart w:id="1905" w:name="_Toc484010871"/>
      <w:bookmarkStart w:id="1906" w:name="_Toc484010749"/>
      <w:bookmarkStart w:id="1907" w:name="_Toc483906999"/>
      <w:bookmarkStart w:id="1908" w:name="_Toc483571622"/>
      <w:bookmarkStart w:id="1909" w:name="_Toc483571501"/>
      <w:bookmarkStart w:id="1910" w:name="_Toc483474071"/>
      <w:bookmarkStart w:id="1911" w:name="_Toc483401275"/>
      <w:bookmarkStart w:id="1912" w:name="_Toc483325797"/>
      <w:bookmarkStart w:id="1913" w:name="_Toc483316494"/>
      <w:bookmarkStart w:id="1914" w:name="_Toc483316363"/>
      <w:bookmarkStart w:id="1915" w:name="_Toc483316231"/>
      <w:bookmarkStart w:id="1916" w:name="_Toc483316026"/>
      <w:bookmarkStart w:id="1917" w:name="_Toc483302405"/>
      <w:bookmarkStart w:id="1918" w:name="_Toc483233688"/>
      <w:bookmarkStart w:id="1919" w:name="_Toc482979728"/>
      <w:bookmarkStart w:id="1920" w:name="_Toc482979630"/>
      <w:bookmarkStart w:id="1921" w:name="_Toc482979532"/>
      <w:bookmarkStart w:id="1922" w:name="_Toc482979424"/>
      <w:bookmarkStart w:id="1923" w:name="_Toc482979315"/>
      <w:bookmarkStart w:id="1924" w:name="_Toc482979206"/>
      <w:bookmarkStart w:id="1925" w:name="_Toc482979095"/>
      <w:bookmarkStart w:id="1926" w:name="_Toc482978987"/>
      <w:bookmarkStart w:id="1927" w:name="_Toc482978878"/>
      <w:bookmarkStart w:id="1928" w:name="_Toc482959759"/>
      <w:bookmarkStart w:id="1929" w:name="_Toc482959649"/>
      <w:bookmarkStart w:id="1930" w:name="_Toc482959539"/>
      <w:bookmarkStart w:id="1931" w:name="_Toc482712751"/>
      <w:bookmarkStart w:id="1932" w:name="_Toc482641305"/>
      <w:bookmarkStart w:id="1933" w:name="_Toc482633128"/>
      <w:bookmarkStart w:id="1934" w:name="_Toc482352287"/>
      <w:bookmarkStart w:id="1935" w:name="_Toc482352197"/>
      <w:bookmarkStart w:id="1936" w:name="_Toc482352107"/>
      <w:bookmarkStart w:id="1937" w:name="_Toc482352017"/>
      <w:bookmarkStart w:id="1938" w:name="_Toc482102153"/>
      <w:bookmarkStart w:id="1939" w:name="_Toc482102059"/>
      <w:bookmarkStart w:id="1940" w:name="_Toc482101964"/>
      <w:bookmarkStart w:id="1941" w:name="_Toc482101869"/>
      <w:bookmarkStart w:id="1942" w:name="_Toc482101776"/>
      <w:bookmarkStart w:id="1943" w:name="_Toc482101601"/>
      <w:bookmarkStart w:id="1944" w:name="_Toc482101486"/>
      <w:bookmarkStart w:id="1945" w:name="_Toc482101349"/>
      <w:bookmarkStart w:id="1946" w:name="_Toc482100923"/>
      <w:bookmarkStart w:id="1947" w:name="_Toc482100766"/>
      <w:bookmarkStart w:id="1948" w:name="_Toc482099049"/>
      <w:bookmarkStart w:id="1949" w:name="_Toc482097947"/>
      <w:bookmarkStart w:id="1950" w:name="_Toc482097755"/>
      <w:bookmarkStart w:id="1951" w:name="_Toc482097666"/>
      <w:bookmarkStart w:id="1952" w:name="_Toc482097577"/>
      <w:bookmarkStart w:id="1953" w:name="_Toc482025753"/>
      <w:bookmarkStart w:id="1954" w:name="_Toc481772380"/>
      <w:bookmarkStart w:id="1955" w:name="_Toc481772316"/>
      <w:bookmarkStart w:id="1956" w:name="_Toc481511317"/>
      <w:bookmarkStart w:id="1957" w:name="_Toc481511273"/>
      <w:bookmarkStart w:id="1958" w:name="_Toc481511213"/>
      <w:bookmarkStart w:id="1959" w:name="_Toc481511168"/>
      <w:bookmarkStart w:id="1960" w:name="_Toc481511110"/>
      <w:bookmarkStart w:id="1961" w:name="_Toc481165531"/>
      <w:bookmarkStart w:id="1962" w:name="_Toc481165222"/>
      <w:bookmarkStart w:id="1963" w:name="_Toc481160021"/>
      <w:bookmarkStart w:id="1964" w:name="_Toc481159876"/>
      <w:bookmarkStart w:id="1965" w:name="_Toc481159824"/>
      <w:bookmarkStart w:id="1966" w:name="_Toc481159767"/>
      <w:bookmarkStart w:id="1967" w:name="_Toc481159721"/>
      <w:bookmarkStart w:id="1968" w:name="_Toc481159382"/>
      <w:bookmarkStart w:id="1969" w:name="_Toc481158988"/>
      <w:bookmarkStart w:id="1970" w:name="_Toc4164233721"/>
      <w:bookmarkStart w:id="1971" w:name="_Toc4067541891"/>
      <w:bookmarkStart w:id="1972" w:name="_Toc4060583881"/>
      <w:bookmarkStart w:id="1973" w:name="_Ref129797347"/>
      <w:bookmarkStart w:id="1974" w:name="_Toc22308750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r w:rsidRPr="00AF481C">
        <w:t>COMMISSIONE GIUDICATRICE</w:t>
      </w:r>
      <w:bookmarkEnd w:id="1973"/>
      <w:bookmarkEnd w:id="1974"/>
    </w:p>
    <w:p w:rsidR="00AE28AD" w:rsidRPr="00AF481C" w:rsidRDefault="00AE28AD" w:rsidP="00AE28AD">
      <w:pPr>
        <w:tabs>
          <w:tab w:val="left" w:pos="6521"/>
        </w:tabs>
        <w:spacing w:before="120" w:after="60"/>
      </w:pPr>
      <w:r w:rsidRPr="00AF481C">
        <w:rPr>
          <w:rFonts w:ascii="Titillium" w:hAnsi="Titillium" w:cs="Calibri"/>
          <w:sz w:val="18"/>
          <w:szCs w:val="18"/>
        </w:rPr>
        <w:t>La commissione giudicatrice è nominata dopo la scadenza del termine per la presentazione delle offerte</w:t>
      </w:r>
      <w:r w:rsidR="00EC33A9">
        <w:rPr>
          <w:rFonts w:ascii="Titillium" w:hAnsi="Titillium" w:cs="Calibri"/>
          <w:sz w:val="18"/>
          <w:szCs w:val="18"/>
        </w:rPr>
        <w:t>, indicato in PAD,</w:t>
      </w:r>
      <w:r w:rsidRPr="00AF481C">
        <w:rPr>
          <w:rFonts w:ascii="Titillium" w:hAnsi="Titillium" w:cs="Calibri"/>
          <w:sz w:val="18"/>
          <w:szCs w:val="18"/>
        </w:rPr>
        <w:t xml:space="preserve"> ed è composta da un numero dispari </w:t>
      </w:r>
      <w:r w:rsidR="00E86F21">
        <w:rPr>
          <w:rFonts w:ascii="Titillium" w:hAnsi="Titillium" w:cs="Calibri"/>
          <w:sz w:val="18"/>
          <w:szCs w:val="18"/>
        </w:rPr>
        <w:t xml:space="preserve">di </w:t>
      </w:r>
      <w:r w:rsidRPr="00415A07">
        <w:rPr>
          <w:rFonts w:ascii="Titillium" w:hAnsi="Titillium" w:cs="Calibri"/>
          <w:sz w:val="18"/>
          <w:szCs w:val="18"/>
        </w:rPr>
        <w:t>min. 3 max 5</w:t>
      </w:r>
      <w:r w:rsidR="00E86F21" w:rsidRPr="00415A07">
        <w:rPr>
          <w:rFonts w:ascii="Titillium" w:hAnsi="Titillium" w:cs="Calibri"/>
          <w:sz w:val="18"/>
          <w:szCs w:val="18"/>
        </w:rPr>
        <w:t xml:space="preserve"> membri</w:t>
      </w:r>
      <w:r w:rsidRPr="00AF481C">
        <w:rPr>
          <w:rFonts w:ascii="Titillium" w:hAnsi="Titillium" w:cs="Calibri"/>
          <w:sz w:val="18"/>
          <w:szCs w:val="18"/>
        </w:rPr>
        <w:t>, esperti nello specifico settore cui si riferisce l’oggetto del contratto. In capo ai commissari non devono sussistere cause ostative alla nomina ai sensi dell’articolo 93 comma 5 del Codice. A tal fine viene richiesta, prima del conferimento dell’incarico, apposita dichiarazione.</w:t>
      </w:r>
    </w:p>
    <w:p w:rsidR="00AE28AD" w:rsidRPr="00AF481C" w:rsidRDefault="00AE28AD" w:rsidP="00AE28AD">
      <w:pPr>
        <w:pStyle w:val="Default"/>
        <w:spacing w:before="60" w:after="60"/>
      </w:pPr>
      <w:r w:rsidRPr="00AF481C">
        <w:rPr>
          <w:rFonts w:ascii="Titillium" w:hAnsi="Titillium" w:cs="Garamond"/>
          <w:sz w:val="18"/>
          <w:szCs w:val="18"/>
        </w:rPr>
        <w:t xml:space="preserve">La composizione della commissione giudicatrice e i curricula dei componenti sono </w:t>
      </w:r>
      <w:r w:rsidRPr="00AF481C">
        <w:rPr>
          <w:rFonts w:ascii="Titillium" w:hAnsi="Titillium" w:cs="Garamond"/>
          <w:sz w:val="18"/>
          <w:szCs w:val="18"/>
        </w:rPr>
        <w:lastRenderedPageBreak/>
        <w:t>pubblicati sul sito istituzionale nella sezione “Amministrazione trasparente”.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RUP si avvale dell’ausilio della commissione giudicatrice ai fini della verifica dell’anomalia delle offerte.</w:t>
      </w:r>
    </w:p>
    <w:p w:rsidR="00AE28AD" w:rsidRPr="00AF481C" w:rsidRDefault="00AE28AD" w:rsidP="00AE28AD">
      <w:pPr>
        <w:tabs>
          <w:tab w:val="left" w:pos="851"/>
        </w:tabs>
        <w:spacing w:before="60" w:after="60"/>
        <w:rPr>
          <w:rFonts w:ascii="Titillium" w:hAnsi="Titillium" w:cs="Calibri"/>
          <w:szCs w:val="24"/>
        </w:rPr>
      </w:pPr>
    </w:p>
    <w:p w:rsidR="00AE28AD" w:rsidRPr="00AF481C" w:rsidRDefault="00AE28AD" w:rsidP="00604C9A">
      <w:pPr>
        <w:pStyle w:val="Titolo2"/>
        <w:numPr>
          <w:ilvl w:val="0"/>
          <w:numId w:val="3"/>
        </w:numPr>
      </w:pPr>
      <w:bookmarkStart w:id="1975" w:name="_Ref130243943"/>
      <w:bookmarkStart w:id="1976" w:name="_Toc223087501"/>
      <w:r w:rsidRPr="00AF481C">
        <w:t>SVOLGIMENTO DELLE OPERAZIONI DI GARA</w:t>
      </w:r>
      <w:bookmarkEnd w:id="1975"/>
      <w:bookmarkEnd w:id="1976"/>
    </w:p>
    <w:p w:rsidR="00AE28AD" w:rsidRPr="00541FA2" w:rsidRDefault="00AE28AD" w:rsidP="00AE28AD">
      <w:pPr>
        <w:spacing w:before="60" w:after="60"/>
        <w:rPr>
          <w:rFonts w:ascii="Titillium" w:hAnsi="Titillium" w:cs="Calibri"/>
          <w:b/>
          <w:sz w:val="18"/>
          <w:szCs w:val="18"/>
        </w:rPr>
      </w:pPr>
      <w:r w:rsidRPr="00AF481C">
        <w:rPr>
          <w:rFonts w:ascii="Titillium" w:hAnsi="Titillium" w:cs="Calibri"/>
          <w:sz w:val="18"/>
          <w:szCs w:val="18"/>
        </w:rPr>
        <w:t xml:space="preserve">La prima sessione </w:t>
      </w:r>
      <w:r w:rsidR="007F3AD3" w:rsidRPr="00AF481C">
        <w:rPr>
          <w:rFonts w:ascii="Titillium" w:hAnsi="Titillium" w:cs="Calibri"/>
          <w:sz w:val="18"/>
          <w:szCs w:val="18"/>
        </w:rPr>
        <w:t xml:space="preserve">telematica </w:t>
      </w:r>
      <w:r w:rsidRPr="00AF481C">
        <w:rPr>
          <w:rFonts w:ascii="Titillium" w:hAnsi="Titillium" w:cs="Calibri"/>
          <w:sz w:val="18"/>
          <w:szCs w:val="18"/>
        </w:rPr>
        <w:t xml:space="preserve">ha </w:t>
      </w:r>
      <w:r w:rsidRPr="00541FA2">
        <w:rPr>
          <w:rFonts w:ascii="Titillium" w:hAnsi="Titillium" w:cs="Calibri"/>
          <w:b/>
          <w:sz w:val="18"/>
          <w:szCs w:val="18"/>
        </w:rPr>
        <w:t xml:space="preserve">luogo il giorno </w:t>
      </w:r>
      <w:r w:rsidR="00541FA2" w:rsidRPr="00541FA2">
        <w:rPr>
          <w:rFonts w:ascii="Titillium" w:hAnsi="Titillium" w:cs="Calibri"/>
          <w:b/>
          <w:sz w:val="18"/>
          <w:szCs w:val="18"/>
        </w:rPr>
        <w:t>e</w:t>
      </w:r>
      <w:r w:rsidRPr="00541FA2">
        <w:rPr>
          <w:rFonts w:ascii="Titillium" w:hAnsi="Titillium" w:cs="Calibri"/>
          <w:b/>
          <w:sz w:val="18"/>
          <w:szCs w:val="18"/>
        </w:rPr>
        <w:t xml:space="preserve"> alle ore </w:t>
      </w:r>
      <w:r w:rsidR="00541FA2" w:rsidRPr="00541FA2">
        <w:rPr>
          <w:rFonts w:ascii="Titillium" w:hAnsi="Titillium" w:cs="Calibri"/>
          <w:b/>
          <w:sz w:val="18"/>
          <w:szCs w:val="18"/>
        </w:rPr>
        <w:t xml:space="preserve">indicate in </w:t>
      </w:r>
      <w:r w:rsidR="00EC33A9">
        <w:rPr>
          <w:rFonts w:ascii="Titillium" w:hAnsi="Titillium" w:cs="Calibri"/>
          <w:b/>
          <w:sz w:val="18"/>
          <w:szCs w:val="18"/>
        </w:rPr>
        <w:t>PAD.</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PAD</w:t>
      </w:r>
      <w:r w:rsidR="00D90239" w:rsidRPr="00AF481C">
        <w:rPr>
          <w:rFonts w:ascii="Titillium" w:hAnsi="Titillium" w:cs="Calibri"/>
          <w:sz w:val="18"/>
          <w:szCs w:val="18"/>
        </w:rPr>
        <w:t xml:space="preserve"> c</w:t>
      </w:r>
      <w:r w:rsidRPr="00AF481C">
        <w:rPr>
          <w:rFonts w:ascii="Titillium" w:hAnsi="Titillium" w:cs="Calibri"/>
          <w:sz w:val="18"/>
          <w:szCs w:val="18"/>
        </w:rPr>
        <w:t>onsente lo svolgimento delle sessioni di gara preordinate all’esame: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della documentazione amministrativa;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tecniche;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economiche.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PAD garantisce il rispetto delle disposizioni del codice in materia di riservatezza delle operazioni e delle informazioni relative alla procedura di gara, nonché il rispetto dei principi di trasparenza.</w:t>
      </w:r>
    </w:p>
    <w:p w:rsidR="00AE28AD" w:rsidRPr="00AF481C" w:rsidRDefault="00AE28AD" w:rsidP="00AE28AD">
      <w:pPr>
        <w:spacing w:before="60" w:after="60"/>
      </w:pPr>
    </w:p>
    <w:p w:rsidR="00AE28AD" w:rsidRPr="00AF481C" w:rsidRDefault="00AE28AD" w:rsidP="00604C9A">
      <w:pPr>
        <w:pStyle w:val="Titolo2"/>
        <w:numPr>
          <w:ilvl w:val="0"/>
          <w:numId w:val="3"/>
        </w:numPr>
      </w:pPr>
      <w:bookmarkStart w:id="1977" w:name="_Ref132303128"/>
      <w:bookmarkStart w:id="1978" w:name="_Toc223087502"/>
      <w:r w:rsidRPr="00AF481C">
        <w:t>VERIFICA DOCUMENTAZIONE AMMINISTRATIVA</w:t>
      </w:r>
      <w:bookmarkEnd w:id="1977"/>
      <w:bookmarkEnd w:id="1978"/>
    </w:p>
    <w:p w:rsidR="00AE28AD" w:rsidRPr="00AF481C" w:rsidRDefault="00483A55" w:rsidP="00AE28AD">
      <w:pPr>
        <w:spacing w:before="60" w:after="60"/>
      </w:pPr>
      <w:r w:rsidRPr="00483A55">
        <w:rPr>
          <w:rFonts w:ascii="Titillium" w:hAnsi="Titillium" w:cs="Calibri"/>
          <w:sz w:val="18"/>
          <w:szCs w:val="18"/>
        </w:rPr>
        <w:t>Il Seggio di Gara accede alla documentazione amministrativa di ciascun concorrent</w:t>
      </w:r>
      <w:r>
        <w:rPr>
          <w:rFonts w:ascii="Titillium" w:hAnsi="Titillium" w:cs="Calibri"/>
          <w:sz w:val="18"/>
          <w:szCs w:val="18"/>
        </w:rPr>
        <w:t xml:space="preserve">e, </w:t>
      </w:r>
      <w:r w:rsidRPr="00483A55">
        <w:rPr>
          <w:rFonts w:ascii="Titillium" w:hAnsi="Titillium" w:cs="Calibri"/>
          <w:sz w:val="18"/>
          <w:szCs w:val="18"/>
        </w:rPr>
        <w:t xml:space="preserve">mentre </w:t>
      </w:r>
      <w:r w:rsidR="00AE28AD" w:rsidRPr="00AF481C">
        <w:rPr>
          <w:rFonts w:ascii="Titillium" w:hAnsi="Titillium" w:cs="Calibri"/>
          <w:sz w:val="18"/>
          <w:szCs w:val="18"/>
        </w:rPr>
        <w:t xml:space="preserve">l’offerta tecnica e l’offerta economica restano, chiuse, segrete e bloccate dal sistema, e procede a: </w:t>
      </w:r>
    </w:p>
    <w:p w:rsidR="00AE28AD" w:rsidRPr="00AF481C" w:rsidRDefault="00AE28AD" w:rsidP="00225033">
      <w:pPr>
        <w:numPr>
          <w:ilvl w:val="0"/>
          <w:numId w:val="5"/>
        </w:numPr>
        <w:tabs>
          <w:tab w:val="left" w:pos="851"/>
        </w:tabs>
        <w:spacing w:before="60" w:after="60"/>
        <w:ind w:left="426"/>
        <w:rPr>
          <w:rFonts w:ascii="Titillium" w:hAnsi="Titillium" w:cs="Calibri"/>
          <w:sz w:val="18"/>
          <w:szCs w:val="18"/>
        </w:rPr>
      </w:pPr>
      <w:r w:rsidRPr="00AF481C">
        <w:rPr>
          <w:rFonts w:ascii="Titillium" w:hAnsi="Titillium" w:cs="Calibri"/>
          <w:sz w:val="18"/>
          <w:szCs w:val="18"/>
        </w:rPr>
        <w:t>controllare la completezza della documentazione amministrativa presentata;</w:t>
      </w:r>
    </w:p>
    <w:p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verificare la conformità della documentazione amministrativa a quanto richiesto nel presente disciplinare;</w:t>
      </w:r>
    </w:p>
    <w:p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attivare la procedura di soccorso istruttorio di cui al precedente p</w:t>
      </w:r>
      <w:r w:rsidR="00C111BE" w:rsidRPr="00AF481C">
        <w:rPr>
          <w:rFonts w:ascii="Titillium" w:hAnsi="Titillium" w:cs="Calibri"/>
          <w:sz w:val="18"/>
          <w:szCs w:val="18"/>
        </w:rPr>
        <w:t>aragrafo</w:t>
      </w:r>
      <w:fldSimple w:instr=" REF _Ref129796272 \r \h  \* MERGEFORMAT ">
        <w:r w:rsidR="00CA44F6" w:rsidRPr="00CA44F6">
          <w:rPr>
            <w:rFonts w:ascii="Titillium" w:hAnsi="Titillium" w:cs="Calibri"/>
            <w:sz w:val="18"/>
            <w:szCs w:val="18"/>
          </w:rPr>
          <w:t>14</w:t>
        </w:r>
      </w:fldSimple>
      <w:r w:rsidRPr="00AF481C">
        <w:rPr>
          <w:rFonts w:ascii="Titillium" w:hAnsi="Titillium" w:cs="Calibri"/>
          <w:sz w:val="18"/>
          <w:szCs w:val="18"/>
        </w:rPr>
        <w:t xml:space="preserve">, se necessario. </w:t>
      </w:r>
    </w:p>
    <w:p w:rsidR="00AE28AD" w:rsidRPr="00AF481C" w:rsidRDefault="00AE28AD" w:rsidP="00AE28AD">
      <w:pPr>
        <w:tabs>
          <w:tab w:val="left" w:pos="851"/>
        </w:tabs>
        <w:spacing w:before="60" w:after="60"/>
        <w:ind w:left="66"/>
        <w:rPr>
          <w:rFonts w:ascii="Titillium" w:hAnsi="Titillium" w:cs="Calibri"/>
          <w:sz w:val="18"/>
          <w:szCs w:val="18"/>
        </w:rPr>
      </w:pPr>
      <w:r w:rsidRPr="00AF481C">
        <w:rPr>
          <w:rFonts w:ascii="Titillium" w:hAnsi="Titillium" w:cs="Calibri"/>
          <w:sz w:val="18"/>
          <w:szCs w:val="18"/>
        </w:rPr>
        <w:t xml:space="preserve">Gli eventuali provvedimenti di esclusione dalla procedura di gara sono comunicati entro cinque giorni dalla loro adozione.È fatta salva la possibilità di chiedere agli offerenti, in qualsiasi momento nel corso della procedura, di presentare tutti i documenti complementari o parte di essi, qualora questo sia necessario per assicurare il corretto svolgimento della procedura. </w:t>
      </w:r>
    </w:p>
    <w:p w:rsidR="00AE28AD" w:rsidRPr="00AF481C" w:rsidRDefault="00AE28AD" w:rsidP="00AE28AD">
      <w:pPr>
        <w:tabs>
          <w:tab w:val="left" w:pos="851"/>
        </w:tabs>
        <w:spacing w:before="60" w:after="60"/>
        <w:ind w:left="66"/>
        <w:rPr>
          <w:rFonts w:ascii="Titillium" w:hAnsi="Titillium" w:cs="Calibri"/>
          <w:sz w:val="18"/>
          <w:szCs w:val="18"/>
        </w:rPr>
      </w:pPr>
    </w:p>
    <w:p w:rsidR="00AE28AD" w:rsidRPr="00AF481C" w:rsidRDefault="00AE28AD" w:rsidP="00604C9A">
      <w:pPr>
        <w:pStyle w:val="Titolo2"/>
        <w:numPr>
          <w:ilvl w:val="0"/>
          <w:numId w:val="3"/>
        </w:numPr>
      </w:pPr>
      <w:bookmarkStart w:id="1979" w:name="_Ref132303065"/>
      <w:bookmarkStart w:id="1980" w:name="_Ref138148356"/>
      <w:bookmarkStart w:id="1981" w:name="_Toc223087503"/>
      <w:r w:rsidRPr="00AF481C">
        <w:t>VALUTAZIONE DELLE OFFERTE TECNICHE ED ECONOMICHE</w:t>
      </w:r>
      <w:bookmarkEnd w:id="1979"/>
      <w:bookmarkEnd w:id="1980"/>
      <w:r w:rsidRPr="00AF481C">
        <w:t>.</w:t>
      </w:r>
      <w:bookmarkEnd w:id="1981"/>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data e l’ora in cui si procede all’apertura delle offerte tecniche sono comunicate tramite la PAD ai concorrenti ammessi alla presente fase di gara.</w:t>
      </w:r>
    </w:p>
    <w:p w:rsidR="00001807" w:rsidRPr="00AF481C" w:rsidRDefault="00001807" w:rsidP="00AE28AD">
      <w:pPr>
        <w:spacing w:before="60" w:after="60"/>
        <w:rPr>
          <w:rFonts w:ascii="Titillium" w:hAnsi="Titillium" w:cs="Calibri"/>
          <w:sz w:val="18"/>
          <w:szCs w:val="18"/>
        </w:rPr>
      </w:pPr>
      <w:r w:rsidRPr="00EC33A9">
        <w:rPr>
          <w:rFonts w:ascii="Titillium" w:hAnsi="Titillium" w:cs="Calibri"/>
          <w:i/>
          <w:sz w:val="18"/>
          <w:szCs w:val="18"/>
        </w:rPr>
        <w:t>La</w:t>
      </w:r>
      <w:r w:rsidR="002177F0">
        <w:rPr>
          <w:rFonts w:ascii="Titillium" w:hAnsi="Titillium" w:cs="Calibri"/>
          <w:i/>
          <w:sz w:val="18"/>
          <w:szCs w:val="18"/>
        </w:rPr>
        <w:t xml:space="preserve"> </w:t>
      </w:r>
      <w:r w:rsidRPr="00EC33A9">
        <w:rPr>
          <w:rFonts w:ascii="Titillium" w:hAnsi="Titillium" w:cs="Calibri"/>
          <w:i/>
          <w:iCs/>
          <w:sz w:val="18"/>
          <w:szCs w:val="18"/>
        </w:rPr>
        <w:t>Commissione giudicatric</w:t>
      </w:r>
      <w:r w:rsidR="00483A55" w:rsidRPr="00EC33A9">
        <w:rPr>
          <w:rFonts w:ascii="Titillium" w:hAnsi="Titillium" w:cs="Calibri"/>
          <w:i/>
          <w:iCs/>
          <w:sz w:val="18"/>
          <w:szCs w:val="18"/>
        </w:rPr>
        <w:t>e</w:t>
      </w:r>
      <w:r w:rsidR="002177F0">
        <w:rPr>
          <w:rFonts w:ascii="Titillium" w:hAnsi="Titillium" w:cs="Calibri"/>
          <w:i/>
          <w:iCs/>
          <w:sz w:val="18"/>
          <w:szCs w:val="18"/>
        </w:rPr>
        <w:t xml:space="preserve"> </w:t>
      </w:r>
      <w:r w:rsidR="00AE28AD" w:rsidRPr="00AF481C">
        <w:rPr>
          <w:rFonts w:ascii="Titillium" w:hAnsi="Titillium" w:cs="Calibri"/>
          <w:sz w:val="18"/>
          <w:szCs w:val="18"/>
        </w:rPr>
        <w:t xml:space="preserve">procede all’apertura delle offerte presentate. </w:t>
      </w:r>
    </w:p>
    <w:p w:rsidR="00AE28AD" w:rsidRPr="00AF481C" w:rsidRDefault="00AE28AD" w:rsidP="00F7595F">
      <w:pPr>
        <w:spacing w:before="60" w:after="60"/>
        <w:rPr>
          <w:rFonts w:ascii="Titillium" w:hAnsi="Titillium" w:cs="Calibri"/>
          <w:sz w:val="18"/>
          <w:szCs w:val="18"/>
        </w:rPr>
      </w:pPr>
      <w:r w:rsidRPr="00AF481C">
        <w:rPr>
          <w:rFonts w:ascii="Titillium" w:hAnsi="Titillium" w:cs="Calibri"/>
          <w:sz w:val="18"/>
          <w:szCs w:val="18"/>
        </w:rPr>
        <w:t xml:space="preserve">La commissione giudicatrice procede all’esame e valutazione delle offerte </w:t>
      </w:r>
      <w:r w:rsidR="00416897" w:rsidRPr="00AF481C">
        <w:rPr>
          <w:rFonts w:ascii="Titillium" w:hAnsi="Titillium" w:cs="Calibri"/>
          <w:sz w:val="18"/>
          <w:szCs w:val="18"/>
        </w:rPr>
        <w:t xml:space="preserve">tecniche </w:t>
      </w:r>
      <w:r w:rsidRPr="00AF481C">
        <w:rPr>
          <w:rFonts w:ascii="Titillium" w:hAnsi="Titillium" w:cs="Calibri"/>
          <w:sz w:val="18"/>
          <w:szCs w:val="18"/>
        </w:rPr>
        <w:t>presentate dai concorrenti e all’assegnazione dei relativi punteggi applicando i criteri e le formule indicati nel bando e nel presente disciplinare. Gli esiti della valutazione sono registrati dalla</w:t>
      </w:r>
      <w:r w:rsidR="002177F0">
        <w:rPr>
          <w:rFonts w:ascii="Titillium" w:hAnsi="Titillium" w:cs="Calibri"/>
          <w:sz w:val="18"/>
          <w:szCs w:val="18"/>
        </w:rPr>
        <w:t xml:space="preserve"> </w:t>
      </w:r>
      <w:r w:rsidRPr="00AF481C">
        <w:rPr>
          <w:rFonts w:ascii="Titillium" w:hAnsi="Titillium" w:cs="Calibri"/>
          <w:sz w:val="18"/>
          <w:szCs w:val="18"/>
        </w:rPr>
        <w:t>PAD.</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commissione procede alla riparametrazione dei punteggi secondo quanto indicato al p</w:t>
      </w:r>
      <w:r w:rsidR="00F535A0" w:rsidRPr="00AF481C">
        <w:rPr>
          <w:rFonts w:ascii="Titillium" w:hAnsi="Titillium" w:cs="Calibri"/>
          <w:sz w:val="18"/>
          <w:szCs w:val="18"/>
        </w:rPr>
        <w:t>aragrafo</w:t>
      </w:r>
      <w:fldSimple w:instr=" REF _Ref497226795 \r \h  \* MERGEFORMAT ">
        <w:r w:rsidR="00CA44F6" w:rsidRPr="00CA44F6">
          <w:rPr>
            <w:rFonts w:ascii="Titillium" w:hAnsi="Titillium" w:cs="Calibri"/>
            <w:sz w:val="18"/>
            <w:szCs w:val="18"/>
          </w:rPr>
          <w:t>18.4</w:t>
        </w:r>
      </w:fldSimple>
      <w:r w:rsidRPr="00AF481C">
        <w:rPr>
          <w:rFonts w:ascii="Titillium" w:hAnsi="Titillium" w:cs="Calibri"/>
          <w:sz w:val="18"/>
          <w:szCs w:val="18"/>
        </w:rPr>
        <w:t>.</w:t>
      </w:r>
    </w:p>
    <w:p w:rsidR="00AE28AD" w:rsidRPr="00AF481C" w:rsidRDefault="00AE28AD" w:rsidP="00AE28AD">
      <w:pPr>
        <w:rPr>
          <w:rFonts w:ascii="Titillium" w:hAnsi="Titillium"/>
          <w:sz w:val="20"/>
          <w:szCs w:val="20"/>
        </w:rPr>
      </w:pPr>
      <w:r w:rsidRPr="00AF481C">
        <w:rPr>
          <w:rFonts w:ascii="Titillium" w:hAnsi="Titillium" w:cs="Calibri"/>
          <w:sz w:val="18"/>
          <w:szCs w:val="18"/>
        </w:rPr>
        <w:t xml:space="preserve">La commissione giudicatrice rende visibile </w:t>
      </w:r>
      <w:r w:rsidR="00415A07">
        <w:rPr>
          <w:rFonts w:ascii="Titillium" w:hAnsi="Titillium" w:cs="Calibri"/>
          <w:sz w:val="18"/>
          <w:szCs w:val="18"/>
        </w:rPr>
        <w:t xml:space="preserve">sulla PAD </w:t>
      </w:r>
      <w:r w:rsidRPr="00AF481C">
        <w:rPr>
          <w:rFonts w:ascii="Titillium" w:hAnsi="Titillium" w:cs="Calibri"/>
          <w:sz w:val="18"/>
          <w:szCs w:val="18"/>
        </w:rPr>
        <w:t>ai concorrenti</w:t>
      </w:r>
      <w:r w:rsidR="00CE2F74" w:rsidRPr="00AF481C">
        <w:rPr>
          <w:rFonts w:ascii="Titillium" w:hAnsi="Titillium" w:cs="Calibri"/>
          <w:sz w:val="18"/>
          <w:szCs w:val="18"/>
        </w:rPr>
        <w:t>:</w:t>
      </w:r>
    </w:p>
    <w:p w:rsidR="00AE28AD" w:rsidRPr="00AF481C" w:rsidRDefault="00AE28AD" w:rsidP="00BE4F13">
      <w:pPr>
        <w:pStyle w:val="Paragrafoelenco"/>
        <w:numPr>
          <w:ilvl w:val="3"/>
          <w:numId w:val="49"/>
        </w:numPr>
        <w:ind w:left="426"/>
        <w:rPr>
          <w:rFonts w:ascii="Titillium" w:hAnsi="Titillium"/>
          <w:sz w:val="20"/>
          <w:szCs w:val="20"/>
        </w:rPr>
      </w:pPr>
      <w:r w:rsidRPr="00AF481C">
        <w:rPr>
          <w:rFonts w:ascii="Titillium" w:hAnsi="Titillium" w:cs="Calibri"/>
          <w:sz w:val="18"/>
          <w:szCs w:val="18"/>
        </w:rPr>
        <w:t>i punteggi tecnici attribuiti alle singole offerte tecniche;</w:t>
      </w:r>
    </w:p>
    <w:p w:rsidR="00AE28AD" w:rsidRPr="00AF481C" w:rsidRDefault="00AE28AD" w:rsidP="00BE4F13">
      <w:pPr>
        <w:pStyle w:val="Paragrafoelenco"/>
        <w:numPr>
          <w:ilvl w:val="3"/>
          <w:numId w:val="49"/>
        </w:numPr>
        <w:ind w:left="426"/>
        <w:rPr>
          <w:rFonts w:ascii="Titillium" w:hAnsi="Titillium" w:cs="Calibri"/>
          <w:sz w:val="18"/>
          <w:szCs w:val="18"/>
        </w:rPr>
      </w:pPr>
      <w:r w:rsidRPr="00AF481C">
        <w:rPr>
          <w:rFonts w:ascii="Titillium" w:hAnsi="Titillium" w:cs="Calibri"/>
          <w:sz w:val="18"/>
          <w:szCs w:val="18"/>
        </w:rPr>
        <w:t>le eventuali esclusioni dalla gara dei concorrenti.</w:t>
      </w:r>
    </w:p>
    <w:p w:rsidR="00415A07" w:rsidRDefault="00415A07" w:rsidP="00AE28AD">
      <w:pPr>
        <w:rPr>
          <w:rFonts w:ascii="Titillium" w:hAnsi="Titillium" w:cs="Calibri"/>
          <w:sz w:val="18"/>
          <w:szCs w:val="18"/>
        </w:rPr>
      </w:pPr>
    </w:p>
    <w:p w:rsidR="00AE28AD" w:rsidRPr="00AF481C" w:rsidRDefault="00AE28AD" w:rsidP="00AE28AD">
      <w:pPr>
        <w:rPr>
          <w:rFonts w:ascii="Titillium" w:hAnsi="Titillium" w:cs="Calibri"/>
          <w:sz w:val="18"/>
          <w:szCs w:val="18"/>
        </w:rPr>
      </w:pPr>
      <w:r w:rsidRPr="00AF481C">
        <w:rPr>
          <w:rFonts w:ascii="Titillium" w:hAnsi="Titillium" w:cs="Calibri"/>
          <w:sz w:val="18"/>
          <w:szCs w:val="18"/>
        </w:rPr>
        <w:t xml:space="preserve">Al termine delle operazioni di cui sopra la PAD consente la prosecuzione della procedura ai soli concorrenti ammessi alla valutazione delle offerte economiche. </w:t>
      </w:r>
    </w:p>
    <w:p w:rsidR="00416897" w:rsidRPr="00AF481C" w:rsidRDefault="00416897" w:rsidP="00AE28AD">
      <w:pPr>
        <w:rPr>
          <w:rFonts w:ascii="Titillium" w:hAnsi="Titillium"/>
          <w:sz w:val="20"/>
          <w:szCs w:val="20"/>
        </w:rPr>
      </w:pPr>
    </w:p>
    <w:p w:rsidR="00001807" w:rsidRPr="00AF481C" w:rsidRDefault="00A73AC2" w:rsidP="00AE28AD">
      <w:pPr>
        <w:rPr>
          <w:rFonts w:ascii="Titillium" w:hAnsi="Titillium" w:cs="Calibri"/>
          <w:sz w:val="18"/>
          <w:szCs w:val="18"/>
        </w:rPr>
      </w:pPr>
      <w:r w:rsidRPr="00415A07">
        <w:rPr>
          <w:rFonts w:ascii="Titillium" w:hAnsi="Titillium" w:cs="Calibri"/>
          <w:sz w:val="18"/>
          <w:szCs w:val="18"/>
        </w:rPr>
        <w:t>La</w:t>
      </w:r>
      <w:r w:rsidRPr="00415A07">
        <w:rPr>
          <w:rFonts w:ascii="Titillium" w:hAnsi="Titillium" w:cs="Calibri"/>
          <w:iCs/>
          <w:sz w:val="18"/>
          <w:szCs w:val="18"/>
        </w:rPr>
        <w:t xml:space="preserve"> Commissione giudicatrice</w:t>
      </w:r>
      <w:r w:rsidRPr="00AF481C">
        <w:rPr>
          <w:rFonts w:ascii="Titillium" w:hAnsi="Titillium" w:cs="Calibri"/>
          <w:i/>
          <w:iCs/>
          <w:sz w:val="18"/>
          <w:szCs w:val="18"/>
        </w:rPr>
        <w:t xml:space="preserve">, </w:t>
      </w:r>
      <w:r w:rsidR="00AE28AD" w:rsidRPr="00AF481C">
        <w:rPr>
          <w:rFonts w:ascii="Titillium" w:hAnsi="Titillium" w:cs="Calibri"/>
          <w:sz w:val="18"/>
          <w:szCs w:val="18"/>
        </w:rPr>
        <w:t xml:space="preserve">procede  all’apertura </w:t>
      </w:r>
      <w:r w:rsidR="00001807" w:rsidRPr="00AF481C">
        <w:rPr>
          <w:rFonts w:ascii="Titillium" w:hAnsi="Titillium" w:cs="Calibri"/>
          <w:sz w:val="18"/>
          <w:szCs w:val="18"/>
        </w:rPr>
        <w:t>delle offerte economiche.</w:t>
      </w:r>
    </w:p>
    <w:p w:rsidR="00AE28AD" w:rsidRPr="00AF481C" w:rsidRDefault="00001807" w:rsidP="00AE28AD">
      <w:pPr>
        <w:rPr>
          <w:rFonts w:ascii="Titillium" w:hAnsi="Titillium" w:cs="Calibri"/>
          <w:sz w:val="18"/>
          <w:szCs w:val="18"/>
        </w:rPr>
      </w:pPr>
      <w:r w:rsidRPr="00AF481C">
        <w:rPr>
          <w:rFonts w:ascii="Titillium" w:hAnsi="Titillium" w:cs="Calibri"/>
          <w:sz w:val="18"/>
          <w:szCs w:val="18"/>
        </w:rPr>
        <w:lastRenderedPageBreak/>
        <w:t>La commissione giudicatrice procede</w:t>
      </w:r>
      <w:r w:rsidR="00AE28AD" w:rsidRPr="00AF481C">
        <w:rPr>
          <w:rFonts w:ascii="Titillium" w:hAnsi="Titillium" w:cs="Calibri"/>
          <w:sz w:val="18"/>
          <w:szCs w:val="18"/>
        </w:rPr>
        <w:t xml:space="preserve"> alla valutazione delle offerte economiche, secondo i criteri e le modalità descritte nel disciplinare e, successivamente, all’individuazione dell’unico parametro numerico finale per la formulazione della graduatoria. </w:t>
      </w:r>
    </w:p>
    <w:p w:rsidR="002D34C3" w:rsidRPr="00AF481C" w:rsidRDefault="00AE28AD" w:rsidP="00AE28AD">
      <w:pPr>
        <w:spacing w:before="60" w:after="60"/>
        <w:rPr>
          <w:rFonts w:ascii="Titillium" w:hAnsi="Titillium"/>
          <w:i/>
          <w:sz w:val="18"/>
          <w:szCs w:val="18"/>
          <w:lang w:eastAsia="it-IT"/>
        </w:rPr>
      </w:pPr>
      <w:r w:rsidRPr="00AF481C">
        <w:rPr>
          <w:rFonts w:ascii="Titillium" w:hAnsi="Titillium" w:cs="Calibri"/>
          <w:sz w:val="18"/>
          <w:szCs w:val="18"/>
        </w:rPr>
        <w:t>Nel caso in cui le offerte di due o più concorrenti ottengano lo stesso punteggio complessivo, ma punteggi differenti per il prezzo e per tutti gli altri elementi di valutazione, è collocato primo in graduatoria il concorrente che ha ottenuto il miglior punteggio sul</w:t>
      </w:r>
      <w:r w:rsidR="00BE050E">
        <w:rPr>
          <w:rFonts w:ascii="Titillium" w:hAnsi="Titillium" w:cs="Calibri"/>
          <w:sz w:val="18"/>
          <w:szCs w:val="18"/>
        </w:rPr>
        <w:t>l’</w:t>
      </w:r>
      <w:r w:rsidRPr="00AF481C">
        <w:rPr>
          <w:rFonts w:ascii="Titillium" w:hAnsi="Titillium"/>
          <w:i/>
          <w:sz w:val="18"/>
          <w:szCs w:val="18"/>
          <w:lang w:eastAsia="it-IT"/>
        </w:rPr>
        <w:t>offerta tecnica.</w:t>
      </w:r>
    </w:p>
    <w:p w:rsidR="002D34C3" w:rsidRPr="00AF481C" w:rsidRDefault="002D34C3" w:rsidP="002D34C3">
      <w:pPr>
        <w:spacing w:before="60" w:after="60"/>
        <w:rPr>
          <w:rFonts w:ascii="Titillium" w:hAnsi="Titillium" w:cs="Calibri"/>
          <w:sz w:val="18"/>
          <w:szCs w:val="18"/>
        </w:rPr>
      </w:pPr>
      <w:r w:rsidRPr="00AF481C">
        <w:rPr>
          <w:rFonts w:ascii="Titillium" w:hAnsi="Titillium" w:cs="Calibri"/>
          <w:sz w:val="18"/>
          <w:szCs w:val="18"/>
        </w:rPr>
        <w:t>Nel caso in cui le offerte di due o più concorrenti ottengano lo stesso punteggio complessivo e gli stessi punteggi parziali per il prezzo e per l’offerta tecnica, i predetti concorrenti, su richiesta della stazione appaltante, presentano un’offerta migliorativa sul prezzo entro</w:t>
      </w:r>
      <w:r w:rsidR="00B06601" w:rsidRPr="00B06601">
        <w:rPr>
          <w:rFonts w:ascii="Titillium" w:hAnsi="Titillium" w:cs="Calibri"/>
          <w:sz w:val="18"/>
          <w:szCs w:val="18"/>
        </w:rPr>
        <w:t>il termine perentorio fissato dalla Stazione Appaltante</w:t>
      </w:r>
      <w:r w:rsidRPr="00AF481C">
        <w:rPr>
          <w:rFonts w:ascii="Titillium" w:hAnsi="Titillium" w:cs="Calibri"/>
          <w:sz w:val="18"/>
          <w:szCs w:val="18"/>
        </w:rPr>
        <w:t xml:space="preserve">. La richiesta è effettuata secondo le modalità previste al paragrafo 2.3. </w:t>
      </w:r>
    </w:p>
    <w:p w:rsidR="002D34C3" w:rsidRPr="00AF481C" w:rsidRDefault="002D34C3" w:rsidP="002D34C3">
      <w:pPr>
        <w:spacing w:before="60" w:after="60"/>
        <w:rPr>
          <w:rFonts w:ascii="Titillium" w:hAnsi="Titillium"/>
          <w:strike/>
          <w:sz w:val="18"/>
          <w:szCs w:val="18"/>
        </w:rPr>
      </w:pPr>
      <w:r w:rsidRPr="00AF481C">
        <w:rPr>
          <w:rFonts w:ascii="Titillium" w:hAnsi="Titillium" w:cs="Calibri"/>
          <w:sz w:val="18"/>
          <w:szCs w:val="18"/>
        </w:rPr>
        <w:t xml:space="preserve">È collocato primo in graduatoria il concorrente che ha presentato la migliore offerta. Ove permanga </w:t>
      </w:r>
      <w:r w:rsidRPr="00AF481C">
        <w:rPr>
          <w:rFonts w:ascii="Titillium" w:hAnsi="Titillium" w:cs="Calibri"/>
          <w:i/>
          <w:iCs/>
          <w:sz w:val="18"/>
          <w:szCs w:val="18"/>
        </w:rPr>
        <w:t>l’ex aequo</w:t>
      </w:r>
      <w:r w:rsidRPr="00AF481C">
        <w:rPr>
          <w:rFonts w:ascii="Titillium" w:hAnsi="Titillium" w:cs="Calibri"/>
          <w:sz w:val="18"/>
          <w:szCs w:val="18"/>
        </w:rPr>
        <w:t xml:space="preserve"> la commissione procede mediante sorteggio </w:t>
      </w:r>
      <w:r w:rsidRPr="00AF481C">
        <w:rPr>
          <w:rFonts w:ascii="Titillium" w:hAnsi="Titillium"/>
          <w:sz w:val="18"/>
          <w:szCs w:val="18"/>
        </w:rPr>
        <w:t>ad individuare il concorrente che verrà collocato primo nella graduatoria</w:t>
      </w:r>
      <w:r w:rsidR="00F535A0" w:rsidRPr="00AF481C">
        <w:rPr>
          <w:rFonts w:ascii="Titillium" w:hAnsi="Titillium"/>
          <w:sz w:val="18"/>
          <w:szCs w:val="18"/>
        </w:rPr>
        <w:t>.</w:t>
      </w:r>
    </w:p>
    <w:p w:rsidR="002D34C3" w:rsidRPr="00AF481C" w:rsidRDefault="002D34C3" w:rsidP="002D34C3">
      <w:pPr>
        <w:spacing w:before="60" w:after="60"/>
        <w:rPr>
          <w:rFonts w:ascii="Titillium" w:hAnsi="Titillium"/>
          <w:sz w:val="18"/>
          <w:szCs w:val="18"/>
        </w:rPr>
      </w:pPr>
      <w:r w:rsidRPr="00AF481C">
        <w:rPr>
          <w:rFonts w:ascii="Titillium" w:hAnsi="Titillium"/>
          <w:sz w:val="18"/>
          <w:szCs w:val="18"/>
        </w:rPr>
        <w:t>La data e l’ora in cui si procede al sorteggio sono comunicate tramite la PAD secondo le modalità previste al paragrafo 2.3.</w:t>
      </w:r>
    </w:p>
    <w:p w:rsidR="002D34C3" w:rsidRPr="00AF481C" w:rsidRDefault="002D34C3" w:rsidP="002D34C3">
      <w:pPr>
        <w:spacing w:before="60" w:after="60"/>
        <w:rPr>
          <w:rFonts w:ascii="Titillium" w:hAnsi="Titillium"/>
          <w:sz w:val="18"/>
          <w:szCs w:val="18"/>
        </w:rPr>
      </w:pPr>
      <w:r w:rsidRPr="00AF481C">
        <w:rPr>
          <w:rFonts w:ascii="Titillium" w:hAnsi="Titillium"/>
          <w:sz w:val="18"/>
          <w:szCs w:val="18"/>
        </w:rPr>
        <w:t xml:space="preserve">Nel caso in cui le offerte con identico punteggio complessivo e identici punteggi parziali siano più di due la richiesta di offerta migliorativa, da effettuarsi nei termini sopra precisati, va presentata a tutti i concorrenti con offerte equivalenti. Ove permanga </w:t>
      </w:r>
      <w:r w:rsidRPr="00AF481C">
        <w:rPr>
          <w:rFonts w:ascii="Titillium" w:hAnsi="Titillium"/>
          <w:i/>
          <w:iCs/>
          <w:sz w:val="18"/>
          <w:szCs w:val="18"/>
        </w:rPr>
        <w:t>l’ex aequo,</w:t>
      </w:r>
      <w:r w:rsidRPr="00AF481C">
        <w:rPr>
          <w:rFonts w:ascii="Titillium" w:hAnsi="Titillium"/>
          <w:sz w:val="18"/>
          <w:szCs w:val="18"/>
        </w:rPr>
        <w:t xml:space="preserve"> la commissione procede mediante sorteggio ad individuare il concorrente che verrà collocato primo nella graduatoria e chi sarà collocato al secondo posto ed eventualmente (in base al numero delle offerte risultanti in </w:t>
      </w:r>
      <w:r w:rsidRPr="00AF481C">
        <w:rPr>
          <w:rFonts w:ascii="Titillium" w:hAnsi="Titillium"/>
          <w:i/>
          <w:iCs/>
          <w:sz w:val="18"/>
          <w:szCs w:val="18"/>
        </w:rPr>
        <w:t>ex aequo</w:t>
      </w:r>
      <w:r w:rsidRPr="00AF481C">
        <w:rPr>
          <w:rFonts w:ascii="Titillium" w:hAnsi="Titillium"/>
          <w:sz w:val="18"/>
          <w:szCs w:val="18"/>
        </w:rPr>
        <w:t>) nei posti successivi. La data e l’ora in cui si procede al sorteggio sono comunicate tramite la PAD secondo le modalità previste nel paragrafo 2.3.</w:t>
      </w:r>
    </w:p>
    <w:p w:rsidR="002D34C3" w:rsidRPr="00AF481C" w:rsidRDefault="002D34C3" w:rsidP="002D34C3">
      <w:pPr>
        <w:spacing w:before="60" w:after="60"/>
        <w:rPr>
          <w:rFonts w:ascii="Titillium" w:hAnsi="Titillium" w:cs="Calibri"/>
          <w:sz w:val="18"/>
          <w:szCs w:val="18"/>
        </w:rPr>
      </w:pPr>
    </w:p>
    <w:p w:rsidR="00AE28AD" w:rsidRPr="00415A07" w:rsidRDefault="00A73AC2" w:rsidP="00AE28AD">
      <w:pPr>
        <w:spacing w:before="60" w:after="60"/>
        <w:rPr>
          <w:rFonts w:ascii="Titillium" w:hAnsi="Titillium" w:cs="Calibri"/>
          <w:sz w:val="18"/>
          <w:szCs w:val="18"/>
        </w:rPr>
      </w:pPr>
      <w:r w:rsidRPr="00AF481C">
        <w:rPr>
          <w:rFonts w:ascii="Titillium" w:hAnsi="Titillium" w:cs="Calibri"/>
          <w:sz w:val="18"/>
          <w:szCs w:val="18"/>
        </w:rPr>
        <w:t>La</w:t>
      </w:r>
      <w:r w:rsidRPr="00415A07">
        <w:rPr>
          <w:rFonts w:ascii="Titillium" w:hAnsi="Titillium" w:cs="Calibri"/>
          <w:iCs/>
          <w:sz w:val="18"/>
          <w:szCs w:val="18"/>
        </w:rPr>
        <w:t xml:space="preserve"> Commissione giudicatrice</w:t>
      </w:r>
      <w:r w:rsidR="007D2E10">
        <w:rPr>
          <w:rFonts w:ascii="Titillium" w:hAnsi="Titillium" w:cs="Calibri"/>
          <w:iCs/>
          <w:sz w:val="18"/>
          <w:szCs w:val="18"/>
        </w:rPr>
        <w:t xml:space="preserve"> </w:t>
      </w:r>
      <w:r w:rsidR="00AE28AD" w:rsidRPr="00415A07">
        <w:rPr>
          <w:rFonts w:ascii="Titillium" w:hAnsi="Titillium" w:cs="Calibri"/>
          <w:sz w:val="18"/>
          <w:szCs w:val="18"/>
        </w:rPr>
        <w:t>rende visibile ai concorrenti</w:t>
      </w:r>
      <w:r w:rsidR="007D2E10">
        <w:rPr>
          <w:rFonts w:ascii="Titillium" w:hAnsi="Titillium" w:cs="Calibri"/>
          <w:sz w:val="18"/>
          <w:szCs w:val="18"/>
        </w:rPr>
        <w:t xml:space="preserve"> </w:t>
      </w:r>
      <w:r w:rsidR="00AE28AD" w:rsidRPr="00415A07">
        <w:rPr>
          <w:rFonts w:ascii="Titillium" w:hAnsi="Titillium" w:cs="Calibri"/>
          <w:sz w:val="18"/>
          <w:szCs w:val="18"/>
        </w:rPr>
        <w:t>i prezzi offerti</w:t>
      </w:r>
      <w:r w:rsidR="00B06601" w:rsidRPr="00415A07">
        <w:rPr>
          <w:rFonts w:ascii="Titillium" w:hAnsi="Titillium" w:cs="Calibri"/>
          <w:sz w:val="18"/>
          <w:szCs w:val="18"/>
        </w:rPr>
        <w:t>,con le modalità di cui all’articolo 20</w:t>
      </w:r>
      <w:r w:rsidR="00AE28AD" w:rsidRPr="00415A07">
        <w:rPr>
          <w:rFonts w:ascii="Titillium" w:hAnsi="Titillium" w:cs="Calibri"/>
          <w:sz w:val="18"/>
          <w:szCs w:val="18"/>
        </w:rPr>
        <w:t>.</w:t>
      </w:r>
    </w:p>
    <w:p w:rsidR="00AE28AD" w:rsidRPr="00415A07" w:rsidRDefault="00AE28AD" w:rsidP="00AE28AD">
      <w:pPr>
        <w:spacing w:before="60" w:after="60"/>
      </w:pPr>
      <w:r w:rsidRPr="00415A07">
        <w:rPr>
          <w:rFonts w:ascii="Titillium" w:hAnsi="Titillium" w:cs="Calibri"/>
          <w:sz w:val="18"/>
          <w:szCs w:val="18"/>
        </w:rPr>
        <w:t xml:space="preserve">All’esito delle operazioni di cui sopra, </w:t>
      </w:r>
      <w:r w:rsidR="00A73AC2" w:rsidRPr="00415A07">
        <w:rPr>
          <w:rFonts w:ascii="Titillium" w:hAnsi="Titillium" w:cs="Calibri"/>
          <w:sz w:val="18"/>
          <w:szCs w:val="18"/>
        </w:rPr>
        <w:t>la</w:t>
      </w:r>
      <w:r w:rsidR="00A73AC2" w:rsidRPr="00415A07">
        <w:rPr>
          <w:rFonts w:ascii="Titillium" w:hAnsi="Titillium" w:cs="Calibri"/>
          <w:iCs/>
          <w:sz w:val="18"/>
          <w:szCs w:val="18"/>
        </w:rPr>
        <w:t xml:space="preserve"> Commissione giudicatrice, </w:t>
      </w:r>
      <w:r w:rsidR="00DB787A" w:rsidRPr="00415A07">
        <w:rPr>
          <w:rFonts w:ascii="Titillium" w:hAnsi="Titillium" w:cs="Calibri"/>
          <w:sz w:val="18"/>
          <w:szCs w:val="18"/>
        </w:rPr>
        <w:t>redige</w:t>
      </w:r>
      <w:r w:rsidRPr="00415A07">
        <w:rPr>
          <w:rFonts w:ascii="Titillium" w:hAnsi="Titillium" w:cs="Calibri"/>
          <w:sz w:val="18"/>
          <w:szCs w:val="18"/>
        </w:rPr>
        <w:t xml:space="preserve"> la graduatoria.</w:t>
      </w:r>
    </w:p>
    <w:p w:rsidR="00AE28AD" w:rsidRPr="00AF481C" w:rsidRDefault="00AE28AD" w:rsidP="00AE28AD">
      <w:pPr>
        <w:spacing w:before="60" w:after="60"/>
      </w:pPr>
      <w:r w:rsidRPr="00AF481C">
        <w:rPr>
          <w:rFonts w:ascii="Titillium" w:hAnsi="Titillium" w:cs="Calibri"/>
          <w:sz w:val="18"/>
          <w:szCs w:val="18"/>
        </w:rPr>
        <w:t>L’offerta è esclusa in caso di:</w:t>
      </w:r>
    </w:p>
    <w:p w:rsidR="00AE28AD" w:rsidRPr="00AF481C" w:rsidRDefault="00AE28AD" w:rsidP="00BE4F13">
      <w:pPr>
        <w:pStyle w:val="Paragrafoelenco"/>
        <w:numPr>
          <w:ilvl w:val="0"/>
          <w:numId w:val="23"/>
        </w:numPr>
        <w:spacing w:before="60" w:after="60"/>
        <w:ind w:left="426"/>
        <w:contextualSpacing w:val="0"/>
        <w:rPr>
          <w:rFonts w:ascii="Titillium" w:hAnsi="Titillium" w:cs="Calibri"/>
          <w:sz w:val="18"/>
          <w:szCs w:val="18"/>
        </w:rPr>
      </w:pPr>
      <w:r w:rsidRPr="00AF481C">
        <w:rPr>
          <w:rFonts w:ascii="Titillium" w:hAnsi="Titillium" w:cs="Calibri"/>
          <w:sz w:val="18"/>
          <w:szCs w:val="18"/>
        </w:rPr>
        <w:t>mancata separazione dell’offerta economica dall’offerta tecnica, ovvero inserimento di elementi concernenti il prezzo nella documentazione amministrativa o nell’offerta tecnica;</w:t>
      </w:r>
    </w:p>
    <w:p w:rsidR="00AE28AD" w:rsidRPr="00AF481C" w:rsidRDefault="00AE28AD" w:rsidP="00BE4F13">
      <w:pPr>
        <w:pStyle w:val="Paragrafoelenco"/>
        <w:numPr>
          <w:ilvl w:val="0"/>
          <w:numId w:val="23"/>
        </w:numPr>
        <w:spacing w:before="60" w:after="60"/>
        <w:ind w:left="426"/>
        <w:contextualSpacing w:val="0"/>
      </w:pPr>
      <w:r w:rsidRPr="00AF481C">
        <w:rPr>
          <w:rFonts w:ascii="Titillium" w:hAnsi="Titillium" w:cs="Calibri"/>
          <w:sz w:val="18"/>
          <w:szCs w:val="18"/>
        </w:rPr>
        <w:t>presentazione di</w:t>
      </w:r>
      <w:r w:rsidR="007D2E10">
        <w:rPr>
          <w:rFonts w:ascii="Titillium" w:hAnsi="Titillium" w:cs="Calibri"/>
          <w:sz w:val="18"/>
          <w:szCs w:val="18"/>
        </w:rPr>
        <w:t xml:space="preserve"> </w:t>
      </w:r>
      <w:r w:rsidRPr="00AF481C">
        <w:rPr>
          <w:rFonts w:ascii="Titillium" w:hAnsi="Titillium" w:cs="Calibri"/>
          <w:sz w:val="18"/>
          <w:szCs w:val="18"/>
        </w:rPr>
        <w:t>offerte parziali, plurime, condizionate, alternative oppure irregolari in quanto non rispettano i documenti di gara, ivi comprese le specifiche tecniche, o anormalmente basse;</w:t>
      </w:r>
    </w:p>
    <w:p w:rsidR="00AE28AD" w:rsidRPr="00AF481C" w:rsidRDefault="00AE28AD" w:rsidP="00BE4F13">
      <w:pPr>
        <w:pStyle w:val="Paragrafoelenco"/>
        <w:numPr>
          <w:ilvl w:val="0"/>
          <w:numId w:val="23"/>
        </w:numPr>
        <w:spacing w:before="60" w:after="60"/>
        <w:ind w:left="426"/>
        <w:contextualSpacing w:val="0"/>
        <w:rPr>
          <w:rFonts w:ascii="Titillium" w:hAnsi="Titillium" w:cs="Calibri"/>
          <w:sz w:val="18"/>
          <w:szCs w:val="18"/>
        </w:rPr>
      </w:pPr>
      <w:r w:rsidRPr="00AF481C">
        <w:rPr>
          <w:rFonts w:ascii="Titillium" w:hAnsi="Titillium" w:cs="Calibri"/>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 nei casi in cui il bando che non abbia previsto espressamente tale possibilità.</w:t>
      </w:r>
    </w:p>
    <w:p w:rsidR="00AE28AD" w:rsidRPr="00AF481C" w:rsidRDefault="00AE28AD" w:rsidP="00BE4F13">
      <w:pPr>
        <w:pStyle w:val="Paragrafoelenco"/>
        <w:numPr>
          <w:ilvl w:val="0"/>
          <w:numId w:val="23"/>
        </w:numPr>
        <w:spacing w:before="60" w:after="60"/>
        <w:ind w:left="426"/>
        <w:contextualSpacing w:val="0"/>
      </w:pPr>
      <w:r w:rsidRPr="00AF481C">
        <w:rPr>
          <w:rFonts w:ascii="Titillium" w:hAnsi="Titillium" w:cs="Calibri"/>
          <w:sz w:val="18"/>
          <w:szCs w:val="18"/>
        </w:rPr>
        <w:t xml:space="preserve">mancato superamento della soglia di sbarramento per l’offerta tecnica. </w:t>
      </w:r>
    </w:p>
    <w:p w:rsidR="00DB787A" w:rsidRPr="00AF481C" w:rsidRDefault="00DB787A" w:rsidP="00DB787A">
      <w:pPr>
        <w:spacing w:before="60" w:after="60"/>
        <w:ind w:left="66"/>
      </w:pPr>
    </w:p>
    <w:p w:rsidR="00AE28AD" w:rsidRPr="00AF481C" w:rsidRDefault="00AE28AD" w:rsidP="00604C9A">
      <w:pPr>
        <w:pStyle w:val="Titolo2"/>
        <w:numPr>
          <w:ilvl w:val="0"/>
          <w:numId w:val="3"/>
        </w:numPr>
      </w:pPr>
      <w:bookmarkStart w:id="1982" w:name="_Toc381775856"/>
      <w:bookmarkStart w:id="1983" w:name="_Toc485218335"/>
      <w:bookmarkStart w:id="1984" w:name="_Toc484688900"/>
      <w:bookmarkStart w:id="1985" w:name="_Toc484688345"/>
      <w:bookmarkStart w:id="1986" w:name="_Toc484605476"/>
      <w:bookmarkStart w:id="1987" w:name="_Toc484605352"/>
      <w:bookmarkStart w:id="1988" w:name="_Toc484526632"/>
      <w:bookmarkStart w:id="1989" w:name="_Toc484449137"/>
      <w:bookmarkStart w:id="1990" w:name="_Toc484449013"/>
      <w:bookmarkStart w:id="1991" w:name="_Toc484448889"/>
      <w:bookmarkStart w:id="1992" w:name="_Toc484448766"/>
      <w:bookmarkStart w:id="1993" w:name="_Toc484448642"/>
      <w:bookmarkStart w:id="1994" w:name="_Toc484448518"/>
      <w:bookmarkStart w:id="1995" w:name="_Toc484448394"/>
      <w:bookmarkStart w:id="1996" w:name="_Toc484448270"/>
      <w:bookmarkStart w:id="1997" w:name="_Toc484448146"/>
      <w:bookmarkStart w:id="1998" w:name="_Toc484440486"/>
      <w:bookmarkStart w:id="1999" w:name="_Toc484440126"/>
      <w:bookmarkStart w:id="2000" w:name="_Toc484440002"/>
      <w:bookmarkStart w:id="2001" w:name="_Toc484439879"/>
      <w:bookmarkStart w:id="2002" w:name="_Toc484438959"/>
      <w:bookmarkStart w:id="2003" w:name="_Toc484438835"/>
      <w:bookmarkStart w:id="2004" w:name="_Toc484438711"/>
      <w:bookmarkStart w:id="2005" w:name="_Toc484429136"/>
      <w:bookmarkStart w:id="2006" w:name="_Toc484428966"/>
      <w:bookmarkStart w:id="2007" w:name="_Toc484097792"/>
      <w:bookmarkStart w:id="2008" w:name="_Toc484011718"/>
      <w:bookmarkStart w:id="2009" w:name="_Toc484011243"/>
      <w:bookmarkStart w:id="2010" w:name="_Toc484011121"/>
      <w:bookmarkStart w:id="2011" w:name="_Toc484010999"/>
      <w:bookmarkStart w:id="2012" w:name="_Toc484010875"/>
      <w:bookmarkStart w:id="2013" w:name="_Toc484010753"/>
      <w:bookmarkStart w:id="2014" w:name="_Toc483907003"/>
      <w:bookmarkStart w:id="2015" w:name="_Toc3539903981"/>
      <w:bookmarkStart w:id="2016" w:name="_Toc381776132"/>
      <w:bookmarkStart w:id="2017" w:name="_Toc416423376"/>
      <w:bookmarkStart w:id="2018" w:name="_Toc406754193"/>
      <w:bookmarkStart w:id="2019" w:name="_Toc406058392"/>
      <w:bookmarkStart w:id="2020" w:name="_Toc403471284"/>
      <w:bookmarkStart w:id="2021" w:name="_Toc397422877"/>
      <w:bookmarkStart w:id="2022" w:name="_Toc397346836"/>
      <w:bookmarkStart w:id="2023" w:name="_Toc393706921"/>
      <w:bookmarkStart w:id="2024" w:name="_Toc393700848"/>
      <w:bookmarkStart w:id="2025" w:name="_Toc393283189"/>
      <w:bookmarkStart w:id="2026" w:name="_Toc393272673"/>
      <w:bookmarkStart w:id="2027" w:name="_Toc393272615"/>
      <w:bookmarkStart w:id="2028" w:name="_Toc393187859"/>
      <w:bookmarkStart w:id="2029" w:name="_Toc393112142"/>
      <w:bookmarkStart w:id="2030" w:name="_Toc393110578"/>
      <w:bookmarkStart w:id="2031" w:name="_Toc392577511"/>
      <w:bookmarkStart w:id="2032" w:name="_Toc391036070"/>
      <w:bookmarkStart w:id="2033" w:name="_Toc391035997"/>
      <w:bookmarkStart w:id="2034" w:name="_Toc380501884"/>
      <w:bookmarkStart w:id="2035" w:name="_Toc223087504"/>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r w:rsidRPr="00AF481C">
        <w:t>VERIFICA DI ANOMALIA DELLE OFFERTE</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rsidR="00B06601" w:rsidRDefault="00B06601" w:rsidP="00B06601">
      <w:pPr>
        <w:spacing w:before="60" w:after="60"/>
        <w:rPr>
          <w:rFonts w:ascii="Titillium" w:hAnsi="Titillium" w:cs="Calibri"/>
          <w:sz w:val="18"/>
          <w:szCs w:val="18"/>
        </w:rPr>
      </w:pPr>
      <w:r w:rsidRPr="00B06601">
        <w:rPr>
          <w:rFonts w:ascii="Titillium" w:hAnsi="Titillium" w:cs="Calibri"/>
          <w:sz w:val="18"/>
          <w:szCs w:val="18"/>
        </w:rPr>
        <w:t xml:space="preserve">In caso di presenza in graduatoria di un numero di offerte pari o superiore a tre, saranno considerate anormalmente basse le offerte che presenteranno sia i punti relativi al prezzo sia la somma dei punti relativi agli altri elementi di valutazione, entrambi pari o superiori ai quattro quinti dei corrispondenti punti massimi previsti dal bando di gara. </w:t>
      </w:r>
    </w:p>
    <w:p w:rsidR="00B06601" w:rsidRPr="00B06601" w:rsidRDefault="00B06601" w:rsidP="00B06601">
      <w:pPr>
        <w:spacing w:before="60" w:after="60"/>
        <w:rPr>
          <w:rFonts w:ascii="Titillium" w:hAnsi="Titillium" w:cs="Calibri"/>
          <w:sz w:val="18"/>
          <w:szCs w:val="18"/>
        </w:rPr>
      </w:pPr>
      <w:r w:rsidRPr="00B06601">
        <w:rPr>
          <w:rFonts w:ascii="Titillium" w:hAnsi="Titillium" w:cs="Calibri"/>
          <w:sz w:val="18"/>
          <w:szCs w:val="18"/>
        </w:rPr>
        <w:t>Il calcolo dell’offerta anomala è eseguito tramite Piattaforma</w:t>
      </w:r>
    </w:p>
    <w:p w:rsidR="00AE28AD" w:rsidRPr="00AF481C" w:rsidRDefault="00AE28AD" w:rsidP="00AE28AD">
      <w:pPr>
        <w:spacing w:before="60" w:after="60"/>
      </w:pPr>
      <w:r w:rsidRPr="00AF481C">
        <w:rPr>
          <w:rFonts w:ascii="Titillium" w:hAnsi="Titillium" w:cs="Calibri"/>
          <w:sz w:val="18"/>
          <w:szCs w:val="18"/>
        </w:rPr>
        <w:t>La stazione appaltante si riserva la facoltà di sottoporre a verifica un’offerta che, in base anche ad altri elementi, ivi inclusi i costi della manodopera, appaia anormalmente bassa.</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lastRenderedPageBreak/>
        <w:t>Nel caso in cui la prima migliore offerta appaia anormalmente bassa, il RUP</w:t>
      </w:r>
      <w:r w:rsidR="00B06601">
        <w:rPr>
          <w:rFonts w:ascii="Titillium" w:hAnsi="Titillium" w:cs="Calibri"/>
          <w:sz w:val="18"/>
          <w:szCs w:val="18"/>
        </w:rPr>
        <w:t>A</w:t>
      </w:r>
      <w:r w:rsidR="007D2E10">
        <w:rPr>
          <w:rFonts w:ascii="Titillium" w:hAnsi="Titillium" w:cs="Calibri"/>
          <w:sz w:val="18"/>
          <w:szCs w:val="18"/>
        </w:rPr>
        <w:t xml:space="preserve"> </w:t>
      </w:r>
      <w:r w:rsidR="00B06601">
        <w:rPr>
          <w:rFonts w:ascii="Titillium" w:hAnsi="Titillium" w:cs="Calibri"/>
          <w:i/>
          <w:iCs/>
          <w:sz w:val="18"/>
          <w:szCs w:val="18"/>
        </w:rPr>
        <w:t>n</w:t>
      </w:r>
      <w:r w:rsidRPr="00AF481C">
        <w:rPr>
          <w:rFonts w:ascii="Titillium" w:hAnsi="Titillium" w:cs="Calibri"/>
          <w:sz w:val="18"/>
          <w:szCs w:val="18"/>
        </w:rPr>
        <w:t>e valuta la congruità, serietà, sostenibilità e realizzabilità.</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Qualora tale offerta risulti anomala, si procede con le stesse modalità nei confronti delle successive offerte ritenute anormalmente basse, fino ad individuare la migliore offerta ritenuta non anomala. </w:t>
      </w:r>
    </w:p>
    <w:p w:rsidR="00AE28AD" w:rsidRPr="00AF481C" w:rsidRDefault="00AE28AD" w:rsidP="00AE28AD">
      <w:pPr>
        <w:pStyle w:val="Standard"/>
        <w:tabs>
          <w:tab w:val="left" w:pos="0"/>
          <w:tab w:val="left" w:pos="4340"/>
        </w:tabs>
        <w:spacing w:before="60" w:after="60" w:line="240" w:lineRule="auto"/>
        <w:jc w:val="both"/>
        <w:rPr>
          <w:rFonts w:ascii="Titillium" w:hAnsi="Titillium"/>
          <w:sz w:val="20"/>
        </w:rPr>
      </w:pPr>
      <w:r w:rsidRPr="00AF481C">
        <w:rPr>
          <w:rFonts w:ascii="Titillium" w:eastAsia="Times New Roman" w:hAnsi="Titillium" w:cs="Calibri"/>
          <w:sz w:val="18"/>
          <w:szCs w:val="18"/>
        </w:rPr>
        <w:t xml:space="preserve">Il concorrente allega, in sede di presentazione dell’offerta economica, </w:t>
      </w:r>
      <w:r w:rsidRPr="00AF481C">
        <w:rPr>
          <w:rFonts w:ascii="Titillium" w:eastAsia="Times New Roman" w:hAnsi="Titillium" w:cs="Calibri"/>
          <w:iCs/>
          <w:sz w:val="18"/>
          <w:szCs w:val="18"/>
        </w:rPr>
        <w:t>le giustificazioni relative alle voci di prezzo e di costo.</w:t>
      </w:r>
      <w:r w:rsidRPr="00AF481C">
        <w:rPr>
          <w:rFonts w:ascii="Titillium" w:eastAsia="Times New Roman" w:hAnsi="Titillium" w:cs="Calibri"/>
          <w:sz w:val="18"/>
          <w:szCs w:val="18"/>
        </w:rPr>
        <w:t xml:space="preserve"> La mancata presentazione anticipata delle giustificazioni non è causa di esclusione.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RUP</w:t>
      </w:r>
      <w:r w:rsidR="00B06601">
        <w:rPr>
          <w:rFonts w:ascii="Titillium" w:hAnsi="Titillium" w:cs="Calibri"/>
          <w:sz w:val="18"/>
          <w:szCs w:val="18"/>
        </w:rPr>
        <w:t>A</w:t>
      </w:r>
      <w:r w:rsidRPr="00AF481C">
        <w:rPr>
          <w:rFonts w:ascii="Titillium" w:hAnsi="Titillium" w:cs="Calibri"/>
          <w:sz w:val="18"/>
          <w:szCs w:val="18"/>
        </w:rPr>
        <w:t xml:space="preserve"> richiede al concorrente la presentazione delle spiegazioni, se del caso, indicando le componenti specifiche dell’offerta ritenute anomale.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tal fine, assegna un termine non superiore a quindici giorni dal ricevimento della richiesta.</w:t>
      </w:r>
    </w:p>
    <w:p w:rsidR="00AE28AD" w:rsidRPr="00AF481C" w:rsidRDefault="00B06601" w:rsidP="00AE28AD">
      <w:pPr>
        <w:spacing w:before="60" w:after="60"/>
        <w:rPr>
          <w:rFonts w:ascii="Titillium" w:hAnsi="Titillium" w:cs="Calibri"/>
          <w:sz w:val="18"/>
          <w:szCs w:val="18"/>
        </w:rPr>
      </w:pPr>
      <w:r>
        <w:rPr>
          <w:rFonts w:ascii="Titillium" w:hAnsi="Titillium" w:cs="Calibri"/>
          <w:sz w:val="18"/>
          <w:szCs w:val="18"/>
        </w:rPr>
        <w:t>Il RUPA</w:t>
      </w:r>
      <w:r w:rsidR="00AE28AD" w:rsidRPr="00AF481C">
        <w:rPr>
          <w:rFonts w:ascii="Titillium" w:hAnsi="Titillium" w:cs="Calibri"/>
          <w:i/>
          <w:iCs/>
          <w:sz w:val="18"/>
          <w:szCs w:val="18"/>
        </w:rPr>
        <w:t>,</w:t>
      </w:r>
      <w:r w:rsidR="00AE28AD" w:rsidRPr="00AF481C">
        <w:rPr>
          <w:rFonts w:ascii="Titillium" w:hAnsi="Titillium" w:cs="Calibri"/>
          <w:sz w:val="18"/>
          <w:szCs w:val="18"/>
        </w:rPr>
        <w:t xml:space="preserve"> esaminate le spiegazioni fornite dall’offerente, ove le ritenga non sufficienti ad escludere l’anomalia, può chiedere, anche mediante audizione orale, ulteriori chiarimenti, assegnando un termine perentorio per il riscontro.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RUP</w:t>
      </w:r>
      <w:r w:rsidR="00B06601">
        <w:rPr>
          <w:rFonts w:ascii="Titillium" w:hAnsi="Titillium" w:cs="Calibri"/>
          <w:sz w:val="18"/>
          <w:szCs w:val="18"/>
        </w:rPr>
        <w:t>A</w:t>
      </w:r>
      <w:r w:rsidR="007D2E10">
        <w:rPr>
          <w:rFonts w:ascii="Titillium" w:hAnsi="Titillium" w:cs="Calibri"/>
          <w:sz w:val="18"/>
          <w:szCs w:val="18"/>
        </w:rPr>
        <w:t xml:space="preserve"> </w:t>
      </w:r>
      <w:r w:rsidRPr="00AF481C">
        <w:rPr>
          <w:rFonts w:ascii="Titillium" w:hAnsi="Titillium" w:cs="Calibri"/>
          <w:sz w:val="18"/>
          <w:szCs w:val="18"/>
        </w:rPr>
        <w:t>esclude le offerte che, in base all’esame degli elementi forniti con le spiegazioni risultino, nel complesso, inaffidabili.</w:t>
      </w:r>
    </w:p>
    <w:p w:rsidR="00DB787A" w:rsidRPr="00AF481C" w:rsidRDefault="00DB787A" w:rsidP="00AE28AD">
      <w:pPr>
        <w:pStyle w:val="Paragrafoelenco"/>
        <w:ind w:left="0"/>
        <w:rPr>
          <w:rFonts w:ascii="Titillium" w:eastAsia="SimSun" w:hAnsi="Titillium"/>
          <w:sz w:val="18"/>
          <w:szCs w:val="18"/>
        </w:rPr>
      </w:pPr>
    </w:p>
    <w:p w:rsidR="00AE28AD" w:rsidRPr="00AF481C" w:rsidRDefault="00AE28AD" w:rsidP="00604C9A">
      <w:pPr>
        <w:pStyle w:val="Titolo2"/>
        <w:numPr>
          <w:ilvl w:val="0"/>
          <w:numId w:val="3"/>
        </w:numPr>
      </w:pPr>
      <w:bookmarkStart w:id="2036" w:name="_Toc484688358"/>
      <w:bookmarkStart w:id="2037" w:name="_Toc484605489"/>
      <w:bookmarkStart w:id="2038" w:name="_Toc484605365"/>
      <w:bookmarkStart w:id="2039" w:name="_Toc484526645"/>
      <w:bookmarkStart w:id="2040" w:name="_Toc484449150"/>
      <w:bookmarkStart w:id="2041" w:name="_Toc484449026"/>
      <w:bookmarkStart w:id="2042" w:name="_Toc484448902"/>
      <w:bookmarkStart w:id="2043" w:name="_Toc484448779"/>
      <w:bookmarkStart w:id="2044" w:name="_Toc484448655"/>
      <w:bookmarkStart w:id="2045" w:name="_Toc484448531"/>
      <w:bookmarkStart w:id="2046" w:name="_Toc484448407"/>
      <w:bookmarkStart w:id="2047" w:name="_Toc484448283"/>
      <w:bookmarkStart w:id="2048" w:name="_Toc484448159"/>
      <w:bookmarkStart w:id="2049" w:name="_Toc484440499"/>
      <w:bookmarkStart w:id="2050" w:name="_Toc484440139"/>
      <w:bookmarkStart w:id="2051" w:name="_Toc484440015"/>
      <w:bookmarkStart w:id="2052" w:name="_Toc484439892"/>
      <w:bookmarkStart w:id="2053" w:name="_Toc484438972"/>
      <w:bookmarkStart w:id="2054" w:name="_Toc484438848"/>
      <w:bookmarkStart w:id="2055" w:name="_Toc484438724"/>
      <w:bookmarkStart w:id="2056" w:name="_Toc484429149"/>
      <w:bookmarkStart w:id="2057" w:name="_Toc484428979"/>
      <w:bookmarkStart w:id="2058" w:name="_Toc484097805"/>
      <w:bookmarkStart w:id="2059" w:name="_Toc484011731"/>
      <w:bookmarkStart w:id="2060" w:name="_Toc484011256"/>
      <w:bookmarkStart w:id="2061" w:name="_Toc484011134"/>
      <w:bookmarkStart w:id="2062" w:name="_Toc484011012"/>
      <w:bookmarkStart w:id="2063" w:name="_Toc484010888"/>
      <w:bookmarkStart w:id="2064" w:name="_Toc484010766"/>
      <w:bookmarkStart w:id="2065" w:name="_Toc483907016"/>
      <w:bookmarkStart w:id="2066" w:name="_Toc483571638"/>
      <w:bookmarkStart w:id="2067" w:name="_Toc483571516"/>
      <w:bookmarkStart w:id="2068" w:name="_Toc483474085"/>
      <w:bookmarkStart w:id="2069" w:name="_Toc483401289"/>
      <w:bookmarkStart w:id="2070" w:name="_Toc483325811"/>
      <w:bookmarkStart w:id="2071" w:name="_Toc483316508"/>
      <w:bookmarkStart w:id="2072" w:name="_Toc483316377"/>
      <w:bookmarkStart w:id="2073" w:name="_Toc483316245"/>
      <w:bookmarkStart w:id="2074" w:name="_Toc483316040"/>
      <w:bookmarkStart w:id="2075" w:name="_Toc483302419"/>
      <w:bookmarkStart w:id="2076" w:name="_Toc483233702"/>
      <w:bookmarkStart w:id="2077" w:name="_Toc482979742"/>
      <w:bookmarkStart w:id="2078" w:name="_Toc482979644"/>
      <w:bookmarkStart w:id="2079" w:name="_Toc482979546"/>
      <w:bookmarkStart w:id="2080" w:name="_Toc482979438"/>
      <w:bookmarkStart w:id="2081" w:name="_Toc482979329"/>
      <w:bookmarkStart w:id="2082" w:name="_Toc482979220"/>
      <w:bookmarkStart w:id="2083" w:name="_Toc482979109"/>
      <w:bookmarkStart w:id="2084" w:name="_Toc482979001"/>
      <w:bookmarkStart w:id="2085" w:name="_Toc482978892"/>
      <w:bookmarkStart w:id="2086" w:name="_Toc482959773"/>
      <w:bookmarkStart w:id="2087" w:name="_Toc482959663"/>
      <w:bookmarkStart w:id="2088" w:name="_Toc482959553"/>
      <w:bookmarkStart w:id="2089" w:name="_Toc482712765"/>
      <w:bookmarkStart w:id="2090" w:name="_Toc482641319"/>
      <w:bookmarkStart w:id="2091" w:name="_Toc482633142"/>
      <w:bookmarkStart w:id="2092" w:name="_Toc482352301"/>
      <w:bookmarkStart w:id="2093" w:name="_Toc482352211"/>
      <w:bookmarkStart w:id="2094" w:name="_Toc482352121"/>
      <w:bookmarkStart w:id="2095" w:name="_Toc482352031"/>
      <w:bookmarkStart w:id="2096" w:name="_Toc482102167"/>
      <w:bookmarkStart w:id="2097" w:name="_Toc482102073"/>
      <w:bookmarkStart w:id="2098" w:name="_Toc482101978"/>
      <w:bookmarkStart w:id="2099" w:name="_Toc482101883"/>
      <w:bookmarkStart w:id="2100" w:name="_Toc482101790"/>
      <w:bookmarkStart w:id="2101" w:name="_Toc482101615"/>
      <w:bookmarkStart w:id="2102" w:name="_Toc482101500"/>
      <w:bookmarkStart w:id="2103" w:name="_Toc482101363"/>
      <w:bookmarkStart w:id="2104" w:name="_Toc482100937"/>
      <w:bookmarkStart w:id="2105" w:name="_Toc482100780"/>
      <w:bookmarkStart w:id="2106" w:name="_Toc482099063"/>
      <w:bookmarkStart w:id="2107" w:name="_Toc482097961"/>
      <w:bookmarkStart w:id="2108" w:name="_Toc482097769"/>
      <w:bookmarkStart w:id="2109" w:name="_Toc482097680"/>
      <w:bookmarkStart w:id="2110" w:name="_Toc482097591"/>
      <w:bookmarkStart w:id="2111" w:name="_Toc482025767"/>
      <w:bookmarkStart w:id="2112" w:name="_Toc485218347"/>
      <w:bookmarkStart w:id="2113" w:name="_Toc484688912"/>
      <w:bookmarkStart w:id="2114" w:name="_Toc484688357"/>
      <w:bookmarkStart w:id="2115" w:name="_Toc484605488"/>
      <w:bookmarkStart w:id="2116" w:name="_Toc484605364"/>
      <w:bookmarkStart w:id="2117" w:name="_Toc484526644"/>
      <w:bookmarkStart w:id="2118" w:name="_Toc484449149"/>
      <w:bookmarkStart w:id="2119" w:name="_Toc484449025"/>
      <w:bookmarkStart w:id="2120" w:name="_Toc484448901"/>
      <w:bookmarkStart w:id="2121" w:name="_Toc484448778"/>
      <w:bookmarkStart w:id="2122" w:name="_Toc484448654"/>
      <w:bookmarkStart w:id="2123" w:name="_Toc484448530"/>
      <w:bookmarkStart w:id="2124" w:name="_Toc484448406"/>
      <w:bookmarkStart w:id="2125" w:name="_Toc484448282"/>
      <w:bookmarkStart w:id="2126" w:name="_Toc484448158"/>
      <w:bookmarkStart w:id="2127" w:name="_Toc484440498"/>
      <w:bookmarkStart w:id="2128" w:name="_Toc484440138"/>
      <w:bookmarkStart w:id="2129" w:name="_Toc484440014"/>
      <w:bookmarkStart w:id="2130" w:name="_Toc484439891"/>
      <w:bookmarkStart w:id="2131" w:name="_Toc484438971"/>
      <w:bookmarkStart w:id="2132" w:name="_Toc484438847"/>
      <w:bookmarkStart w:id="2133" w:name="_Toc484438723"/>
      <w:bookmarkStart w:id="2134" w:name="_Toc484429148"/>
      <w:bookmarkStart w:id="2135" w:name="_Toc484428978"/>
      <w:bookmarkStart w:id="2136" w:name="_Toc484097804"/>
      <w:bookmarkStart w:id="2137" w:name="_Toc484011730"/>
      <w:bookmarkStart w:id="2138" w:name="_Toc484011255"/>
      <w:bookmarkStart w:id="2139" w:name="_Toc484011133"/>
      <w:bookmarkStart w:id="2140" w:name="_Toc484011011"/>
      <w:bookmarkStart w:id="2141" w:name="_Toc484010887"/>
      <w:bookmarkStart w:id="2142" w:name="_Toc484010765"/>
      <w:bookmarkStart w:id="2143" w:name="_Toc483907015"/>
      <w:bookmarkStart w:id="2144" w:name="_Toc483571637"/>
      <w:bookmarkStart w:id="2145" w:name="_Toc483571515"/>
      <w:bookmarkStart w:id="2146" w:name="_Toc483474084"/>
      <w:bookmarkStart w:id="2147" w:name="_Toc483401288"/>
      <w:bookmarkStart w:id="2148" w:name="_Toc483325810"/>
      <w:bookmarkStart w:id="2149" w:name="_Toc483316507"/>
      <w:bookmarkStart w:id="2150" w:name="_Toc483316376"/>
      <w:bookmarkStart w:id="2151" w:name="_Toc483316244"/>
      <w:bookmarkStart w:id="2152" w:name="_Toc483316039"/>
      <w:bookmarkStart w:id="2153" w:name="_Toc483302418"/>
      <w:bookmarkStart w:id="2154" w:name="_Toc483233701"/>
      <w:bookmarkStart w:id="2155" w:name="_Toc482979741"/>
      <w:bookmarkStart w:id="2156" w:name="_Toc482979643"/>
      <w:bookmarkStart w:id="2157" w:name="_Toc482979545"/>
      <w:bookmarkStart w:id="2158" w:name="_Toc482979437"/>
      <w:bookmarkStart w:id="2159" w:name="_Toc482979328"/>
      <w:bookmarkStart w:id="2160" w:name="_Toc482979219"/>
      <w:bookmarkStart w:id="2161" w:name="_Toc482979108"/>
      <w:bookmarkStart w:id="2162" w:name="_Toc482979000"/>
      <w:bookmarkStart w:id="2163" w:name="_Toc482978891"/>
      <w:bookmarkStart w:id="2164" w:name="_Toc482959772"/>
      <w:bookmarkStart w:id="2165" w:name="_Toc482959662"/>
      <w:bookmarkStart w:id="2166" w:name="_Toc482959552"/>
      <w:bookmarkStart w:id="2167" w:name="_Toc482712764"/>
      <w:bookmarkStart w:id="2168" w:name="_Toc482641318"/>
      <w:bookmarkStart w:id="2169" w:name="_Toc482633141"/>
      <w:bookmarkStart w:id="2170" w:name="_Toc482352300"/>
      <w:bookmarkStart w:id="2171" w:name="_Toc482352210"/>
      <w:bookmarkStart w:id="2172" w:name="_Toc482352120"/>
      <w:bookmarkStart w:id="2173" w:name="_Toc482352030"/>
      <w:bookmarkStart w:id="2174" w:name="_Toc482102166"/>
      <w:bookmarkStart w:id="2175" w:name="_Toc482102072"/>
      <w:bookmarkStart w:id="2176" w:name="_Toc482101977"/>
      <w:bookmarkStart w:id="2177" w:name="_Toc482101882"/>
      <w:bookmarkStart w:id="2178" w:name="_Toc482101789"/>
      <w:bookmarkStart w:id="2179" w:name="_Toc482101614"/>
      <w:bookmarkStart w:id="2180" w:name="_Toc482101499"/>
      <w:bookmarkStart w:id="2181" w:name="_Toc482101362"/>
      <w:bookmarkStart w:id="2182" w:name="_Toc482100936"/>
      <w:bookmarkStart w:id="2183" w:name="_Toc482100779"/>
      <w:bookmarkStart w:id="2184" w:name="_Toc482099062"/>
      <w:bookmarkStart w:id="2185" w:name="_Toc482097960"/>
      <w:bookmarkStart w:id="2186" w:name="_Toc482097768"/>
      <w:bookmarkStart w:id="2187" w:name="_Toc482097679"/>
      <w:bookmarkStart w:id="2188" w:name="_Toc482097590"/>
      <w:bookmarkStart w:id="2189" w:name="_Toc482025766"/>
      <w:bookmarkStart w:id="2190" w:name="_Toc485218346"/>
      <w:bookmarkStart w:id="2191" w:name="_Toc484688911"/>
      <w:bookmarkStart w:id="2192" w:name="_Toc484688356"/>
      <w:bookmarkStart w:id="2193" w:name="_Toc484605487"/>
      <w:bookmarkStart w:id="2194" w:name="_Toc484605363"/>
      <w:bookmarkStart w:id="2195" w:name="_Toc484526643"/>
      <w:bookmarkStart w:id="2196" w:name="_Toc484449148"/>
      <w:bookmarkStart w:id="2197" w:name="_Toc484449024"/>
      <w:bookmarkStart w:id="2198" w:name="_Toc484448900"/>
      <w:bookmarkStart w:id="2199" w:name="_Toc484448777"/>
      <w:bookmarkStart w:id="2200" w:name="_Toc484448653"/>
      <w:bookmarkStart w:id="2201" w:name="_Toc484448529"/>
      <w:bookmarkStart w:id="2202" w:name="_Toc484448405"/>
      <w:bookmarkStart w:id="2203" w:name="_Toc484448281"/>
      <w:bookmarkStart w:id="2204" w:name="_Toc484448157"/>
      <w:bookmarkStart w:id="2205" w:name="_Toc484440497"/>
      <w:bookmarkStart w:id="2206" w:name="_Toc484440137"/>
      <w:bookmarkStart w:id="2207" w:name="_Toc484440013"/>
      <w:bookmarkStart w:id="2208" w:name="_Toc484439890"/>
      <w:bookmarkStart w:id="2209" w:name="_Toc484438970"/>
      <w:bookmarkStart w:id="2210" w:name="_Toc484438846"/>
      <w:bookmarkStart w:id="2211" w:name="_Toc484438722"/>
      <w:bookmarkStart w:id="2212" w:name="_Toc484429147"/>
      <w:bookmarkStart w:id="2213" w:name="_Toc484428977"/>
      <w:bookmarkStart w:id="2214" w:name="_Toc484097803"/>
      <w:bookmarkStart w:id="2215" w:name="_Toc484011729"/>
      <w:bookmarkStart w:id="2216" w:name="_Toc484011254"/>
      <w:bookmarkStart w:id="2217" w:name="_Toc484011132"/>
      <w:bookmarkStart w:id="2218" w:name="_Toc484011010"/>
      <w:bookmarkStart w:id="2219" w:name="_Toc484010886"/>
      <w:bookmarkStart w:id="2220" w:name="_Toc484010764"/>
      <w:bookmarkStart w:id="2221" w:name="_Toc483907014"/>
      <w:bookmarkStart w:id="2222" w:name="_Toc483571636"/>
      <w:bookmarkStart w:id="2223" w:name="_Toc483571514"/>
      <w:bookmarkStart w:id="2224" w:name="_Toc483474083"/>
      <w:bookmarkStart w:id="2225" w:name="_Toc483401287"/>
      <w:bookmarkStart w:id="2226" w:name="_Toc483325809"/>
      <w:bookmarkStart w:id="2227" w:name="_Toc483316506"/>
      <w:bookmarkStart w:id="2228" w:name="_Toc483316375"/>
      <w:bookmarkStart w:id="2229" w:name="_Toc483316243"/>
      <w:bookmarkStart w:id="2230" w:name="_Toc483316038"/>
      <w:bookmarkStart w:id="2231" w:name="_Toc483302417"/>
      <w:bookmarkStart w:id="2232" w:name="_Toc483233700"/>
      <w:bookmarkStart w:id="2233" w:name="_Toc482979740"/>
      <w:bookmarkStart w:id="2234" w:name="_Toc482979642"/>
      <w:bookmarkStart w:id="2235" w:name="_Toc482979544"/>
      <w:bookmarkStart w:id="2236" w:name="_Toc482979436"/>
      <w:bookmarkStart w:id="2237" w:name="_Toc482979327"/>
      <w:bookmarkStart w:id="2238" w:name="_Toc482979218"/>
      <w:bookmarkStart w:id="2239" w:name="_Toc482979107"/>
      <w:bookmarkStart w:id="2240" w:name="_Toc482978999"/>
      <w:bookmarkStart w:id="2241" w:name="_Toc482978890"/>
      <w:bookmarkStart w:id="2242" w:name="_Toc482959771"/>
      <w:bookmarkStart w:id="2243" w:name="_Toc482959661"/>
      <w:bookmarkStart w:id="2244" w:name="_Toc482959551"/>
      <w:bookmarkStart w:id="2245" w:name="_Toc482712763"/>
      <w:bookmarkStart w:id="2246" w:name="_Toc482641317"/>
      <w:bookmarkStart w:id="2247" w:name="_Toc482633140"/>
      <w:bookmarkStart w:id="2248" w:name="_Toc482352299"/>
      <w:bookmarkStart w:id="2249" w:name="_Toc482352209"/>
      <w:bookmarkStart w:id="2250" w:name="_Toc482352119"/>
      <w:bookmarkStart w:id="2251" w:name="_Toc482352029"/>
      <w:bookmarkStart w:id="2252" w:name="_Toc482102165"/>
      <w:bookmarkStart w:id="2253" w:name="_Toc482102071"/>
      <w:bookmarkStart w:id="2254" w:name="_Toc482101976"/>
      <w:bookmarkStart w:id="2255" w:name="_Toc482101881"/>
      <w:bookmarkStart w:id="2256" w:name="_Toc482101788"/>
      <w:bookmarkStart w:id="2257" w:name="_Toc482101613"/>
      <w:bookmarkStart w:id="2258" w:name="_Toc482101498"/>
      <w:bookmarkStart w:id="2259" w:name="_Toc482101361"/>
      <w:bookmarkStart w:id="2260" w:name="_Toc482100935"/>
      <w:bookmarkStart w:id="2261" w:name="_Toc482100778"/>
      <w:bookmarkStart w:id="2262" w:name="_Toc482099061"/>
      <w:bookmarkStart w:id="2263" w:name="_Toc482097959"/>
      <w:bookmarkStart w:id="2264" w:name="_Toc482097767"/>
      <w:bookmarkStart w:id="2265" w:name="_Toc482097678"/>
      <w:bookmarkStart w:id="2266" w:name="_Toc482097589"/>
      <w:bookmarkStart w:id="2267" w:name="_Toc482025765"/>
      <w:bookmarkStart w:id="2268" w:name="_Toc485218345"/>
      <w:bookmarkStart w:id="2269" w:name="_Toc484688910"/>
      <w:bookmarkStart w:id="2270" w:name="_Toc484688355"/>
      <w:bookmarkStart w:id="2271" w:name="_Toc484605486"/>
      <w:bookmarkStart w:id="2272" w:name="_Toc484605362"/>
      <w:bookmarkStart w:id="2273" w:name="_Toc484526642"/>
      <w:bookmarkStart w:id="2274" w:name="_Toc484449147"/>
      <w:bookmarkStart w:id="2275" w:name="_Toc484449023"/>
      <w:bookmarkStart w:id="2276" w:name="_Toc484448899"/>
      <w:bookmarkStart w:id="2277" w:name="_Toc484448776"/>
      <w:bookmarkStart w:id="2278" w:name="_Toc484448652"/>
      <w:bookmarkStart w:id="2279" w:name="_Toc484448528"/>
      <w:bookmarkStart w:id="2280" w:name="_Toc484448404"/>
      <w:bookmarkStart w:id="2281" w:name="_Toc484448280"/>
      <w:bookmarkStart w:id="2282" w:name="_Toc484448156"/>
      <w:bookmarkStart w:id="2283" w:name="_Toc484440496"/>
      <w:bookmarkStart w:id="2284" w:name="_Toc484440136"/>
      <w:bookmarkStart w:id="2285" w:name="_Toc484440012"/>
      <w:bookmarkStart w:id="2286" w:name="_Toc484439889"/>
      <w:bookmarkStart w:id="2287" w:name="_Toc484438969"/>
      <w:bookmarkStart w:id="2288" w:name="_Toc484438845"/>
      <w:bookmarkStart w:id="2289" w:name="_Toc484438721"/>
      <w:bookmarkStart w:id="2290" w:name="_Toc484429146"/>
      <w:bookmarkStart w:id="2291" w:name="_Toc484428976"/>
      <w:bookmarkStart w:id="2292" w:name="_Toc484097802"/>
      <w:bookmarkStart w:id="2293" w:name="_Toc484011728"/>
      <w:bookmarkStart w:id="2294" w:name="_Toc484011253"/>
      <w:bookmarkStart w:id="2295" w:name="_Toc484011131"/>
      <w:bookmarkStart w:id="2296" w:name="_Toc484011009"/>
      <w:bookmarkStart w:id="2297" w:name="_Toc484010885"/>
      <w:bookmarkStart w:id="2298" w:name="_Toc484010763"/>
      <w:bookmarkStart w:id="2299" w:name="_Toc483907013"/>
      <w:bookmarkStart w:id="2300" w:name="_Toc483571635"/>
      <w:bookmarkStart w:id="2301" w:name="_Toc483571513"/>
      <w:bookmarkStart w:id="2302" w:name="_Toc483474082"/>
      <w:bookmarkStart w:id="2303" w:name="_Toc483401286"/>
      <w:bookmarkStart w:id="2304" w:name="_Toc483325808"/>
      <w:bookmarkStart w:id="2305" w:name="_Toc483316505"/>
      <w:bookmarkStart w:id="2306" w:name="_Toc483316374"/>
      <w:bookmarkStart w:id="2307" w:name="_Toc483316242"/>
      <w:bookmarkStart w:id="2308" w:name="_Toc483316037"/>
      <w:bookmarkStart w:id="2309" w:name="_Toc483302416"/>
      <w:bookmarkStart w:id="2310" w:name="_Toc483233699"/>
      <w:bookmarkStart w:id="2311" w:name="_Toc482979739"/>
      <w:bookmarkStart w:id="2312" w:name="_Toc482979641"/>
      <w:bookmarkStart w:id="2313" w:name="_Toc482979543"/>
      <w:bookmarkStart w:id="2314" w:name="_Toc482979435"/>
      <w:bookmarkStart w:id="2315" w:name="_Toc482979326"/>
      <w:bookmarkStart w:id="2316" w:name="_Toc482979217"/>
      <w:bookmarkStart w:id="2317" w:name="_Toc482979106"/>
      <w:bookmarkStart w:id="2318" w:name="_Toc482978998"/>
      <w:bookmarkStart w:id="2319" w:name="_Toc482978889"/>
      <w:bookmarkStart w:id="2320" w:name="_Toc482959770"/>
      <w:bookmarkStart w:id="2321" w:name="_Toc482959660"/>
      <w:bookmarkStart w:id="2322" w:name="_Toc482959550"/>
      <w:bookmarkStart w:id="2323" w:name="_Toc482712762"/>
      <w:bookmarkStart w:id="2324" w:name="_Toc482641316"/>
      <w:bookmarkStart w:id="2325" w:name="_Toc482633139"/>
      <w:bookmarkStart w:id="2326" w:name="_Toc482352298"/>
      <w:bookmarkStart w:id="2327" w:name="_Toc482352208"/>
      <w:bookmarkStart w:id="2328" w:name="_Toc482352118"/>
      <w:bookmarkStart w:id="2329" w:name="_Toc482352028"/>
      <w:bookmarkStart w:id="2330" w:name="_Toc482102164"/>
      <w:bookmarkStart w:id="2331" w:name="_Toc482102070"/>
      <w:bookmarkStart w:id="2332" w:name="_Toc482101975"/>
      <w:bookmarkStart w:id="2333" w:name="_Toc482101880"/>
      <w:bookmarkStart w:id="2334" w:name="_Toc482101787"/>
      <w:bookmarkStart w:id="2335" w:name="_Toc482101612"/>
      <w:bookmarkStart w:id="2336" w:name="_Toc482101497"/>
      <w:bookmarkStart w:id="2337" w:name="_Toc482101360"/>
      <w:bookmarkStart w:id="2338" w:name="_Toc482100934"/>
      <w:bookmarkStart w:id="2339" w:name="_Toc482100777"/>
      <w:bookmarkStart w:id="2340" w:name="_Toc482099060"/>
      <w:bookmarkStart w:id="2341" w:name="_Toc482097958"/>
      <w:bookmarkStart w:id="2342" w:name="_Toc482097766"/>
      <w:bookmarkStart w:id="2343" w:name="_Toc482097677"/>
      <w:bookmarkStart w:id="2344" w:name="_Toc482097588"/>
      <w:bookmarkStart w:id="2345" w:name="_Toc482025764"/>
      <w:bookmarkStart w:id="2346" w:name="_Toc485218344"/>
      <w:bookmarkStart w:id="2347" w:name="_Toc484688909"/>
      <w:bookmarkStart w:id="2348" w:name="_Toc484688354"/>
      <w:bookmarkStart w:id="2349" w:name="_Toc484605485"/>
      <w:bookmarkStart w:id="2350" w:name="_Toc484605361"/>
      <w:bookmarkStart w:id="2351" w:name="_Toc484526641"/>
      <w:bookmarkStart w:id="2352" w:name="_Toc484449146"/>
      <w:bookmarkStart w:id="2353" w:name="_Toc484449022"/>
      <w:bookmarkStart w:id="2354" w:name="_Toc484448898"/>
      <w:bookmarkStart w:id="2355" w:name="_Toc484448775"/>
      <w:bookmarkStart w:id="2356" w:name="_Toc484448651"/>
      <w:bookmarkStart w:id="2357" w:name="_Toc484448527"/>
      <w:bookmarkStart w:id="2358" w:name="_Toc484448403"/>
      <w:bookmarkStart w:id="2359" w:name="_Toc484448279"/>
      <w:bookmarkStart w:id="2360" w:name="_Toc484448155"/>
      <w:bookmarkStart w:id="2361" w:name="_Toc484440495"/>
      <w:bookmarkStart w:id="2362" w:name="_Toc484440135"/>
      <w:bookmarkStart w:id="2363" w:name="_Toc484440011"/>
      <w:bookmarkStart w:id="2364" w:name="_Toc484439888"/>
      <w:bookmarkStart w:id="2365" w:name="_Toc484438968"/>
      <w:bookmarkStart w:id="2366" w:name="_Toc484438844"/>
      <w:bookmarkStart w:id="2367" w:name="_Toc484438720"/>
      <w:bookmarkStart w:id="2368" w:name="_Toc484429145"/>
      <w:bookmarkStart w:id="2369" w:name="_Toc484428975"/>
      <w:bookmarkStart w:id="2370" w:name="_Toc484097801"/>
      <w:bookmarkStart w:id="2371" w:name="_Toc484011727"/>
      <w:bookmarkStart w:id="2372" w:name="_Toc484011252"/>
      <w:bookmarkStart w:id="2373" w:name="_Toc484011130"/>
      <w:bookmarkStart w:id="2374" w:name="_Toc484011008"/>
      <w:bookmarkStart w:id="2375" w:name="_Toc484010884"/>
      <w:bookmarkStart w:id="2376" w:name="_Toc484010762"/>
      <w:bookmarkStart w:id="2377" w:name="_Toc483907012"/>
      <w:bookmarkStart w:id="2378" w:name="_Toc483571634"/>
      <w:bookmarkStart w:id="2379" w:name="_Toc483571512"/>
      <w:bookmarkStart w:id="2380" w:name="_Toc483474081"/>
      <w:bookmarkStart w:id="2381" w:name="_Toc483401285"/>
      <w:bookmarkStart w:id="2382" w:name="_Toc483325807"/>
      <w:bookmarkStart w:id="2383" w:name="_Toc483316504"/>
      <w:bookmarkStart w:id="2384" w:name="_Toc483316373"/>
      <w:bookmarkStart w:id="2385" w:name="_Toc483316241"/>
      <w:bookmarkStart w:id="2386" w:name="_Toc483316036"/>
      <w:bookmarkStart w:id="2387" w:name="_Toc483302415"/>
      <w:bookmarkStart w:id="2388" w:name="_Toc483233698"/>
      <w:bookmarkStart w:id="2389" w:name="_Toc482979738"/>
      <w:bookmarkStart w:id="2390" w:name="_Toc482979640"/>
      <w:bookmarkStart w:id="2391" w:name="_Toc482979542"/>
      <w:bookmarkStart w:id="2392" w:name="_Toc482979434"/>
      <w:bookmarkStart w:id="2393" w:name="_Toc482979325"/>
      <w:bookmarkStart w:id="2394" w:name="_Toc482979216"/>
      <w:bookmarkStart w:id="2395" w:name="_Toc482979105"/>
      <w:bookmarkStart w:id="2396" w:name="_Toc482978997"/>
      <w:bookmarkStart w:id="2397" w:name="_Toc482978888"/>
      <w:bookmarkStart w:id="2398" w:name="_Toc482959769"/>
      <w:bookmarkStart w:id="2399" w:name="_Toc482959659"/>
      <w:bookmarkStart w:id="2400" w:name="_Toc482959549"/>
      <w:bookmarkStart w:id="2401" w:name="_Toc482712761"/>
      <w:bookmarkStart w:id="2402" w:name="_Toc482641315"/>
      <w:bookmarkStart w:id="2403" w:name="_Toc482633138"/>
      <w:bookmarkStart w:id="2404" w:name="_Toc482352297"/>
      <w:bookmarkStart w:id="2405" w:name="_Toc482352207"/>
      <w:bookmarkStart w:id="2406" w:name="_Toc482352117"/>
      <w:bookmarkStart w:id="2407" w:name="_Toc482352027"/>
      <w:bookmarkStart w:id="2408" w:name="_Toc482102163"/>
      <w:bookmarkStart w:id="2409" w:name="_Toc482102069"/>
      <w:bookmarkStart w:id="2410" w:name="_Toc482101974"/>
      <w:bookmarkStart w:id="2411" w:name="_Toc482101879"/>
      <w:bookmarkStart w:id="2412" w:name="_Toc482101786"/>
      <w:bookmarkStart w:id="2413" w:name="_Toc482101611"/>
      <w:bookmarkStart w:id="2414" w:name="_Toc482101496"/>
      <w:bookmarkStart w:id="2415" w:name="_Toc482101359"/>
      <w:bookmarkStart w:id="2416" w:name="_Toc482100933"/>
      <w:bookmarkStart w:id="2417" w:name="_Toc482100776"/>
      <w:bookmarkStart w:id="2418" w:name="_Toc482099059"/>
      <w:bookmarkStart w:id="2419" w:name="_Toc482097957"/>
      <w:bookmarkStart w:id="2420" w:name="_Toc482097765"/>
      <w:bookmarkStart w:id="2421" w:name="_Toc482097676"/>
      <w:bookmarkStart w:id="2422" w:name="_Toc482097587"/>
      <w:bookmarkStart w:id="2423" w:name="_Toc482025763"/>
      <w:bookmarkStart w:id="2424" w:name="_Toc485218343"/>
      <w:bookmarkStart w:id="2425" w:name="_Toc484688908"/>
      <w:bookmarkStart w:id="2426" w:name="_Toc484688353"/>
      <w:bookmarkStart w:id="2427" w:name="_Toc484605484"/>
      <w:bookmarkStart w:id="2428" w:name="_Toc484605360"/>
      <w:bookmarkStart w:id="2429" w:name="_Toc484526640"/>
      <w:bookmarkStart w:id="2430" w:name="_Toc484449145"/>
      <w:bookmarkStart w:id="2431" w:name="_Toc484449021"/>
      <w:bookmarkStart w:id="2432" w:name="_Toc484448897"/>
      <w:bookmarkStart w:id="2433" w:name="_Toc484448774"/>
      <w:bookmarkStart w:id="2434" w:name="_Toc484448650"/>
      <w:bookmarkStart w:id="2435" w:name="_Toc484448526"/>
      <w:bookmarkStart w:id="2436" w:name="_Toc484448402"/>
      <w:bookmarkStart w:id="2437" w:name="_Toc484448278"/>
      <w:bookmarkStart w:id="2438" w:name="_Toc484448154"/>
      <w:bookmarkStart w:id="2439" w:name="_Toc484440494"/>
      <w:bookmarkStart w:id="2440" w:name="_Toc484440134"/>
      <w:bookmarkStart w:id="2441" w:name="_Toc484440010"/>
      <w:bookmarkStart w:id="2442" w:name="_Toc484439887"/>
      <w:bookmarkStart w:id="2443" w:name="_Toc484438967"/>
      <w:bookmarkStart w:id="2444" w:name="_Toc484438843"/>
      <w:bookmarkStart w:id="2445" w:name="_Toc484438719"/>
      <w:bookmarkStart w:id="2446" w:name="_Toc484429144"/>
      <w:bookmarkStart w:id="2447" w:name="_Toc484428974"/>
      <w:bookmarkStart w:id="2448" w:name="_Toc484097800"/>
      <w:bookmarkStart w:id="2449" w:name="_Toc484011726"/>
      <w:bookmarkStart w:id="2450" w:name="_Toc484011251"/>
      <w:bookmarkStart w:id="2451" w:name="_Toc484011129"/>
      <w:bookmarkStart w:id="2452" w:name="_Toc484011007"/>
      <w:bookmarkStart w:id="2453" w:name="_Toc484010883"/>
      <w:bookmarkStart w:id="2454" w:name="_Toc484010761"/>
      <w:bookmarkStart w:id="2455" w:name="_Toc483907011"/>
      <w:bookmarkStart w:id="2456" w:name="_Toc483571633"/>
      <w:bookmarkStart w:id="2457" w:name="_Toc483571511"/>
      <w:bookmarkStart w:id="2458" w:name="_Toc483474080"/>
      <w:bookmarkStart w:id="2459" w:name="_Toc483401284"/>
      <w:bookmarkStart w:id="2460" w:name="_Toc483325806"/>
      <w:bookmarkStart w:id="2461" w:name="_Toc483316503"/>
      <w:bookmarkStart w:id="2462" w:name="_Toc483316372"/>
      <w:bookmarkStart w:id="2463" w:name="_Toc483316240"/>
      <w:bookmarkStart w:id="2464" w:name="_Toc483316035"/>
      <w:bookmarkStart w:id="2465" w:name="_Toc483302414"/>
      <w:bookmarkStart w:id="2466" w:name="_Toc483233697"/>
      <w:bookmarkStart w:id="2467" w:name="_Toc482979737"/>
      <w:bookmarkStart w:id="2468" w:name="_Toc482979639"/>
      <w:bookmarkStart w:id="2469" w:name="_Toc482979541"/>
      <w:bookmarkStart w:id="2470" w:name="_Toc482979433"/>
      <w:bookmarkStart w:id="2471" w:name="_Toc482979324"/>
      <w:bookmarkStart w:id="2472" w:name="_Toc482979215"/>
      <w:bookmarkStart w:id="2473" w:name="_Toc482979104"/>
      <w:bookmarkStart w:id="2474" w:name="_Toc482978996"/>
      <w:bookmarkStart w:id="2475" w:name="_Toc482978887"/>
      <w:bookmarkStart w:id="2476" w:name="_Toc482959768"/>
      <w:bookmarkStart w:id="2477" w:name="_Toc482959658"/>
      <w:bookmarkStart w:id="2478" w:name="_Toc482959548"/>
      <w:bookmarkStart w:id="2479" w:name="_Toc482712760"/>
      <w:bookmarkStart w:id="2480" w:name="_Toc482641314"/>
      <w:bookmarkStart w:id="2481" w:name="_Toc482633137"/>
      <w:bookmarkStart w:id="2482" w:name="_Toc482352296"/>
      <w:bookmarkStart w:id="2483" w:name="_Toc482352206"/>
      <w:bookmarkStart w:id="2484" w:name="_Toc482352116"/>
      <w:bookmarkStart w:id="2485" w:name="_Toc482352026"/>
      <w:bookmarkStart w:id="2486" w:name="_Toc482102162"/>
      <w:bookmarkStart w:id="2487" w:name="_Toc482102068"/>
      <w:bookmarkStart w:id="2488" w:name="_Toc482101973"/>
      <w:bookmarkStart w:id="2489" w:name="_Toc482101878"/>
      <w:bookmarkStart w:id="2490" w:name="_Toc482101785"/>
      <w:bookmarkStart w:id="2491" w:name="_Toc482101610"/>
      <w:bookmarkStart w:id="2492" w:name="_Toc482101495"/>
      <w:bookmarkStart w:id="2493" w:name="_Toc482101358"/>
      <w:bookmarkStart w:id="2494" w:name="_Toc482100932"/>
      <w:bookmarkStart w:id="2495" w:name="_Toc482100775"/>
      <w:bookmarkStart w:id="2496" w:name="_Toc482099058"/>
      <w:bookmarkStart w:id="2497" w:name="_Toc482097956"/>
      <w:bookmarkStart w:id="2498" w:name="_Toc482097764"/>
      <w:bookmarkStart w:id="2499" w:name="_Toc482097675"/>
      <w:bookmarkStart w:id="2500" w:name="_Toc482097586"/>
      <w:bookmarkStart w:id="2501" w:name="_Toc482025762"/>
      <w:bookmarkStart w:id="2502" w:name="_Toc485218342"/>
      <w:bookmarkStart w:id="2503" w:name="_Toc484688907"/>
      <w:bookmarkStart w:id="2504" w:name="_Toc484688352"/>
      <w:bookmarkStart w:id="2505" w:name="_Toc484605483"/>
      <w:bookmarkStart w:id="2506" w:name="_Toc484605359"/>
      <w:bookmarkStart w:id="2507" w:name="_Toc484526639"/>
      <w:bookmarkStart w:id="2508" w:name="_Toc484449144"/>
      <w:bookmarkStart w:id="2509" w:name="_Toc484449020"/>
      <w:bookmarkStart w:id="2510" w:name="_Toc484448896"/>
      <w:bookmarkStart w:id="2511" w:name="_Toc484448773"/>
      <w:bookmarkStart w:id="2512" w:name="_Toc484448649"/>
      <w:bookmarkStart w:id="2513" w:name="_Toc484448525"/>
      <w:bookmarkStart w:id="2514" w:name="_Toc484448401"/>
      <w:bookmarkStart w:id="2515" w:name="_Toc484448277"/>
      <w:bookmarkStart w:id="2516" w:name="_Toc484448153"/>
      <w:bookmarkStart w:id="2517" w:name="_Toc484440493"/>
      <w:bookmarkStart w:id="2518" w:name="_Toc484440133"/>
      <w:bookmarkStart w:id="2519" w:name="_Toc484440009"/>
      <w:bookmarkStart w:id="2520" w:name="_Toc484439886"/>
      <w:bookmarkStart w:id="2521" w:name="_Toc484438966"/>
      <w:bookmarkStart w:id="2522" w:name="_Toc484438842"/>
      <w:bookmarkStart w:id="2523" w:name="_Toc484438718"/>
      <w:bookmarkStart w:id="2524" w:name="_Toc484429143"/>
      <w:bookmarkStart w:id="2525" w:name="_Toc484428973"/>
      <w:bookmarkStart w:id="2526" w:name="_Toc484097799"/>
      <w:bookmarkStart w:id="2527" w:name="_Toc484011725"/>
      <w:bookmarkStart w:id="2528" w:name="_Toc484011250"/>
      <w:bookmarkStart w:id="2529" w:name="_Toc484011128"/>
      <w:bookmarkStart w:id="2530" w:name="_Toc484011006"/>
      <w:bookmarkStart w:id="2531" w:name="_Toc484010882"/>
      <w:bookmarkStart w:id="2532" w:name="_Toc484010760"/>
      <w:bookmarkStart w:id="2533" w:name="_Toc483907010"/>
      <w:bookmarkStart w:id="2534" w:name="_Toc483571632"/>
      <w:bookmarkStart w:id="2535" w:name="_Toc483571510"/>
      <w:bookmarkStart w:id="2536" w:name="_Toc483474079"/>
      <w:bookmarkStart w:id="2537" w:name="_Toc483401283"/>
      <w:bookmarkStart w:id="2538" w:name="_Toc483325805"/>
      <w:bookmarkStart w:id="2539" w:name="_Toc483316502"/>
      <w:bookmarkStart w:id="2540" w:name="_Toc483316371"/>
      <w:bookmarkStart w:id="2541" w:name="_Toc483316239"/>
      <w:bookmarkStart w:id="2542" w:name="_Toc483316034"/>
      <w:bookmarkStart w:id="2543" w:name="_Toc483302413"/>
      <w:bookmarkStart w:id="2544" w:name="_Toc483233696"/>
      <w:bookmarkStart w:id="2545" w:name="_Toc482979736"/>
      <w:bookmarkStart w:id="2546" w:name="_Toc482979638"/>
      <w:bookmarkStart w:id="2547" w:name="_Toc482979540"/>
      <w:bookmarkStart w:id="2548" w:name="_Toc482979432"/>
      <w:bookmarkStart w:id="2549" w:name="_Toc482979323"/>
      <w:bookmarkStart w:id="2550" w:name="_Toc482979214"/>
      <w:bookmarkStart w:id="2551" w:name="_Toc482979103"/>
      <w:bookmarkStart w:id="2552" w:name="_Toc482978995"/>
      <w:bookmarkStart w:id="2553" w:name="_Toc482978886"/>
      <w:bookmarkStart w:id="2554" w:name="_Toc482959767"/>
      <w:bookmarkStart w:id="2555" w:name="_Toc482959657"/>
      <w:bookmarkStart w:id="2556" w:name="_Toc482959547"/>
      <w:bookmarkStart w:id="2557" w:name="_Toc482712759"/>
      <w:bookmarkStart w:id="2558" w:name="_Toc482641313"/>
      <w:bookmarkStart w:id="2559" w:name="_Toc482633136"/>
      <w:bookmarkStart w:id="2560" w:name="_Toc482352295"/>
      <w:bookmarkStart w:id="2561" w:name="_Toc482352205"/>
      <w:bookmarkStart w:id="2562" w:name="_Toc482352115"/>
      <w:bookmarkStart w:id="2563" w:name="_Toc482352025"/>
      <w:bookmarkStart w:id="2564" w:name="_Toc482102161"/>
      <w:bookmarkStart w:id="2565" w:name="_Toc482102067"/>
      <w:bookmarkStart w:id="2566" w:name="_Toc482101972"/>
      <w:bookmarkStart w:id="2567" w:name="_Toc482101877"/>
      <w:bookmarkStart w:id="2568" w:name="_Toc482101784"/>
      <w:bookmarkStart w:id="2569" w:name="_Toc482101609"/>
      <w:bookmarkStart w:id="2570" w:name="_Toc482101494"/>
      <w:bookmarkStart w:id="2571" w:name="_Toc482101357"/>
      <w:bookmarkStart w:id="2572" w:name="_Toc482100931"/>
      <w:bookmarkStart w:id="2573" w:name="_Toc482100774"/>
      <w:bookmarkStart w:id="2574" w:name="_Toc482099057"/>
      <w:bookmarkStart w:id="2575" w:name="_Toc482097955"/>
      <w:bookmarkStart w:id="2576" w:name="_Toc482097763"/>
      <w:bookmarkStart w:id="2577" w:name="_Toc482097674"/>
      <w:bookmarkStart w:id="2578" w:name="_Toc482097585"/>
      <w:bookmarkStart w:id="2579" w:name="_Toc482025761"/>
      <w:bookmarkStart w:id="2580" w:name="_Toc485218341"/>
      <w:bookmarkStart w:id="2581" w:name="_Toc484688906"/>
      <w:bookmarkStart w:id="2582" w:name="_Toc484688351"/>
      <w:bookmarkStart w:id="2583" w:name="_Toc484605482"/>
      <w:bookmarkStart w:id="2584" w:name="_Toc484605358"/>
      <w:bookmarkStart w:id="2585" w:name="_Toc484526638"/>
      <w:bookmarkStart w:id="2586" w:name="_Toc484449143"/>
      <w:bookmarkStart w:id="2587" w:name="_Toc484449019"/>
      <w:bookmarkStart w:id="2588" w:name="_Toc484448895"/>
      <w:bookmarkStart w:id="2589" w:name="_Toc484448772"/>
      <w:bookmarkStart w:id="2590" w:name="_Toc484448648"/>
      <w:bookmarkStart w:id="2591" w:name="_Toc484448524"/>
      <w:bookmarkStart w:id="2592" w:name="_Toc484448400"/>
      <w:bookmarkStart w:id="2593" w:name="_Toc484448276"/>
      <w:bookmarkStart w:id="2594" w:name="_Toc484448152"/>
      <w:bookmarkStart w:id="2595" w:name="_Toc484440492"/>
      <w:bookmarkStart w:id="2596" w:name="_Toc484440132"/>
      <w:bookmarkStart w:id="2597" w:name="_Toc484440008"/>
      <w:bookmarkStart w:id="2598" w:name="_Toc484439885"/>
      <w:bookmarkStart w:id="2599" w:name="_Toc484438965"/>
      <w:bookmarkStart w:id="2600" w:name="_Toc484438841"/>
      <w:bookmarkStart w:id="2601" w:name="_Toc484438717"/>
      <w:bookmarkStart w:id="2602" w:name="_Toc484429142"/>
      <w:bookmarkStart w:id="2603" w:name="_Toc484428972"/>
      <w:bookmarkStart w:id="2604" w:name="_Toc484097798"/>
      <w:bookmarkStart w:id="2605" w:name="_Toc484011724"/>
      <w:bookmarkStart w:id="2606" w:name="_Toc484011249"/>
      <w:bookmarkStart w:id="2607" w:name="_Toc484011127"/>
      <w:bookmarkStart w:id="2608" w:name="_Toc484011005"/>
      <w:bookmarkStart w:id="2609" w:name="_Toc484010881"/>
      <w:bookmarkStart w:id="2610" w:name="_Toc484010759"/>
      <w:bookmarkStart w:id="2611" w:name="_Toc483907009"/>
      <w:bookmarkStart w:id="2612" w:name="_Toc483571631"/>
      <w:bookmarkStart w:id="2613" w:name="_Toc483571509"/>
      <w:bookmarkStart w:id="2614" w:name="_Toc483474078"/>
      <w:bookmarkStart w:id="2615" w:name="_Toc483401282"/>
      <w:bookmarkStart w:id="2616" w:name="_Toc483325804"/>
      <w:bookmarkStart w:id="2617" w:name="_Toc483316501"/>
      <w:bookmarkStart w:id="2618" w:name="_Toc483316370"/>
      <w:bookmarkStart w:id="2619" w:name="_Toc483316238"/>
      <w:bookmarkStart w:id="2620" w:name="_Toc483316033"/>
      <w:bookmarkStart w:id="2621" w:name="_Toc483302412"/>
      <w:bookmarkStart w:id="2622" w:name="_Toc483233695"/>
      <w:bookmarkStart w:id="2623" w:name="_Toc482979735"/>
      <w:bookmarkStart w:id="2624" w:name="_Toc482979637"/>
      <w:bookmarkStart w:id="2625" w:name="_Toc482979539"/>
      <w:bookmarkStart w:id="2626" w:name="_Toc482979431"/>
      <w:bookmarkStart w:id="2627" w:name="_Toc482979322"/>
      <w:bookmarkStart w:id="2628" w:name="_Toc482979213"/>
      <w:bookmarkStart w:id="2629" w:name="_Toc482979102"/>
      <w:bookmarkStart w:id="2630" w:name="_Toc482978994"/>
      <w:bookmarkStart w:id="2631" w:name="_Toc482978885"/>
      <w:bookmarkStart w:id="2632" w:name="_Toc482959766"/>
      <w:bookmarkStart w:id="2633" w:name="_Toc482959656"/>
      <w:bookmarkStart w:id="2634" w:name="_Toc482959546"/>
      <w:bookmarkStart w:id="2635" w:name="_Toc482712758"/>
      <w:bookmarkStart w:id="2636" w:name="_Toc482641312"/>
      <w:bookmarkStart w:id="2637" w:name="_Toc482633135"/>
      <w:bookmarkStart w:id="2638" w:name="_Toc482352294"/>
      <w:bookmarkStart w:id="2639" w:name="_Toc482352204"/>
      <w:bookmarkStart w:id="2640" w:name="_Toc482352114"/>
      <w:bookmarkStart w:id="2641" w:name="_Toc482352024"/>
      <w:bookmarkStart w:id="2642" w:name="_Toc482102160"/>
      <w:bookmarkStart w:id="2643" w:name="_Toc482102066"/>
      <w:bookmarkStart w:id="2644" w:name="_Toc482101971"/>
      <w:bookmarkStart w:id="2645" w:name="_Toc482101876"/>
      <w:bookmarkStart w:id="2646" w:name="_Toc482101783"/>
      <w:bookmarkStart w:id="2647" w:name="_Toc482101608"/>
      <w:bookmarkStart w:id="2648" w:name="_Toc482101493"/>
      <w:bookmarkStart w:id="2649" w:name="_Toc482101356"/>
      <w:bookmarkStart w:id="2650" w:name="_Toc482100930"/>
      <w:bookmarkStart w:id="2651" w:name="_Toc482100773"/>
      <w:bookmarkStart w:id="2652" w:name="_Toc482099056"/>
      <w:bookmarkStart w:id="2653" w:name="_Toc482097954"/>
      <w:bookmarkStart w:id="2654" w:name="_Toc482097762"/>
      <w:bookmarkStart w:id="2655" w:name="_Toc482097673"/>
      <w:bookmarkStart w:id="2656" w:name="_Toc482097584"/>
      <w:bookmarkStart w:id="2657" w:name="_Toc482025760"/>
      <w:bookmarkStart w:id="2658" w:name="_Toc485218340"/>
      <w:bookmarkStart w:id="2659" w:name="_Toc484688905"/>
      <w:bookmarkStart w:id="2660" w:name="_Toc484688350"/>
      <w:bookmarkStart w:id="2661" w:name="_Toc484605481"/>
      <w:bookmarkStart w:id="2662" w:name="_Toc484605357"/>
      <w:bookmarkStart w:id="2663" w:name="_Toc484526637"/>
      <w:bookmarkStart w:id="2664" w:name="_Toc484449142"/>
      <w:bookmarkStart w:id="2665" w:name="_Toc484449018"/>
      <w:bookmarkStart w:id="2666" w:name="_Toc484448894"/>
      <w:bookmarkStart w:id="2667" w:name="_Toc484448771"/>
      <w:bookmarkStart w:id="2668" w:name="_Toc484448647"/>
      <w:bookmarkStart w:id="2669" w:name="_Toc484448523"/>
      <w:bookmarkStart w:id="2670" w:name="_Toc484448399"/>
      <w:bookmarkStart w:id="2671" w:name="_Toc484448275"/>
      <w:bookmarkStart w:id="2672" w:name="_Toc484448151"/>
      <w:bookmarkStart w:id="2673" w:name="_Toc484440491"/>
      <w:bookmarkStart w:id="2674" w:name="_Toc484440131"/>
      <w:bookmarkStart w:id="2675" w:name="_Toc484440007"/>
      <w:bookmarkStart w:id="2676" w:name="_Toc484439884"/>
      <w:bookmarkStart w:id="2677" w:name="_Toc484438964"/>
      <w:bookmarkStart w:id="2678" w:name="_Toc484438840"/>
      <w:bookmarkStart w:id="2679" w:name="_Toc484438716"/>
      <w:bookmarkStart w:id="2680" w:name="_Toc484429141"/>
      <w:bookmarkStart w:id="2681" w:name="_Toc484428971"/>
      <w:bookmarkStart w:id="2682" w:name="_Toc484097797"/>
      <w:bookmarkStart w:id="2683" w:name="_Toc484011723"/>
      <w:bookmarkStart w:id="2684" w:name="_Toc484011248"/>
      <w:bookmarkStart w:id="2685" w:name="_Toc484011126"/>
      <w:bookmarkStart w:id="2686" w:name="_Toc484011004"/>
      <w:bookmarkStart w:id="2687" w:name="_Toc484010880"/>
      <w:bookmarkStart w:id="2688" w:name="_Toc484010758"/>
      <w:bookmarkStart w:id="2689" w:name="_Toc483907008"/>
      <w:bookmarkStart w:id="2690" w:name="_Toc483571630"/>
      <w:bookmarkStart w:id="2691" w:name="_Toc483571508"/>
      <w:bookmarkStart w:id="2692" w:name="_Toc483474077"/>
      <w:bookmarkStart w:id="2693" w:name="_Toc483401281"/>
      <w:bookmarkStart w:id="2694" w:name="_Toc483325803"/>
      <w:bookmarkStart w:id="2695" w:name="_Toc483316500"/>
      <w:bookmarkStart w:id="2696" w:name="_Toc483316369"/>
      <w:bookmarkStart w:id="2697" w:name="_Toc483316237"/>
      <w:bookmarkStart w:id="2698" w:name="_Toc483316032"/>
      <w:bookmarkStart w:id="2699" w:name="_Toc483302411"/>
      <w:bookmarkStart w:id="2700" w:name="_Toc483233694"/>
      <w:bookmarkStart w:id="2701" w:name="_Toc482979734"/>
      <w:bookmarkStart w:id="2702" w:name="_Toc482979636"/>
      <w:bookmarkStart w:id="2703" w:name="_Toc482979538"/>
      <w:bookmarkStart w:id="2704" w:name="_Toc482979430"/>
      <w:bookmarkStart w:id="2705" w:name="_Toc482979321"/>
      <w:bookmarkStart w:id="2706" w:name="_Toc482979212"/>
      <w:bookmarkStart w:id="2707" w:name="_Toc482979101"/>
      <w:bookmarkStart w:id="2708" w:name="_Toc482978993"/>
      <w:bookmarkStart w:id="2709" w:name="_Toc482978884"/>
      <w:bookmarkStart w:id="2710" w:name="_Toc482959765"/>
      <w:bookmarkStart w:id="2711" w:name="_Toc482959655"/>
      <w:bookmarkStart w:id="2712" w:name="_Toc482959545"/>
      <w:bookmarkStart w:id="2713" w:name="_Toc482712757"/>
      <w:bookmarkStart w:id="2714" w:name="_Toc482641311"/>
      <w:bookmarkStart w:id="2715" w:name="_Toc482633134"/>
      <w:bookmarkStart w:id="2716" w:name="_Toc482352293"/>
      <w:bookmarkStart w:id="2717" w:name="_Toc482352203"/>
      <w:bookmarkStart w:id="2718" w:name="_Toc482352113"/>
      <w:bookmarkStart w:id="2719" w:name="_Toc482352023"/>
      <w:bookmarkStart w:id="2720" w:name="_Toc482102159"/>
      <w:bookmarkStart w:id="2721" w:name="_Toc482102065"/>
      <w:bookmarkStart w:id="2722" w:name="_Toc482101970"/>
      <w:bookmarkStart w:id="2723" w:name="_Toc482101875"/>
      <w:bookmarkStart w:id="2724" w:name="_Toc482101782"/>
      <w:bookmarkStart w:id="2725" w:name="_Toc482101607"/>
      <w:bookmarkStart w:id="2726" w:name="_Toc482101492"/>
      <w:bookmarkStart w:id="2727" w:name="_Toc482101355"/>
      <w:bookmarkStart w:id="2728" w:name="_Toc482100929"/>
      <w:bookmarkStart w:id="2729" w:name="_Toc482100772"/>
      <w:bookmarkStart w:id="2730" w:name="_Toc482099055"/>
      <w:bookmarkStart w:id="2731" w:name="_Toc482097953"/>
      <w:bookmarkStart w:id="2732" w:name="_Toc482097761"/>
      <w:bookmarkStart w:id="2733" w:name="_Toc482097672"/>
      <w:bookmarkStart w:id="2734" w:name="_Toc482097583"/>
      <w:bookmarkStart w:id="2735" w:name="_Toc482025759"/>
      <w:bookmarkStart w:id="2736" w:name="_Toc485218339"/>
      <w:bookmarkStart w:id="2737" w:name="_Toc484688904"/>
      <w:bookmarkStart w:id="2738" w:name="_Toc484688349"/>
      <w:bookmarkStart w:id="2739" w:name="_Toc484605480"/>
      <w:bookmarkStart w:id="2740" w:name="_Toc484605356"/>
      <w:bookmarkStart w:id="2741" w:name="_Toc484526636"/>
      <w:bookmarkStart w:id="2742" w:name="_Toc484449141"/>
      <w:bookmarkStart w:id="2743" w:name="_Toc484449017"/>
      <w:bookmarkStart w:id="2744" w:name="_Toc484448893"/>
      <w:bookmarkStart w:id="2745" w:name="_Toc484448770"/>
      <w:bookmarkStart w:id="2746" w:name="_Toc484448646"/>
      <w:bookmarkStart w:id="2747" w:name="_Toc484448522"/>
      <w:bookmarkStart w:id="2748" w:name="_Toc484448398"/>
      <w:bookmarkStart w:id="2749" w:name="_Toc484448274"/>
      <w:bookmarkStart w:id="2750" w:name="_Toc484448150"/>
      <w:bookmarkStart w:id="2751" w:name="_Toc484440490"/>
      <w:bookmarkStart w:id="2752" w:name="_Toc484440130"/>
      <w:bookmarkStart w:id="2753" w:name="_Toc484440006"/>
      <w:bookmarkStart w:id="2754" w:name="_Toc484439883"/>
      <w:bookmarkStart w:id="2755" w:name="_Toc484438963"/>
      <w:bookmarkStart w:id="2756" w:name="_Toc484438839"/>
      <w:bookmarkStart w:id="2757" w:name="_Toc484438715"/>
      <w:bookmarkStart w:id="2758" w:name="_Toc484429140"/>
      <w:bookmarkStart w:id="2759" w:name="_Toc484428970"/>
      <w:bookmarkStart w:id="2760" w:name="_Toc484097796"/>
      <w:bookmarkStart w:id="2761" w:name="_Toc484011722"/>
      <w:bookmarkStart w:id="2762" w:name="_Toc484011247"/>
      <w:bookmarkStart w:id="2763" w:name="_Toc484011125"/>
      <w:bookmarkStart w:id="2764" w:name="_Toc484011003"/>
      <w:bookmarkStart w:id="2765" w:name="_Toc484010879"/>
      <w:bookmarkStart w:id="2766" w:name="_Toc484010757"/>
      <w:bookmarkStart w:id="2767" w:name="_Toc483907007"/>
      <w:bookmarkStart w:id="2768" w:name="_Toc483571629"/>
      <w:bookmarkStart w:id="2769" w:name="_Toc483571507"/>
      <w:bookmarkStart w:id="2770" w:name="_Toc483474076"/>
      <w:bookmarkStart w:id="2771" w:name="_Toc483401280"/>
      <w:bookmarkStart w:id="2772" w:name="_Toc483325802"/>
      <w:bookmarkStart w:id="2773" w:name="_Toc483316499"/>
      <w:bookmarkStart w:id="2774" w:name="_Toc483316368"/>
      <w:bookmarkStart w:id="2775" w:name="_Toc483316236"/>
      <w:bookmarkStart w:id="2776" w:name="_Toc483316031"/>
      <w:bookmarkStart w:id="2777" w:name="_Toc483302410"/>
      <w:bookmarkStart w:id="2778" w:name="_Toc483233693"/>
      <w:bookmarkStart w:id="2779" w:name="_Toc482979733"/>
      <w:bookmarkStart w:id="2780" w:name="_Toc482979635"/>
      <w:bookmarkStart w:id="2781" w:name="_Toc482979537"/>
      <w:bookmarkStart w:id="2782" w:name="_Toc482979429"/>
      <w:bookmarkStart w:id="2783" w:name="_Toc482979320"/>
      <w:bookmarkStart w:id="2784" w:name="_Toc482979211"/>
      <w:bookmarkStart w:id="2785" w:name="_Toc482979100"/>
      <w:bookmarkStart w:id="2786" w:name="_Toc482978992"/>
      <w:bookmarkStart w:id="2787" w:name="_Toc482978883"/>
      <w:bookmarkStart w:id="2788" w:name="_Toc482959764"/>
      <w:bookmarkStart w:id="2789" w:name="_Toc482959654"/>
      <w:bookmarkStart w:id="2790" w:name="_Toc482959544"/>
      <w:bookmarkStart w:id="2791" w:name="_Toc482712756"/>
      <w:bookmarkStart w:id="2792" w:name="_Toc482641310"/>
      <w:bookmarkStart w:id="2793" w:name="_Toc482633133"/>
      <w:bookmarkStart w:id="2794" w:name="_Toc482352292"/>
      <w:bookmarkStart w:id="2795" w:name="_Toc482352202"/>
      <w:bookmarkStart w:id="2796" w:name="_Toc482352112"/>
      <w:bookmarkStart w:id="2797" w:name="_Toc482352022"/>
      <w:bookmarkStart w:id="2798" w:name="_Toc482102158"/>
      <w:bookmarkStart w:id="2799" w:name="_Toc482102064"/>
      <w:bookmarkStart w:id="2800" w:name="_Toc482101969"/>
      <w:bookmarkStart w:id="2801" w:name="_Toc482101874"/>
      <w:bookmarkStart w:id="2802" w:name="_Toc482101781"/>
      <w:bookmarkStart w:id="2803" w:name="_Toc482101606"/>
      <w:bookmarkStart w:id="2804" w:name="_Toc482101491"/>
      <w:bookmarkStart w:id="2805" w:name="_Toc482101354"/>
      <w:bookmarkStart w:id="2806" w:name="_Toc482100928"/>
      <w:bookmarkStart w:id="2807" w:name="_Toc482100771"/>
      <w:bookmarkStart w:id="2808" w:name="_Toc482099054"/>
      <w:bookmarkStart w:id="2809" w:name="_Toc482097952"/>
      <w:bookmarkStart w:id="2810" w:name="_Toc482097760"/>
      <w:bookmarkStart w:id="2811" w:name="_Toc482097671"/>
      <w:bookmarkStart w:id="2812" w:name="_Toc482097582"/>
      <w:bookmarkStart w:id="2813" w:name="_Toc482025758"/>
      <w:bookmarkStart w:id="2814" w:name="_Toc485218338"/>
      <w:bookmarkStart w:id="2815" w:name="_Toc484688903"/>
      <w:bookmarkStart w:id="2816" w:name="_Toc484688348"/>
      <w:bookmarkStart w:id="2817" w:name="_Toc484605479"/>
      <w:bookmarkStart w:id="2818" w:name="_Toc484605355"/>
      <w:bookmarkStart w:id="2819" w:name="_Toc484526635"/>
      <w:bookmarkStart w:id="2820" w:name="_Toc484449140"/>
      <w:bookmarkStart w:id="2821" w:name="_Toc484449016"/>
      <w:bookmarkStart w:id="2822" w:name="_Toc484448892"/>
      <w:bookmarkStart w:id="2823" w:name="_Toc484448769"/>
      <w:bookmarkStart w:id="2824" w:name="_Toc484448645"/>
      <w:bookmarkStart w:id="2825" w:name="_Toc484448521"/>
      <w:bookmarkStart w:id="2826" w:name="_Toc484448397"/>
      <w:bookmarkStart w:id="2827" w:name="_Toc484448273"/>
      <w:bookmarkStart w:id="2828" w:name="_Toc484448149"/>
      <w:bookmarkStart w:id="2829" w:name="_Toc484440489"/>
      <w:bookmarkStart w:id="2830" w:name="_Toc484440129"/>
      <w:bookmarkStart w:id="2831" w:name="_Toc484440005"/>
      <w:bookmarkStart w:id="2832" w:name="_Toc484439882"/>
      <w:bookmarkStart w:id="2833" w:name="_Toc484438962"/>
      <w:bookmarkStart w:id="2834" w:name="_Toc484438838"/>
      <w:bookmarkStart w:id="2835" w:name="_Toc484438714"/>
      <w:bookmarkStart w:id="2836" w:name="_Toc484429139"/>
      <w:bookmarkStart w:id="2837" w:name="_Toc484428969"/>
      <w:bookmarkStart w:id="2838" w:name="_Toc484097795"/>
      <w:bookmarkStart w:id="2839" w:name="_Toc484011721"/>
      <w:bookmarkStart w:id="2840" w:name="_Toc484011246"/>
      <w:bookmarkStart w:id="2841" w:name="_Toc484011124"/>
      <w:bookmarkStart w:id="2842" w:name="_Toc484011002"/>
      <w:bookmarkStart w:id="2843" w:name="_Toc484010878"/>
      <w:bookmarkStart w:id="2844" w:name="_Toc484010756"/>
      <w:bookmarkStart w:id="2845" w:name="_Toc483907006"/>
      <w:bookmarkStart w:id="2846" w:name="_Toc483571628"/>
      <w:bookmarkStart w:id="2847" w:name="_Toc483571506"/>
      <w:bookmarkStart w:id="2848" w:name="_Toc483474075"/>
      <w:bookmarkStart w:id="2849" w:name="_Toc483401279"/>
      <w:bookmarkStart w:id="2850" w:name="_Toc483325801"/>
      <w:bookmarkStart w:id="2851" w:name="_Toc483316498"/>
      <w:bookmarkStart w:id="2852" w:name="_Toc483316367"/>
      <w:bookmarkStart w:id="2853" w:name="_Toc483316235"/>
      <w:bookmarkStart w:id="2854" w:name="_Toc483316030"/>
      <w:bookmarkStart w:id="2855" w:name="_Toc483302409"/>
      <w:bookmarkStart w:id="2856" w:name="_Toc483233692"/>
      <w:bookmarkStart w:id="2857" w:name="_Toc482979732"/>
      <w:bookmarkStart w:id="2858" w:name="_Toc482979634"/>
      <w:bookmarkStart w:id="2859" w:name="_Toc482979536"/>
      <w:bookmarkStart w:id="2860" w:name="_Toc482979428"/>
      <w:bookmarkStart w:id="2861" w:name="_Toc482979319"/>
      <w:bookmarkStart w:id="2862" w:name="_Toc482979210"/>
      <w:bookmarkStart w:id="2863" w:name="_Toc482979099"/>
      <w:bookmarkStart w:id="2864" w:name="_Toc482978991"/>
      <w:bookmarkStart w:id="2865" w:name="_Toc482978882"/>
      <w:bookmarkStart w:id="2866" w:name="_Toc482959763"/>
      <w:bookmarkStart w:id="2867" w:name="_Toc482959653"/>
      <w:bookmarkStart w:id="2868" w:name="_Toc482959543"/>
      <w:bookmarkStart w:id="2869" w:name="_Toc482712755"/>
      <w:bookmarkStart w:id="2870" w:name="_Toc482641309"/>
      <w:bookmarkStart w:id="2871" w:name="_Toc482633132"/>
      <w:bookmarkStart w:id="2872" w:name="_Toc482352291"/>
      <w:bookmarkStart w:id="2873" w:name="_Toc482352201"/>
      <w:bookmarkStart w:id="2874" w:name="_Toc482352111"/>
      <w:bookmarkStart w:id="2875" w:name="_Toc482352021"/>
      <w:bookmarkStart w:id="2876" w:name="_Toc482102157"/>
      <w:bookmarkStart w:id="2877" w:name="_Toc482102063"/>
      <w:bookmarkStart w:id="2878" w:name="_Toc482101968"/>
      <w:bookmarkStart w:id="2879" w:name="_Toc482101873"/>
      <w:bookmarkStart w:id="2880" w:name="_Toc482101780"/>
      <w:bookmarkStart w:id="2881" w:name="_Toc482101605"/>
      <w:bookmarkStart w:id="2882" w:name="_Toc482101490"/>
      <w:bookmarkStart w:id="2883" w:name="_Toc482101353"/>
      <w:bookmarkStart w:id="2884" w:name="_Toc482100927"/>
      <w:bookmarkStart w:id="2885" w:name="_Toc482100770"/>
      <w:bookmarkStart w:id="2886" w:name="_Toc482099053"/>
      <w:bookmarkStart w:id="2887" w:name="_Toc482097951"/>
      <w:bookmarkStart w:id="2888" w:name="_Toc482097759"/>
      <w:bookmarkStart w:id="2889" w:name="_Toc482097670"/>
      <w:bookmarkStart w:id="2890" w:name="_Toc482097581"/>
      <w:bookmarkStart w:id="2891" w:name="_Toc482025757"/>
      <w:bookmarkStart w:id="2892" w:name="_Toc485218337"/>
      <w:bookmarkStart w:id="2893" w:name="_Toc484688902"/>
      <w:bookmarkStart w:id="2894" w:name="_Toc484688347"/>
      <w:bookmarkStart w:id="2895" w:name="_Toc484605478"/>
      <w:bookmarkStart w:id="2896" w:name="_Toc484605354"/>
      <w:bookmarkStart w:id="2897" w:name="_Toc484526634"/>
      <w:bookmarkStart w:id="2898" w:name="_Toc484449139"/>
      <w:bookmarkStart w:id="2899" w:name="_Toc484449015"/>
      <w:bookmarkStart w:id="2900" w:name="_Toc484448891"/>
      <w:bookmarkStart w:id="2901" w:name="_Toc484448768"/>
      <w:bookmarkStart w:id="2902" w:name="_Toc484448644"/>
      <w:bookmarkStart w:id="2903" w:name="_Toc484448520"/>
      <w:bookmarkStart w:id="2904" w:name="_Toc484448396"/>
      <w:bookmarkStart w:id="2905" w:name="_Toc484448272"/>
      <w:bookmarkStart w:id="2906" w:name="_Toc484448148"/>
      <w:bookmarkStart w:id="2907" w:name="_Toc484440488"/>
      <w:bookmarkStart w:id="2908" w:name="_Toc484440128"/>
      <w:bookmarkStart w:id="2909" w:name="_Toc484440004"/>
      <w:bookmarkStart w:id="2910" w:name="_Toc484439881"/>
      <w:bookmarkStart w:id="2911" w:name="_Toc484438961"/>
      <w:bookmarkStart w:id="2912" w:name="_Toc484438837"/>
      <w:bookmarkStart w:id="2913" w:name="_Toc484438713"/>
      <w:bookmarkStart w:id="2914" w:name="_Toc484429138"/>
      <w:bookmarkStart w:id="2915" w:name="_Toc484428968"/>
      <w:bookmarkStart w:id="2916" w:name="_Toc484097794"/>
      <w:bookmarkStart w:id="2917" w:name="_Toc484011720"/>
      <w:bookmarkStart w:id="2918" w:name="_Toc484011245"/>
      <w:bookmarkStart w:id="2919" w:name="_Toc484011123"/>
      <w:bookmarkStart w:id="2920" w:name="_Toc484011001"/>
      <w:bookmarkStart w:id="2921" w:name="_Toc484010877"/>
      <w:bookmarkStart w:id="2922" w:name="_Toc484010755"/>
      <w:bookmarkStart w:id="2923" w:name="_Toc483907005"/>
      <w:bookmarkStart w:id="2924" w:name="_Toc483571627"/>
      <w:bookmarkStart w:id="2925" w:name="_Toc483571505"/>
      <w:bookmarkStart w:id="2926" w:name="_Toc483474074"/>
      <w:bookmarkStart w:id="2927" w:name="_Toc483401278"/>
      <w:bookmarkStart w:id="2928" w:name="_Toc483325800"/>
      <w:bookmarkStart w:id="2929" w:name="_Toc483316497"/>
      <w:bookmarkStart w:id="2930" w:name="_Toc483316366"/>
      <w:bookmarkStart w:id="2931" w:name="_Toc483316234"/>
      <w:bookmarkStart w:id="2932" w:name="_Toc483316029"/>
      <w:bookmarkStart w:id="2933" w:name="_Toc483302408"/>
      <w:bookmarkStart w:id="2934" w:name="_Toc483233691"/>
      <w:bookmarkStart w:id="2935" w:name="_Toc482979731"/>
      <w:bookmarkStart w:id="2936" w:name="_Toc482979633"/>
      <w:bookmarkStart w:id="2937" w:name="_Toc482979535"/>
      <w:bookmarkStart w:id="2938" w:name="_Toc482979427"/>
      <w:bookmarkStart w:id="2939" w:name="_Toc482979318"/>
      <w:bookmarkStart w:id="2940" w:name="_Toc482979209"/>
      <w:bookmarkStart w:id="2941" w:name="_Toc482979098"/>
      <w:bookmarkStart w:id="2942" w:name="_Toc482978990"/>
      <w:bookmarkStart w:id="2943" w:name="_Toc482978881"/>
      <w:bookmarkStart w:id="2944" w:name="_Toc482959762"/>
      <w:bookmarkStart w:id="2945" w:name="_Toc482959652"/>
      <w:bookmarkStart w:id="2946" w:name="_Toc482959542"/>
      <w:bookmarkStart w:id="2947" w:name="_Toc482712754"/>
      <w:bookmarkStart w:id="2948" w:name="_Toc482641308"/>
      <w:bookmarkStart w:id="2949" w:name="_Toc482633131"/>
      <w:bookmarkStart w:id="2950" w:name="_Toc482352290"/>
      <w:bookmarkStart w:id="2951" w:name="_Toc482352200"/>
      <w:bookmarkStart w:id="2952" w:name="_Toc482352110"/>
      <w:bookmarkStart w:id="2953" w:name="_Toc482352020"/>
      <w:bookmarkStart w:id="2954" w:name="_Toc482102156"/>
      <w:bookmarkStart w:id="2955" w:name="_Toc482102062"/>
      <w:bookmarkStart w:id="2956" w:name="_Toc482101967"/>
      <w:bookmarkStart w:id="2957" w:name="_Toc482101872"/>
      <w:bookmarkStart w:id="2958" w:name="_Toc482101779"/>
      <w:bookmarkStart w:id="2959" w:name="_Toc482101604"/>
      <w:bookmarkStart w:id="2960" w:name="_Toc482101489"/>
      <w:bookmarkStart w:id="2961" w:name="_Toc482101352"/>
      <w:bookmarkStart w:id="2962" w:name="_Toc482100926"/>
      <w:bookmarkStart w:id="2963" w:name="_Toc482100769"/>
      <w:bookmarkStart w:id="2964" w:name="_Toc482099052"/>
      <w:bookmarkStart w:id="2965" w:name="_Toc482097950"/>
      <w:bookmarkStart w:id="2966" w:name="_Toc482097758"/>
      <w:bookmarkStart w:id="2967" w:name="_Toc482097669"/>
      <w:bookmarkStart w:id="2968" w:name="_Toc482097580"/>
      <w:bookmarkStart w:id="2969" w:name="_Toc482025756"/>
      <w:bookmarkStart w:id="2970" w:name="_Toc485218348"/>
      <w:bookmarkStart w:id="2971" w:name="_Toc484688913"/>
      <w:bookmarkStart w:id="2972" w:name="_Ref498613645"/>
      <w:bookmarkStart w:id="2973" w:name="_Toc22308750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r w:rsidRPr="00AF481C">
        <w:t>AGGIUDICAZIONE DELL’APPALTO E STIPULA DEL CONTRATTO</w:t>
      </w:r>
      <w:bookmarkStart w:id="2974" w:name="_Ref531265966"/>
      <w:bookmarkEnd w:id="2972"/>
      <w:bookmarkEnd w:id="2973"/>
      <w:bookmarkEnd w:id="2974"/>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proposta di aggiudicazione è formulata in favore del concorrente che ha presentato la migliore offerta. </w:t>
      </w:r>
    </w:p>
    <w:p w:rsidR="00AE28AD" w:rsidRPr="00AF481C" w:rsidRDefault="00AE28AD" w:rsidP="00AE28AD">
      <w:pPr>
        <w:rPr>
          <w:rFonts w:ascii="Titillium" w:hAnsi="Titillium" w:cs="Calibri"/>
          <w:sz w:val="18"/>
          <w:szCs w:val="18"/>
        </w:rPr>
      </w:pPr>
      <w:r w:rsidRPr="00AF481C">
        <w:rPr>
          <w:rFonts w:ascii="Titillium" w:hAnsi="Titillium" w:cs="Calibri"/>
          <w:sz w:val="18"/>
          <w:szCs w:val="18"/>
        </w:rPr>
        <w:t>Qualora nessuna offerta risulti conveniente o idonea in relazione all’oggetto del contratto, la stazione appaltante può decidere, entro 30 giorni dalla conclusione delle valutazioni delle offerte, di non procedere all’aggiudicazione.</w:t>
      </w:r>
    </w:p>
    <w:p w:rsidR="00DF4912" w:rsidRPr="00AF481C" w:rsidRDefault="00DF4912" w:rsidP="00AE28AD">
      <w:pPr>
        <w:rPr>
          <w:rFonts w:ascii="Titillium" w:hAnsi="Titillium" w:cs="Calibri"/>
          <w:sz w:val="18"/>
          <w:szCs w:val="18"/>
        </w:rPr>
      </w:pPr>
    </w:p>
    <w:p w:rsidR="001306FE" w:rsidRPr="00AF481C" w:rsidRDefault="001306FE" w:rsidP="00AE28AD">
      <w:pPr>
        <w:rPr>
          <w:rFonts w:ascii="Titillium" w:hAnsi="Titillium" w:cs="Calibri"/>
          <w:bCs/>
          <w:iCs/>
          <w:sz w:val="18"/>
          <w:szCs w:val="18"/>
        </w:rPr>
      </w:pPr>
      <w:r w:rsidRPr="00AF481C">
        <w:rPr>
          <w:rFonts w:ascii="Titillium" w:hAnsi="Titillium" w:cs="Calibri"/>
          <w:bCs/>
          <w:iCs/>
          <w:sz w:val="18"/>
          <w:szCs w:val="18"/>
        </w:rPr>
        <w:t xml:space="preserve">La stazione appaltante si riserva di procedere all’aggiudicazione anche in caso di presentazione di una sola offerta. </w:t>
      </w:r>
    </w:p>
    <w:p w:rsidR="00AE28AD" w:rsidRPr="00AF481C" w:rsidRDefault="00AE28AD" w:rsidP="00AE28AD">
      <w:pPr>
        <w:spacing w:before="60" w:after="60"/>
      </w:pPr>
      <w:r w:rsidRPr="00AF481C">
        <w:rPr>
          <w:rFonts w:ascii="Titillium" w:hAnsi="Titillium" w:cs="Calibri"/>
          <w:sz w:val="18"/>
          <w:szCs w:val="18"/>
        </w:rPr>
        <w:t>Non si procede all’aggiudicazione dell’appalto all’offerente che ha presentato l’offerta economicamente più vantaggiosa qualora venga accertato che tale offerta non soddisfa gli obblighi in materia ambientale, sociale e del lavoro stabiliti dalla normativa europea e nazionale, dai contratti collettivi o dalle disposizioni internazionali elencate nell’allegato X della direttiva 2014/24/UE.</w:t>
      </w:r>
    </w:p>
    <w:p w:rsidR="00AE28AD" w:rsidRPr="00AF481C" w:rsidRDefault="00AE28AD" w:rsidP="002B134F">
      <w:pPr>
        <w:pStyle w:val="Corpodeltesto"/>
        <w:tabs>
          <w:tab w:val="left" w:pos="9639"/>
        </w:tabs>
        <w:spacing w:line="276" w:lineRule="auto"/>
        <w:rPr>
          <w:rFonts w:ascii="Arial Narrow" w:hAnsi="Arial Narrow" w:cs="Arial"/>
          <w:sz w:val="22"/>
          <w:szCs w:val="22"/>
        </w:rPr>
      </w:pPr>
      <w:r w:rsidRPr="00AF481C">
        <w:rPr>
          <w:rFonts w:ascii="Titillium" w:hAnsi="Titillium" w:cs="Calibri"/>
          <w:sz w:val="18"/>
          <w:szCs w:val="18"/>
        </w:rPr>
        <w:t>Il RUP</w:t>
      </w:r>
      <w:r w:rsidR="007A154B">
        <w:rPr>
          <w:rFonts w:ascii="Titillium" w:hAnsi="Titillium" w:cs="Calibri"/>
          <w:sz w:val="18"/>
          <w:szCs w:val="18"/>
        </w:rPr>
        <w:t>A</w:t>
      </w:r>
      <w:r w:rsidRPr="00AF481C">
        <w:rPr>
          <w:rFonts w:ascii="Titillium" w:hAnsi="Titillium" w:cs="Calibri"/>
          <w:sz w:val="18"/>
          <w:szCs w:val="18"/>
        </w:rPr>
        <w:t xml:space="preserve"> procede, laddove non effettuata in sede di verifica di congruità dell’offerta, a verificare, ai sensi dell’</w:t>
      </w:r>
      <w:r w:rsidR="00B457BB" w:rsidRPr="00AF481C">
        <w:rPr>
          <w:rFonts w:ascii="Titillium" w:hAnsi="Titillium" w:cs="Calibri"/>
          <w:sz w:val="18"/>
          <w:szCs w:val="18"/>
        </w:rPr>
        <w:t>Allegato</w:t>
      </w:r>
      <w:r w:rsidRPr="00AF481C">
        <w:rPr>
          <w:rFonts w:ascii="Titillium" w:hAnsi="Titillium" w:cs="Calibri"/>
          <w:sz w:val="18"/>
          <w:szCs w:val="18"/>
        </w:rPr>
        <w:t xml:space="preserve"> I.01</w:t>
      </w:r>
      <w:r w:rsidR="00B457BB" w:rsidRPr="00AF481C">
        <w:rPr>
          <w:rFonts w:ascii="Titillium" w:hAnsi="Titillium" w:cs="Calibri"/>
          <w:sz w:val="18"/>
          <w:szCs w:val="18"/>
        </w:rPr>
        <w:t xml:space="preserve"> del Codice</w:t>
      </w:r>
      <w:r w:rsidRPr="00AF481C">
        <w:rPr>
          <w:rFonts w:ascii="Titillium" w:hAnsi="Titillium" w:cs="Calibri"/>
          <w:sz w:val="18"/>
          <w:szCs w:val="18"/>
        </w:rPr>
        <w:t>:</w:t>
      </w:r>
    </w:p>
    <w:p w:rsidR="00AE28AD" w:rsidRPr="00AF481C" w:rsidRDefault="00AE28AD" w:rsidP="00BE4F13">
      <w:pPr>
        <w:pStyle w:val="Paragrafoelenco"/>
        <w:numPr>
          <w:ilvl w:val="0"/>
          <w:numId w:val="48"/>
        </w:numPr>
        <w:spacing w:before="60" w:after="60"/>
        <w:ind w:left="426"/>
        <w:rPr>
          <w:rFonts w:ascii="Titillium" w:hAnsi="Titillium" w:cs="Calibri"/>
          <w:sz w:val="18"/>
          <w:szCs w:val="18"/>
        </w:rPr>
      </w:pPr>
      <w:r w:rsidRPr="00AF481C">
        <w:rPr>
          <w:rFonts w:ascii="Titillium" w:hAnsi="Titillium" w:cs="Calibri"/>
          <w:sz w:val="18"/>
          <w:szCs w:val="18"/>
        </w:rPr>
        <w:t>l’equivalenza delle tutele nel caso in cui l’aggiudicatario abbia dichiarato di applicare un diverso contratto collettivo nazionale rispetto a quello</w:t>
      </w:r>
      <w:r w:rsidR="002B134F" w:rsidRPr="00AF481C">
        <w:rPr>
          <w:rFonts w:ascii="Titillium" w:hAnsi="Titillium" w:cs="Calibri"/>
          <w:sz w:val="18"/>
          <w:szCs w:val="18"/>
        </w:rPr>
        <w:t>/i</w:t>
      </w:r>
      <w:r w:rsidRPr="00AF481C">
        <w:rPr>
          <w:rFonts w:ascii="Titillium" w:hAnsi="Titillium" w:cs="Calibri"/>
          <w:sz w:val="18"/>
          <w:szCs w:val="18"/>
        </w:rPr>
        <w:t xml:space="preserve"> indicato</w:t>
      </w:r>
      <w:r w:rsidR="002B134F" w:rsidRPr="00AF481C">
        <w:rPr>
          <w:rFonts w:ascii="Titillium" w:hAnsi="Titillium" w:cs="Calibri"/>
          <w:sz w:val="18"/>
          <w:szCs w:val="18"/>
        </w:rPr>
        <w:t xml:space="preserve">/i </w:t>
      </w:r>
      <w:r w:rsidRPr="00AF481C">
        <w:rPr>
          <w:rFonts w:ascii="Titillium" w:hAnsi="Titillium" w:cs="Calibri"/>
          <w:sz w:val="18"/>
          <w:szCs w:val="18"/>
        </w:rPr>
        <w:t>dalla stazione appaltante e il rispetto di quanto indicato nella clausola sociale per l’applicazione de</w:t>
      </w:r>
      <w:r w:rsidR="009500AC" w:rsidRPr="00AF481C">
        <w:rPr>
          <w:rFonts w:ascii="Titillium" w:hAnsi="Titillium" w:cs="Calibri"/>
          <w:sz w:val="18"/>
          <w:szCs w:val="18"/>
        </w:rPr>
        <w:t xml:space="preserve">i </w:t>
      </w:r>
      <w:r w:rsidRPr="00AF481C">
        <w:rPr>
          <w:rFonts w:ascii="Titillium" w:hAnsi="Titillium" w:cs="Calibri"/>
          <w:sz w:val="18"/>
          <w:szCs w:val="18"/>
        </w:rPr>
        <w:t>contratti collettivi nazionali e territoriali di cui al p</w:t>
      </w:r>
      <w:r w:rsidR="009500AC" w:rsidRPr="00AF481C">
        <w:rPr>
          <w:rFonts w:ascii="Titillium" w:hAnsi="Titillium" w:cs="Calibri"/>
          <w:sz w:val="18"/>
          <w:szCs w:val="18"/>
        </w:rPr>
        <w:t xml:space="preserve">aragrafo </w:t>
      </w:r>
      <w:fldSimple w:instr=" REF _Ref132050689 \r \h  \* MERGEFORMAT ">
        <w:r w:rsidR="00CA44F6">
          <w:t>9</w:t>
        </w:r>
      </w:fldSimple>
      <w:r w:rsidRPr="00AF481C">
        <w:rPr>
          <w:rFonts w:ascii="Titillium" w:hAnsi="Titillium" w:cs="Calibri"/>
          <w:sz w:val="18"/>
          <w:szCs w:val="18"/>
        </w:rPr>
        <w:t xml:space="preserve"> ;</w:t>
      </w:r>
    </w:p>
    <w:p w:rsidR="00AE28AD" w:rsidRPr="00415A07" w:rsidRDefault="00AE28AD" w:rsidP="00BE4F13">
      <w:pPr>
        <w:pStyle w:val="Paragrafoelenco"/>
        <w:numPr>
          <w:ilvl w:val="0"/>
          <w:numId w:val="48"/>
        </w:numPr>
        <w:spacing w:before="60" w:after="60"/>
        <w:ind w:left="426"/>
      </w:pPr>
      <w:r w:rsidRPr="00415A07">
        <w:rPr>
          <w:rFonts w:ascii="Titillium" w:hAnsi="Titillium" w:cs="Calibri"/>
          <w:sz w:val="18"/>
          <w:szCs w:val="18"/>
        </w:rPr>
        <w:t>l’attendibilità degli impegni assunti dall’appaltatore in relazione a quanto richiesto dal p</w:t>
      </w:r>
      <w:r w:rsidR="00B373AC" w:rsidRPr="00415A07">
        <w:rPr>
          <w:rFonts w:ascii="Titillium" w:hAnsi="Titillium" w:cs="Calibri"/>
          <w:sz w:val="18"/>
          <w:szCs w:val="18"/>
        </w:rPr>
        <w:t xml:space="preserve">aragrafo 9 </w:t>
      </w:r>
      <w:r w:rsidRPr="00415A07">
        <w:rPr>
          <w:rFonts w:ascii="Titillium" w:hAnsi="Titillium" w:cs="Calibri"/>
          <w:sz w:val="18"/>
          <w:szCs w:val="18"/>
        </w:rPr>
        <w:t>e riguardante la stabilità occupazionale</w:t>
      </w:r>
      <w:r w:rsidR="007D2E10">
        <w:rPr>
          <w:rFonts w:ascii="Titillium" w:hAnsi="Titillium" w:cs="Calibri"/>
          <w:sz w:val="18"/>
          <w:szCs w:val="18"/>
        </w:rPr>
        <w:t xml:space="preserve"> </w:t>
      </w:r>
      <w:r w:rsidRPr="00415A07">
        <w:rPr>
          <w:rFonts w:ascii="Titillium" w:hAnsi="Titillium" w:cs="Calibri"/>
          <w:sz w:val="18"/>
          <w:szCs w:val="18"/>
        </w:rPr>
        <w:t>e le pari opportunità generazionali, di genere e di inclusione lavorativa per le persone con disabilità o svantaggiate.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L’aggiudicazione è disposta all’esito positivo della verifica del possesso dei requisiti prescritti dal presente disciplinare ed è immediatamente efficace. </w:t>
      </w:r>
    </w:p>
    <w:p w:rsidR="00E65B34" w:rsidRPr="00AF481C" w:rsidRDefault="00E65B34" w:rsidP="00213B50">
      <w:pPr>
        <w:pStyle w:val="Paragrafoelenco"/>
        <w:ind w:left="0"/>
        <w:rPr>
          <w:rFonts w:ascii="Titillium" w:eastAsia="SimSun" w:hAnsi="Titillium"/>
          <w:sz w:val="18"/>
          <w:szCs w:val="18"/>
        </w:rPr>
      </w:pPr>
      <w:r w:rsidRPr="00AF481C">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rsidR="00AE28AD" w:rsidRPr="00AF481C" w:rsidRDefault="00E65B34" w:rsidP="00AE28AD">
      <w:pPr>
        <w:pStyle w:val="Corpodeltesto"/>
        <w:tabs>
          <w:tab w:val="left" w:pos="9639"/>
        </w:tabs>
        <w:spacing w:line="276" w:lineRule="auto"/>
        <w:rPr>
          <w:rFonts w:ascii="Titillium" w:hAnsi="Titillium" w:cs="Calibri"/>
          <w:sz w:val="18"/>
          <w:szCs w:val="18"/>
        </w:rPr>
      </w:pPr>
      <w:r w:rsidRPr="00AF481C">
        <w:rPr>
          <w:rFonts w:ascii="Titillium" w:hAnsi="Titillium" w:cs="Calibri"/>
          <w:sz w:val="18"/>
          <w:szCs w:val="18"/>
        </w:rPr>
        <w:t xml:space="preserve">La verifica è effettuata tramite il FVOE. </w:t>
      </w:r>
      <w:r w:rsidR="00AE28AD" w:rsidRPr="00AF481C">
        <w:rPr>
          <w:rFonts w:ascii="Titillium" w:hAnsi="Titillium" w:cs="Calibri"/>
          <w:sz w:val="18"/>
          <w:szCs w:val="18"/>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rsidR="00AE28AD" w:rsidRPr="00AF481C" w:rsidRDefault="00AE28AD" w:rsidP="00AE28AD">
      <w:pPr>
        <w:pStyle w:val="Corpodeltesto"/>
        <w:tabs>
          <w:tab w:val="left" w:pos="9639"/>
        </w:tabs>
        <w:spacing w:line="276" w:lineRule="auto"/>
        <w:rPr>
          <w:rFonts w:ascii="Titillium" w:hAnsi="Titillium" w:cs="Calibri"/>
          <w:sz w:val="18"/>
          <w:szCs w:val="18"/>
        </w:rPr>
      </w:pPr>
      <w:r w:rsidRPr="00AF481C">
        <w:rPr>
          <w:rFonts w:ascii="Titillium" w:hAnsi="Titillium" w:cs="Calibri"/>
          <w:sz w:val="18"/>
          <w:szCs w:val="18"/>
        </w:rPr>
        <w:lastRenderedPageBreak/>
        <w:t xml:space="preserve">Per le certificazioni che, allo stato, non sono ancora verificabili tramite il fascicolo virtuale dell’operatore economico, la stazione appaltante procede direttamente alla verifica presso gli Enti certificatori e, </w:t>
      </w:r>
      <w:bookmarkStart w:id="2975" w:name="_Hlk194056818"/>
      <w:r w:rsidRPr="00AF481C">
        <w:rPr>
          <w:rFonts w:ascii="Titillium" w:hAnsi="Titillium" w:cs="Calibri"/>
          <w:sz w:val="18"/>
          <w:szCs w:val="18"/>
        </w:rPr>
        <w:t xml:space="preserve">decorsi inutilmente 30 giorni dalla </w:t>
      </w:r>
      <w:r w:rsidR="00D05E74" w:rsidRPr="00AF481C">
        <w:rPr>
          <w:rFonts w:ascii="Titillium" w:hAnsi="Titillium" w:cs="Calibri"/>
          <w:sz w:val="18"/>
          <w:szCs w:val="18"/>
        </w:rPr>
        <w:t xml:space="preserve">richiesta, </w:t>
      </w:r>
      <w:r w:rsidRPr="00AF481C">
        <w:rPr>
          <w:rFonts w:ascii="Titillium" w:hAnsi="Titillium" w:cs="Calibri"/>
          <w:sz w:val="18"/>
          <w:szCs w:val="18"/>
        </w:rPr>
        <w:t>si riserva di aggiudicare previa acquisizione di un’autocertificazione dall’operatore economico</w:t>
      </w:r>
      <w:bookmarkEnd w:id="2975"/>
      <w:r w:rsidRPr="00AF481C">
        <w:rPr>
          <w:rFonts w:ascii="Titillium" w:hAnsi="Titillium" w:cs="Calibri"/>
          <w:sz w:val="18"/>
          <w:szCs w:val="18"/>
        </w:rPr>
        <w:t xml:space="preserve">, resa ai sensi del d.P.R. 28 dicembre 2000, n. 445, che attesti il possesso dei requisiti e l’assenza delle cause di esclusione che non è stato possibile verificare. </w:t>
      </w:r>
    </w:p>
    <w:p w:rsidR="0060070F" w:rsidRPr="00AF481C" w:rsidRDefault="0060070F" w:rsidP="0060070F">
      <w:pPr>
        <w:spacing w:before="60" w:after="60"/>
      </w:pPr>
    </w:p>
    <w:tbl>
      <w:tblPr>
        <w:tblStyle w:val="Grigliatabella"/>
        <w:tblW w:w="0" w:type="auto"/>
        <w:tblLook w:val="04A0"/>
      </w:tblPr>
      <w:tblGrid>
        <w:gridCol w:w="9214"/>
      </w:tblGrid>
      <w:tr w:rsidR="0060070F" w:rsidRPr="00AF481C" w:rsidTr="004F46A4">
        <w:tc>
          <w:tcPr>
            <w:tcW w:w="9214" w:type="dxa"/>
          </w:tcPr>
          <w:p w:rsidR="0060070F" w:rsidRPr="00AF481C" w:rsidRDefault="0060070F" w:rsidP="004F46A4">
            <w:pPr>
              <w:rPr>
                <w:rFonts w:ascii="Titillium" w:hAnsi="Titillium" w:cs="Calibri"/>
                <w:color w:val="156082" w:themeColor="accent1"/>
                <w:sz w:val="18"/>
                <w:szCs w:val="18"/>
              </w:rPr>
            </w:pPr>
            <w:r w:rsidRPr="00AF481C">
              <w:rPr>
                <w:rFonts w:ascii="Titillium" w:hAnsi="Titillium" w:cs="Calibri"/>
                <w:sz w:val="18"/>
                <w:szCs w:val="18"/>
              </w:rPr>
              <w:t>N.B. La</w:t>
            </w:r>
            <w:r w:rsidR="0099151E" w:rsidRPr="00AF481C">
              <w:rPr>
                <w:rFonts w:ascii="Titillium" w:hAnsi="Titillium" w:cs="Calibri"/>
                <w:sz w:val="18"/>
                <w:szCs w:val="18"/>
              </w:rPr>
              <w:t xml:space="preserve"> l</w:t>
            </w:r>
            <w:r w:rsidRPr="00AF481C">
              <w:rPr>
                <w:rFonts w:ascii="Titillium" w:hAnsi="Titillium" w:cs="Calibri"/>
                <w:sz w:val="18"/>
                <w:szCs w:val="18"/>
              </w:rPr>
              <w:t>ista dei requisiti non ancora verificabili tramite FVOE è allegata al Co</w:t>
            </w:r>
            <w:r w:rsidR="0099151E" w:rsidRPr="00AF481C">
              <w:rPr>
                <w:rFonts w:ascii="Titillium" w:hAnsi="Titillium" w:cs="Calibri"/>
                <w:sz w:val="18"/>
                <w:szCs w:val="18"/>
              </w:rPr>
              <w:t>m</w:t>
            </w:r>
            <w:r w:rsidRPr="00AF481C">
              <w:rPr>
                <w:rFonts w:ascii="Titillium" w:hAnsi="Titillium" w:cs="Calibri"/>
                <w:sz w:val="18"/>
                <w:szCs w:val="18"/>
              </w:rPr>
              <w:t>unicato del Presidente</w:t>
            </w:r>
            <w:r w:rsidR="00B373AC" w:rsidRPr="00AF481C">
              <w:rPr>
                <w:rFonts w:ascii="Titillium" w:hAnsi="Titillium" w:cs="Calibri"/>
                <w:sz w:val="18"/>
                <w:szCs w:val="18"/>
              </w:rPr>
              <w:t xml:space="preserve"> del 16 aprile 2025 </w:t>
            </w:r>
            <w:r w:rsidRPr="00AF481C">
              <w:rPr>
                <w:rFonts w:ascii="Titillium" w:hAnsi="Titillium" w:cs="Calibri"/>
                <w:sz w:val="18"/>
                <w:szCs w:val="18"/>
              </w:rPr>
              <w:t xml:space="preserve"> ed è consultabile sul sito dell’Anac al seguente link</w:t>
            </w:r>
            <w:r w:rsidR="00B373AC" w:rsidRPr="00AF481C">
              <w:rPr>
                <w:rFonts w:ascii="Titillium" w:hAnsi="Titillium" w:cs="Calibri"/>
                <w:sz w:val="18"/>
                <w:szCs w:val="18"/>
              </w:rPr>
              <w:t xml:space="preserve">: </w:t>
            </w:r>
            <w:hyperlink r:id="rId21" w:history="1">
              <w:r w:rsidR="00B373AC" w:rsidRPr="00AF481C">
                <w:rPr>
                  <w:rStyle w:val="Collegamentoipertestuale"/>
                  <w:rFonts w:ascii="Titillium" w:hAnsi="Titillium" w:cs="Calibri"/>
                  <w:sz w:val="18"/>
                  <w:szCs w:val="18"/>
                </w:rPr>
                <w:t>https://www.anticorruzione.it/en/-/comunicato-del-presidente-del-16-aprile-2025-fvoe</w:t>
              </w:r>
            </w:hyperlink>
            <w:r w:rsidR="00B373AC" w:rsidRPr="00AF481C">
              <w:rPr>
                <w:rFonts w:ascii="Titillium" w:hAnsi="Titillium" w:cs="Calibri"/>
                <w:sz w:val="18"/>
                <w:szCs w:val="18"/>
              </w:rPr>
              <w:t xml:space="preserve">. </w:t>
            </w:r>
            <w:r w:rsidRPr="00AF481C">
              <w:rPr>
                <w:rFonts w:ascii="Titillium" w:hAnsi="Titillium" w:cs="Calibri"/>
                <w:sz w:val="18"/>
                <w:szCs w:val="18"/>
              </w:rPr>
              <w:t xml:space="preserve">La lista viene aggiornata </w:t>
            </w:r>
            <w:r w:rsidR="00A73519" w:rsidRPr="00AF481C">
              <w:rPr>
                <w:rFonts w:ascii="Titillium" w:hAnsi="Titillium" w:cs="Calibri"/>
                <w:sz w:val="18"/>
                <w:szCs w:val="18"/>
              </w:rPr>
              <w:t>a mano</w:t>
            </w:r>
            <w:r w:rsidRPr="00AF481C">
              <w:rPr>
                <w:rFonts w:ascii="Titillium" w:hAnsi="Titillium" w:cs="Calibri"/>
                <w:sz w:val="18"/>
                <w:szCs w:val="18"/>
              </w:rPr>
              <w:t xml:space="preserve"> a mano che vengono attivati nuovi collegamenti </w:t>
            </w:r>
            <w:r w:rsidR="0099151E" w:rsidRPr="00AF481C">
              <w:rPr>
                <w:rFonts w:ascii="Titillium" w:hAnsi="Titillium" w:cs="Calibri"/>
                <w:sz w:val="18"/>
                <w:szCs w:val="18"/>
              </w:rPr>
              <w:t>in regime di interoperabilità con gli enti certificatori.</w:t>
            </w:r>
          </w:p>
        </w:tc>
      </w:tr>
    </w:tbl>
    <w:p w:rsidR="0060070F" w:rsidRPr="00AF481C" w:rsidRDefault="0060070F" w:rsidP="00AE28AD">
      <w:pPr>
        <w:pStyle w:val="Corpodeltesto"/>
        <w:tabs>
          <w:tab w:val="left" w:pos="9639"/>
        </w:tabs>
        <w:spacing w:line="276" w:lineRule="auto"/>
        <w:rPr>
          <w:rFonts w:ascii="Titillium" w:hAnsi="Titillium" w:cs="Calibri"/>
          <w:sz w:val="18"/>
          <w:szCs w:val="18"/>
        </w:rPr>
      </w:pPr>
    </w:p>
    <w:tbl>
      <w:tblPr>
        <w:tblStyle w:val="Grigliatabella"/>
        <w:tblW w:w="0" w:type="auto"/>
        <w:tblLook w:val="04A0"/>
      </w:tblPr>
      <w:tblGrid>
        <w:gridCol w:w="9214"/>
      </w:tblGrid>
      <w:tr w:rsidR="0099151E" w:rsidRPr="00AF481C" w:rsidTr="004F46A4">
        <w:tc>
          <w:tcPr>
            <w:tcW w:w="9214" w:type="dxa"/>
          </w:tcPr>
          <w:p w:rsidR="0099151E" w:rsidRPr="00AF481C" w:rsidRDefault="0099151E" w:rsidP="00DB787A">
            <w:pPr>
              <w:pStyle w:val="Corpodeltesto"/>
              <w:tabs>
                <w:tab w:val="left" w:pos="9639"/>
              </w:tabs>
              <w:spacing w:line="276" w:lineRule="auto"/>
              <w:rPr>
                <w:rFonts w:ascii="Titillium" w:hAnsi="Titillium" w:cs="Calibri"/>
                <w:sz w:val="18"/>
                <w:szCs w:val="18"/>
                <w:lang w:eastAsia="en-US"/>
              </w:rPr>
            </w:pPr>
            <w:r w:rsidRPr="00AF481C">
              <w:rPr>
                <w:rFonts w:ascii="Titillium" w:hAnsi="Titillium" w:cs="Calibri"/>
                <w:sz w:val="18"/>
                <w:szCs w:val="18"/>
              </w:rPr>
              <w:t xml:space="preserve">N.B. </w:t>
            </w:r>
            <w:r w:rsidRPr="00AF481C">
              <w:rPr>
                <w:rFonts w:ascii="Titillium" w:hAnsi="Titillium" w:cs="Calibri"/>
                <w:sz w:val="18"/>
                <w:szCs w:val="18"/>
                <w:lang w:eastAsia="en-US"/>
              </w:rPr>
              <w:t>L’avvenuta stipula del contratto non esime la stazione appaltante dal concludere entro un congruo termine la verifica dei requisiti autocertificati che non è stato possibile verificare entro i termini sopra indicati.</w:t>
            </w:r>
          </w:p>
        </w:tc>
      </w:tr>
    </w:tbl>
    <w:p w:rsidR="00125269" w:rsidRPr="00AF481C" w:rsidRDefault="00125269" w:rsidP="001228FD">
      <w:pPr>
        <w:spacing w:before="60" w:after="60"/>
        <w:rPr>
          <w:rFonts w:ascii="Titillium" w:hAnsi="Titillium" w:cs="Calibri"/>
          <w:sz w:val="18"/>
          <w:szCs w:val="18"/>
        </w:rPr>
      </w:pPr>
    </w:p>
    <w:p w:rsidR="001228FD" w:rsidRPr="00AF481C" w:rsidRDefault="001228FD" w:rsidP="001228FD">
      <w:pPr>
        <w:spacing w:before="60" w:after="60"/>
        <w:rPr>
          <w:rFonts w:ascii="Titillium" w:hAnsi="Titillium" w:cs="Calibri"/>
          <w:sz w:val="18"/>
          <w:szCs w:val="18"/>
        </w:rPr>
      </w:pPr>
      <w:r w:rsidRPr="00AF481C">
        <w:rPr>
          <w:rFonts w:ascii="Titillium" w:hAnsi="Titillium" w:cs="Calibri"/>
          <w:sz w:val="18"/>
          <w:szCs w:val="18"/>
        </w:rPr>
        <w:t>In caso di esito negativo delle verifiche, si procede all’esclusione, alla segnalazione all’ANAC, ad incamerare la garanzia provvisoria.</w:t>
      </w:r>
    </w:p>
    <w:p w:rsidR="001228FD" w:rsidRDefault="001228FD" w:rsidP="001228FD">
      <w:pPr>
        <w:spacing w:before="60" w:after="60"/>
        <w:rPr>
          <w:rFonts w:ascii="Titillium" w:hAnsi="Titillium" w:cs="Calibri"/>
          <w:sz w:val="18"/>
          <w:szCs w:val="18"/>
        </w:rPr>
      </w:pPr>
      <w:r w:rsidRPr="00AF481C">
        <w:rPr>
          <w:rFonts w:ascii="Titillium" w:hAnsi="Titillium" w:cs="Calibri"/>
          <w:sz w:val="18"/>
          <w:szCs w:val="18"/>
        </w:rPr>
        <w:t>Successivamente si procede a ricalcolare i punteggi e a riformulare la graduatoria procedendo altresì, alle verifiche nei termini sopra indicati. Nell’ipotesi di ulteriore esito negativo delle verifiche si procede nei termini sopra detti</w:t>
      </w:r>
      <w:r w:rsidR="00002D85" w:rsidRPr="00AF481C">
        <w:rPr>
          <w:rFonts w:ascii="Titillium" w:hAnsi="Titillium" w:cs="Calibri"/>
          <w:sz w:val="18"/>
          <w:szCs w:val="18"/>
        </w:rPr>
        <w:t>.</w:t>
      </w:r>
    </w:p>
    <w:p w:rsidR="007A154B" w:rsidRPr="007A154B" w:rsidRDefault="007A154B" w:rsidP="007A154B">
      <w:pPr>
        <w:spacing w:before="60" w:after="60"/>
        <w:rPr>
          <w:rFonts w:ascii="Titillium" w:hAnsi="Titillium" w:cs="Calibri"/>
          <w:b/>
          <w:sz w:val="18"/>
          <w:szCs w:val="18"/>
        </w:rPr>
      </w:pPr>
      <w:r w:rsidRPr="007A154B">
        <w:rPr>
          <w:rFonts w:ascii="Titillium" w:hAnsi="Titillium" w:cs="Calibri"/>
          <w:b/>
          <w:sz w:val="18"/>
          <w:szCs w:val="18"/>
        </w:rPr>
        <w:t>La stipulazione del contratto è subordinata all’esito positivo delle procedure previste dalla normativa vigente in materia di lotta alla mafia, fatto salvo quanto previsto dall’art. 88 comma 4-bis e 89 e dall’art. 92 comma 3 del d.lgs. 159/2011.</w:t>
      </w:r>
    </w:p>
    <w:p w:rsidR="007A154B" w:rsidRPr="007A154B" w:rsidRDefault="007A154B" w:rsidP="007A154B">
      <w:pPr>
        <w:spacing w:before="60" w:after="60"/>
        <w:rPr>
          <w:rFonts w:ascii="Titillium" w:hAnsi="Titillium" w:cs="Calibri"/>
          <w:sz w:val="18"/>
          <w:szCs w:val="18"/>
        </w:rPr>
      </w:pPr>
      <w:r w:rsidRPr="007A154B">
        <w:rPr>
          <w:rFonts w:ascii="Titillium" w:hAnsi="Titillium" w:cs="Calibri"/>
          <w:sz w:val="18"/>
          <w:szCs w:val="18"/>
        </w:rPr>
        <w:t>Come da protocollo di Legalità del 19/06/2018 con la Prefettura di Bologna, in deroga alle soglie di valore previste dalla normativa vigente, quest’Azienda USL procederà a richiedere alla ditta aggiudicataria informazione antimafia ex artt.84 e 91 D.Lgs. 159/2011, tramite Banca Dati Nazionale Antimafia (B.D.N.A.), per tutti gli importi di aggiudicazione superiori a 50.000,00 euro.</w:t>
      </w:r>
    </w:p>
    <w:p w:rsidR="007A154B" w:rsidRPr="007A154B" w:rsidRDefault="007A154B" w:rsidP="007A154B">
      <w:pPr>
        <w:spacing w:before="60" w:after="60"/>
        <w:rPr>
          <w:rFonts w:ascii="Titillium" w:hAnsi="Titillium" w:cs="Calibri"/>
          <w:sz w:val="18"/>
          <w:szCs w:val="18"/>
        </w:rPr>
      </w:pPr>
    </w:p>
    <w:p w:rsidR="007A154B" w:rsidRPr="007A154B" w:rsidRDefault="007A154B" w:rsidP="007A154B">
      <w:pPr>
        <w:spacing w:before="60" w:after="60"/>
        <w:rPr>
          <w:rFonts w:ascii="Titillium" w:hAnsi="Titillium" w:cs="Calibri"/>
          <w:sz w:val="18"/>
          <w:szCs w:val="18"/>
        </w:rPr>
      </w:pPr>
      <w:r w:rsidRPr="007A154B">
        <w:rPr>
          <w:rFonts w:ascii="Titillium" w:hAnsi="Titillium" w:cs="Calibri"/>
          <w:sz w:val="18"/>
          <w:szCs w:val="18"/>
        </w:rPr>
        <w:t>Come da protocollo di Legalità del 19/06/2018 con la Prefettura di Bologna:</w:t>
      </w:r>
    </w:p>
    <w:p w:rsidR="007A154B" w:rsidRPr="007A154B" w:rsidRDefault="007A154B" w:rsidP="007A154B">
      <w:pPr>
        <w:spacing w:before="60" w:after="60"/>
        <w:rPr>
          <w:rFonts w:ascii="Titillium" w:hAnsi="Titillium" w:cs="Calibri"/>
          <w:sz w:val="18"/>
          <w:szCs w:val="18"/>
        </w:rPr>
      </w:pPr>
      <w:r w:rsidRPr="007A154B">
        <w:rPr>
          <w:rFonts w:ascii="Titillium" w:hAnsi="Titillium" w:cs="Calibri"/>
          <w:sz w:val="18"/>
          <w:szCs w:val="18"/>
        </w:rPr>
        <w:t>- la sottoscrizione del contratto ovvero le concessioni o le autorizzazioni effettuate prima dell’acquisizione delle informazioni di cui al D.Lgs. 159/2011, anche al di fuori delle soglie di valore ivi previste, sono corrisposte sotto condizione risolutiva e questa Azienda USL procederà alla revoca della concessione e allo scioglimento del contratto qualora dovessero intervenire informazioni interdittive.</w:t>
      </w:r>
    </w:p>
    <w:p w:rsidR="007A154B" w:rsidRPr="00AF481C" w:rsidRDefault="007A154B" w:rsidP="007A154B">
      <w:pPr>
        <w:spacing w:before="60" w:after="60"/>
        <w:rPr>
          <w:rFonts w:ascii="Titillium" w:hAnsi="Titillium" w:cs="Calibri"/>
          <w:sz w:val="18"/>
          <w:szCs w:val="18"/>
        </w:rPr>
      </w:pPr>
      <w:r w:rsidRPr="007A154B">
        <w:rPr>
          <w:rFonts w:ascii="Titillium" w:hAnsi="Titillium" w:cs="Calibri"/>
          <w:sz w:val="18"/>
          <w:szCs w:val="18"/>
        </w:rPr>
        <w:t>Il mancato rispetto del protocollo di legalità costituisce causa di risoluzione del contratto, ai sensi dell’articolo 83-bis, del decreto legislativo 159/2011.</w:t>
      </w:r>
    </w:p>
    <w:p w:rsidR="00AE28AD" w:rsidRPr="00AF481C" w:rsidRDefault="00AE28AD" w:rsidP="00AE28AD">
      <w:pPr>
        <w:spacing w:before="60" w:after="60"/>
      </w:pPr>
      <w:r w:rsidRPr="00AF481C" w:rsidDel="0053260F">
        <w:rPr>
          <w:rFonts w:ascii="Titillium" w:hAnsi="Titillium" w:cs="Calibri"/>
          <w:sz w:val="18"/>
          <w:szCs w:val="18"/>
        </w:rPr>
        <w:t xml:space="preserve">Il contratto è stipulato </w:t>
      </w:r>
      <w:r w:rsidRPr="00AF481C">
        <w:rPr>
          <w:rFonts w:ascii="Titillium" w:hAnsi="Titillium" w:cs="Calibri"/>
          <w:sz w:val="18"/>
          <w:szCs w:val="18"/>
        </w:rPr>
        <w:t>non prima di</w:t>
      </w:r>
      <w:r w:rsidRPr="00AF481C" w:rsidDel="0053260F">
        <w:rPr>
          <w:rFonts w:ascii="Titillium" w:hAnsi="Titillium" w:cs="Calibri"/>
          <w:sz w:val="18"/>
          <w:szCs w:val="18"/>
        </w:rPr>
        <w:t xml:space="preserve"> 3</w:t>
      </w:r>
      <w:r w:rsidRPr="00AF481C">
        <w:rPr>
          <w:rFonts w:ascii="Titillium" w:hAnsi="Titillium" w:cs="Calibri"/>
          <w:sz w:val="18"/>
          <w:szCs w:val="18"/>
        </w:rPr>
        <w:t>2</w:t>
      </w:r>
      <w:r w:rsidRPr="00AF481C" w:rsidDel="0053260F">
        <w:rPr>
          <w:rFonts w:ascii="Titillium" w:hAnsi="Titillium" w:cs="Calibri"/>
          <w:sz w:val="18"/>
          <w:szCs w:val="18"/>
        </w:rPr>
        <w:t xml:space="preserve"> giorni dall’invio dell’ultima delle comunicazioni del provvedimento di aggiudicazione</w:t>
      </w:r>
      <w:r w:rsidRPr="00AF481C">
        <w:rPr>
          <w:rFonts w:ascii="Titillium" w:hAnsi="Titillium" w:cs="Calibri"/>
          <w:sz w:val="18"/>
          <w:szCs w:val="18"/>
        </w:rPr>
        <w:t xml:space="preserve"> e comunque entro </w:t>
      </w:r>
      <w:r w:rsidRPr="00AF481C">
        <w:rPr>
          <w:rFonts w:ascii="Titillium" w:hAnsi="Titillium" w:cs="Calibri"/>
          <w:i/>
          <w:iCs/>
          <w:sz w:val="18"/>
          <w:szCs w:val="18"/>
        </w:rPr>
        <w:t xml:space="preserve">60 giorni, </w:t>
      </w:r>
      <w:r w:rsidRPr="00AF481C">
        <w:rPr>
          <w:rFonts w:ascii="Titillium" w:hAnsi="Titillium" w:cs="Calibri"/>
          <w:sz w:val="18"/>
          <w:szCs w:val="18"/>
        </w:rPr>
        <w:t xml:space="preserve">dall’aggiudicazione, salvo quanto previsto dall’articolo 18 comma 2 del Codice.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seguito di richiesta motivata proveniente dall’aggiudicatario la data di stipula del contratto può essere differita purché ritenuta compatibile con la sollecita esecuzione del contratto stesso.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rsidR="00602BB3"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All’atto della stipulazione del contratto, l’aggiudicatario deve presentare la garanzia definitiva da calcolare sull’importo contrattuale, secondo le misure e le modalità previste dall’articolo 117 del Codice.</w:t>
      </w:r>
    </w:p>
    <w:p w:rsidR="00DB787A" w:rsidRPr="00AF481C" w:rsidRDefault="00DB787A" w:rsidP="00AE28AD">
      <w:pPr>
        <w:spacing w:before="60" w:after="60"/>
        <w:rPr>
          <w:rFonts w:ascii="Titillium" w:hAnsi="Titillium" w:cs="Calibri"/>
          <w:sz w:val="18"/>
          <w:szCs w:val="18"/>
        </w:rPr>
      </w:pPr>
    </w:p>
    <w:p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rPr>
      </w:pPr>
      <w:r w:rsidRPr="00AF481C">
        <w:rPr>
          <w:rFonts w:ascii="Titillium" w:hAnsi="Titillium" w:cs="Calibri"/>
          <w:i/>
          <w:sz w:val="18"/>
          <w:szCs w:val="18"/>
        </w:rPr>
        <w:lastRenderedPageBreak/>
        <w:t>N.B.  Ai sensi dell’articolo 117, comma 14, del Codice, qualora l’appalto debba essere eseguito da operatori economici di comprovata solidità nonché per le forniture di beni che per la loro natura, o per l'uso speciale cui sono destinati, debbano essere acquistati nel luogo di produzione o forniti direttamente dai produttori, o per le forniture di prodotti d'arte, macchinari, strumenti e lavori di precisione l'esecuzione dei quali deve essere affidata a operatori specializzati, l'esonero dalla prestazione della garanzia è possibile previa adeguata motivazione ed è subordinato ad un miglioramento del prezzo di aggiudicazione ovvero delle condizioni di esecuzione</w:t>
      </w:r>
    </w:p>
    <w:p w:rsidR="00AE28AD" w:rsidRPr="00AF481C" w:rsidRDefault="00AE28AD" w:rsidP="00AE28AD">
      <w:pPr>
        <w:spacing w:before="60" w:after="60"/>
        <w:rPr>
          <w:rFonts w:ascii="Titillium" w:hAnsi="Titillium" w:cs="Calibri"/>
          <w:sz w:val="18"/>
          <w:szCs w:val="18"/>
        </w:rPr>
      </w:pP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fissato per fatto dell’aggiudicatario può costituire motivo di revoca dell’aggiudicazione.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mancata o tardiva stipula del contratto al di fuori delle ipotesi predette, costituisce violazione del dovere di buona fede, anche in pendenza di contenzioso.</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 d) del Codice.</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L’affidatario comunica, per ogni sub-contratto che non costituisce subappalto, l’importo e l’oggetto del medesimo, nonché il nome del sub-contraente, prima dell’inizio della prestazione.</w:t>
      </w:r>
    </w:p>
    <w:p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Il contratto è stipulato mediante … </w:t>
      </w:r>
      <w:r w:rsidRPr="00AF481C">
        <w:rPr>
          <w:rFonts w:ascii="Titillium" w:hAnsi="Titillium" w:cs="Calibri"/>
          <w:i/>
          <w:sz w:val="18"/>
          <w:szCs w:val="18"/>
        </w:rPr>
        <w:t xml:space="preserve">[indicare una delle modalità individuate dall’articolo 18 del </w:t>
      </w:r>
      <w:r w:rsidR="00F535A0" w:rsidRPr="00AF481C">
        <w:rPr>
          <w:rFonts w:ascii="Titillium" w:hAnsi="Titillium" w:cs="Calibri"/>
          <w:i/>
          <w:sz w:val="18"/>
          <w:szCs w:val="18"/>
        </w:rPr>
        <w:t>C</w:t>
      </w:r>
      <w:r w:rsidRPr="00AF481C">
        <w:rPr>
          <w:rFonts w:ascii="Titillium" w:hAnsi="Titillium" w:cs="Calibri"/>
          <w:i/>
          <w:sz w:val="18"/>
          <w:szCs w:val="18"/>
        </w:rPr>
        <w:t>odice</w:t>
      </w:r>
      <w:r w:rsidRPr="00AF481C">
        <w:rPr>
          <w:rFonts w:ascii="Titillium" w:hAnsi="Titillium" w:cs="Calibri"/>
          <w:sz w:val="18"/>
          <w:szCs w:val="18"/>
        </w:rPr>
        <w:t>]</w:t>
      </w:r>
      <w:r w:rsidRPr="00AF481C">
        <w:rPr>
          <w:rFonts w:ascii="Titillium" w:hAnsi="Titillium" w:cs="Calibri"/>
          <w:i/>
          <w:sz w:val="18"/>
          <w:szCs w:val="18"/>
        </w:rPr>
        <w:t>.</w:t>
      </w:r>
    </w:p>
    <w:p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Sono a carico dell’aggiudicatario tutte le spese contrattuali, gli oneri fiscali quali imposte e tasse - ivi comprese quelle di registro ove dovute - relative alla stipulazione del contratto. </w:t>
      </w:r>
    </w:p>
    <w:p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In caso di interpello a seguito di risoluzione/recesso del contratto in corso di esecuzione, il nuovo affidamento avviene alle condizioni proposte dall’operatore economico interpellato, ai sensi dell’art. 124 comma 2 del Codice.</w:t>
      </w:r>
    </w:p>
    <w:p w:rsidR="003F71AD" w:rsidRPr="00AF481C" w:rsidRDefault="003F71AD" w:rsidP="00AE28AD">
      <w:pPr>
        <w:spacing w:before="60" w:after="60"/>
        <w:rPr>
          <w:rFonts w:ascii="Titillium" w:hAnsi="Titillium" w:cs="Calibri"/>
          <w:sz w:val="18"/>
          <w:szCs w:val="18"/>
        </w:rPr>
      </w:pPr>
    </w:p>
    <w:p w:rsidR="00AE28AD" w:rsidRPr="00AF481C" w:rsidRDefault="00AE28AD" w:rsidP="00604C9A">
      <w:pPr>
        <w:pStyle w:val="Titolo2"/>
        <w:numPr>
          <w:ilvl w:val="0"/>
          <w:numId w:val="3"/>
        </w:numPr>
      </w:pPr>
      <w:bookmarkStart w:id="2976" w:name="_Toc223087506"/>
      <w:r w:rsidRPr="00AF481C">
        <w:t>OBBLIGHI RELATIVI ALLA TRACCIABILITÀ DEI FLUSSI FINANZIARI</w:t>
      </w:r>
      <w:bookmarkEnd w:id="2976"/>
    </w:p>
    <w:p w:rsidR="00AE28AD" w:rsidRPr="00AF481C" w:rsidRDefault="00AE28AD" w:rsidP="00AE28AD">
      <w:pPr>
        <w:rPr>
          <w:rFonts w:ascii="Titillium" w:hAnsi="Titillium"/>
          <w:sz w:val="18"/>
          <w:szCs w:val="18"/>
        </w:rPr>
      </w:pPr>
      <w:r w:rsidRPr="00AF481C">
        <w:rPr>
          <w:rFonts w:ascii="Titillium" w:hAnsi="Titillium"/>
          <w:sz w:val="18"/>
          <w:szCs w:val="18"/>
        </w:rPr>
        <w:t xml:space="preserve">Il contratto d’appalto, </w:t>
      </w:r>
      <w:r w:rsidR="003F71AD" w:rsidRPr="00AF481C">
        <w:rPr>
          <w:rFonts w:ascii="Titillium" w:hAnsi="Titillium"/>
          <w:sz w:val="18"/>
          <w:szCs w:val="18"/>
        </w:rPr>
        <w:t>quelli</w:t>
      </w:r>
      <w:r w:rsidRPr="00AF481C">
        <w:rPr>
          <w:rFonts w:ascii="Titillium" w:hAnsi="Titillium"/>
          <w:sz w:val="18"/>
          <w:szCs w:val="18"/>
        </w:rPr>
        <w:t xml:space="preserve"> di subappalto e i </w:t>
      </w:r>
      <w:r w:rsidR="003F71AD" w:rsidRPr="00AF481C">
        <w:rPr>
          <w:rFonts w:ascii="Titillium" w:hAnsi="Titillium"/>
          <w:sz w:val="18"/>
          <w:szCs w:val="18"/>
        </w:rPr>
        <w:t>subcontratti</w:t>
      </w:r>
      <w:r w:rsidR="00424032" w:rsidRPr="00AF481C">
        <w:rPr>
          <w:rFonts w:ascii="Titillium" w:hAnsi="Titillium"/>
          <w:sz w:val="18"/>
          <w:szCs w:val="18"/>
        </w:rPr>
        <w:t xml:space="preserve"> sono </w:t>
      </w:r>
      <w:r w:rsidRPr="00AF481C">
        <w:rPr>
          <w:rFonts w:ascii="Titillium" w:hAnsi="Titillium"/>
          <w:sz w:val="18"/>
          <w:szCs w:val="18"/>
        </w:rPr>
        <w:t>soggetti agli obblighi in tema di tracciabilità dei flussi finanziari di cui alla legge 13 agosto 2010, n. 136</w:t>
      </w:r>
    </w:p>
    <w:p w:rsidR="00AE28AD" w:rsidRPr="00AF481C" w:rsidRDefault="00AE28AD" w:rsidP="00AE28AD">
      <w:pPr>
        <w:rPr>
          <w:rFonts w:ascii="Titillium" w:hAnsi="Titillium"/>
          <w:sz w:val="18"/>
          <w:szCs w:val="18"/>
        </w:rPr>
      </w:pPr>
      <w:r w:rsidRPr="00AF481C">
        <w:rPr>
          <w:rFonts w:ascii="Titillium" w:hAnsi="Titillium"/>
          <w:sz w:val="18"/>
          <w:szCs w:val="18"/>
        </w:rPr>
        <w:t>L’affidatario deve comunicare alla stazione appaltante:</w:t>
      </w:r>
    </w:p>
    <w:p w:rsidR="00AE28AD" w:rsidRPr="00AF481C" w:rsidRDefault="00AE28AD" w:rsidP="00BE4F13">
      <w:pPr>
        <w:pStyle w:val="Paragrafoelenco"/>
        <w:numPr>
          <w:ilvl w:val="0"/>
          <w:numId w:val="50"/>
        </w:numPr>
        <w:ind w:left="426"/>
        <w:rPr>
          <w:rFonts w:ascii="Titillium" w:hAnsi="Titillium"/>
          <w:sz w:val="18"/>
          <w:szCs w:val="18"/>
        </w:rPr>
      </w:pPr>
      <w:r w:rsidRPr="00AF481C">
        <w:rPr>
          <w:rFonts w:ascii="Titillium" w:hAnsi="Titillium"/>
          <w:sz w:val="18"/>
          <w:szCs w:val="18"/>
        </w:rPr>
        <w:t>gli estremi identificativi dei conti correnti bancari o postali dedicati, con l'indicazione dell'opera/servizio/fornitura alla quale sono dedicati;</w:t>
      </w:r>
    </w:p>
    <w:p w:rsidR="00AE28AD" w:rsidRPr="00AF481C" w:rsidRDefault="00AE28AD" w:rsidP="00BE4F13">
      <w:pPr>
        <w:pStyle w:val="Paragrafoelenco"/>
        <w:numPr>
          <w:ilvl w:val="0"/>
          <w:numId w:val="50"/>
        </w:numPr>
        <w:ind w:left="426"/>
        <w:rPr>
          <w:rFonts w:ascii="Titillium" w:hAnsi="Titillium"/>
          <w:sz w:val="18"/>
          <w:szCs w:val="18"/>
        </w:rPr>
      </w:pPr>
      <w:r w:rsidRPr="00AF481C">
        <w:rPr>
          <w:rFonts w:ascii="Titillium" w:hAnsi="Titillium"/>
          <w:sz w:val="18"/>
          <w:szCs w:val="18"/>
        </w:rPr>
        <w:t>le generalità e il codice fiscale delle persone delegate ad operare sugli stessi;</w:t>
      </w:r>
    </w:p>
    <w:p w:rsidR="00AE28AD" w:rsidRPr="00AF481C" w:rsidRDefault="00AE28AD" w:rsidP="00BE4F13">
      <w:pPr>
        <w:pStyle w:val="Paragrafoelenco"/>
        <w:numPr>
          <w:ilvl w:val="0"/>
          <w:numId w:val="50"/>
        </w:numPr>
        <w:ind w:left="426"/>
        <w:rPr>
          <w:rFonts w:ascii="Titillium" w:hAnsi="Titillium"/>
          <w:sz w:val="18"/>
          <w:szCs w:val="18"/>
        </w:rPr>
      </w:pPr>
      <w:r w:rsidRPr="00AF481C">
        <w:rPr>
          <w:rFonts w:ascii="Titillium" w:hAnsi="Titillium"/>
          <w:sz w:val="18"/>
          <w:szCs w:val="18"/>
        </w:rPr>
        <w:t xml:space="preserve">ogni modifica relativa ai dati trasmessi. </w:t>
      </w:r>
    </w:p>
    <w:p w:rsidR="00AE28AD" w:rsidRPr="00AF481C" w:rsidRDefault="00AE28AD" w:rsidP="00AE28AD">
      <w:pPr>
        <w:rPr>
          <w:rFonts w:ascii="Titillium" w:hAnsi="Titillium"/>
          <w:sz w:val="18"/>
          <w:szCs w:val="18"/>
        </w:rPr>
      </w:pPr>
      <w:r w:rsidRPr="00AF481C">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rsidR="00AE28AD" w:rsidRPr="00AF481C" w:rsidRDefault="00AE28AD" w:rsidP="00AE28AD">
      <w:pPr>
        <w:rPr>
          <w:rFonts w:ascii="Titillium" w:hAnsi="Titillium"/>
          <w:sz w:val="18"/>
          <w:szCs w:val="18"/>
        </w:rPr>
      </w:pPr>
      <w:r w:rsidRPr="00AF481C">
        <w:rPr>
          <w:rFonts w:ascii="Titillium" w:hAnsi="Titillium"/>
          <w:sz w:val="18"/>
          <w:szCs w:val="18"/>
        </w:rPr>
        <w:t xml:space="preserve">Il mancato adempimento agli obblighi previsti per la tracciabilità dei flussi finanziari relativi all’appalto comporta la risoluzione di diritto del contratto. </w:t>
      </w:r>
    </w:p>
    <w:p w:rsidR="00AE28AD" w:rsidRPr="00AF481C" w:rsidRDefault="00AE28AD" w:rsidP="00AE28AD">
      <w:pPr>
        <w:rPr>
          <w:rFonts w:ascii="Titillium" w:hAnsi="Titillium"/>
          <w:sz w:val="18"/>
          <w:szCs w:val="18"/>
        </w:rPr>
      </w:pPr>
      <w:r w:rsidRPr="00AF481C">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rsidR="00AE28AD" w:rsidRPr="00AF481C" w:rsidRDefault="00AE28AD" w:rsidP="00AE28AD">
      <w:pPr>
        <w:rPr>
          <w:rFonts w:ascii="Titillium" w:hAnsi="Titillium"/>
          <w:sz w:val="18"/>
          <w:szCs w:val="18"/>
        </w:rPr>
      </w:pPr>
      <w:r w:rsidRPr="00AF481C">
        <w:rPr>
          <w:rFonts w:ascii="Titillium" w:hAnsi="Titillium"/>
          <w:sz w:val="18"/>
          <w:szCs w:val="18"/>
        </w:rPr>
        <w:lastRenderedPageBreak/>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rsidR="003F71AD" w:rsidRPr="00AF481C" w:rsidRDefault="003F71AD" w:rsidP="00AE28AD">
      <w:pPr>
        <w:rPr>
          <w:rFonts w:ascii="Titillium" w:hAnsi="Titillium"/>
          <w:sz w:val="18"/>
          <w:szCs w:val="18"/>
        </w:rPr>
      </w:pPr>
    </w:p>
    <w:p w:rsidR="00AE28AD" w:rsidRPr="00AF481C" w:rsidRDefault="00AE28AD" w:rsidP="00604C9A">
      <w:pPr>
        <w:pStyle w:val="Titolo2"/>
        <w:numPr>
          <w:ilvl w:val="0"/>
          <w:numId w:val="3"/>
        </w:numPr>
      </w:pPr>
      <w:bookmarkStart w:id="2977" w:name="_Toc223087507"/>
      <w:r w:rsidRPr="00AF481C">
        <w:t>CODICE DI COMPORTAMENTO</w:t>
      </w:r>
      <w:bookmarkEnd w:id="2977"/>
    </w:p>
    <w:p w:rsidR="00AE28AD" w:rsidRPr="00AF481C" w:rsidRDefault="00AE28AD" w:rsidP="00AE28AD">
      <w:pPr>
        <w:widowControl w:val="0"/>
        <w:spacing w:line="280" w:lineRule="exact"/>
      </w:pPr>
      <w:r w:rsidRPr="00AF481C">
        <w:rPr>
          <w:rFonts w:ascii="Titillium" w:hAnsi="Titillium"/>
          <w:sz w:val="18"/>
          <w:szCs w:val="18"/>
          <w:lang w:eastAsia="it-IT"/>
        </w:rPr>
        <w:t>Nello svolgimento delle attività oggetto del contratto di appalto, l’aggiudicatario deve uniformarsi ai principi e, per quanto compatibili,  ai doveri di condotta richiamati nel Decreto del Presidente della Repubblica 16 aprile 2013 n. 62  e nel codice di comportamento di questa stazione appaltante e n</w:t>
      </w:r>
      <w:r w:rsidRPr="00AF481C">
        <w:rPr>
          <w:rFonts w:ascii="Titillium" w:hAnsi="Titillium"/>
          <w:iCs/>
          <w:sz w:val="18"/>
          <w:szCs w:val="18"/>
          <w:lang w:eastAsia="it-IT"/>
        </w:rPr>
        <w:t>el Piano Triennale di Prevenzione della Corruzione e della Trasparenza</w:t>
      </w:r>
      <w:r w:rsidRPr="00AF481C">
        <w:rPr>
          <w:rFonts w:ascii="Titillium" w:hAnsi="Titillium"/>
          <w:i/>
          <w:iCs/>
          <w:sz w:val="18"/>
          <w:szCs w:val="18"/>
          <w:lang w:eastAsia="it-IT"/>
        </w:rPr>
        <w:t xml:space="preserve">, nonché </w:t>
      </w:r>
      <w:r w:rsidRPr="00AF481C">
        <w:rPr>
          <w:rFonts w:ascii="Titillium" w:hAnsi="Titillium"/>
          <w:iCs/>
          <w:sz w:val="18"/>
          <w:szCs w:val="18"/>
          <w:lang w:eastAsia="it-IT"/>
        </w:rPr>
        <w:t>nella sottosezione Rischi corruttivi e trasparenza del PIAO</w:t>
      </w:r>
      <w:r w:rsidRPr="00AF481C">
        <w:rPr>
          <w:rFonts w:ascii="Titillium" w:hAnsi="Titillium"/>
          <w:sz w:val="18"/>
          <w:szCs w:val="18"/>
          <w:lang w:eastAsia="it-IT"/>
        </w:rPr>
        <w:t xml:space="preserve">. </w:t>
      </w:r>
    </w:p>
    <w:p w:rsidR="00CC45D8" w:rsidRDefault="00AE28AD" w:rsidP="00CC45D8">
      <w:pPr>
        <w:widowControl w:val="0"/>
        <w:spacing w:line="280" w:lineRule="exact"/>
        <w:rPr>
          <w:rFonts w:ascii="Titillium" w:hAnsi="Titillium"/>
          <w:i/>
          <w:sz w:val="18"/>
          <w:szCs w:val="18"/>
          <w:lang w:eastAsia="it-IT"/>
        </w:rPr>
      </w:pPr>
      <w:r w:rsidRPr="00CC45D8">
        <w:rPr>
          <w:rFonts w:ascii="Titillium" w:hAnsi="Titillium"/>
          <w:sz w:val="18"/>
          <w:szCs w:val="18"/>
          <w:lang w:eastAsia="it-IT"/>
        </w:rPr>
        <w:t xml:space="preserve">In seguito alla comunicazione di aggiudicazione e prima della stipula del contratto, l’aggiudicatario </w:t>
      </w:r>
      <w:r w:rsidRPr="00CC45D8">
        <w:rPr>
          <w:rFonts w:ascii="Titillium" w:hAnsi="Titillium"/>
          <w:i/>
          <w:sz w:val="18"/>
          <w:szCs w:val="18"/>
          <w:lang w:eastAsia="it-IT"/>
        </w:rPr>
        <w:t>[nel caso di più lotti: di ciascun lotto]</w:t>
      </w:r>
      <w:r w:rsidRPr="00CC45D8">
        <w:rPr>
          <w:rFonts w:ascii="Titillium" w:hAnsi="Titillium"/>
          <w:sz w:val="18"/>
          <w:szCs w:val="18"/>
          <w:lang w:eastAsia="it-IT"/>
        </w:rPr>
        <w:t xml:space="preserve"> ha l’onere di prendere visione dei predetti documenti pubblicati sul sito della stazione appaltante</w:t>
      </w:r>
    </w:p>
    <w:p w:rsidR="00CC45D8" w:rsidRDefault="00CC45D8" w:rsidP="00CC45D8">
      <w:pPr>
        <w:widowControl w:val="0"/>
        <w:spacing w:line="280" w:lineRule="exact"/>
        <w:rPr>
          <w:rFonts w:ascii="Titillium" w:hAnsi="Titillium"/>
          <w:i/>
          <w:sz w:val="18"/>
          <w:szCs w:val="18"/>
          <w:lang w:eastAsia="it-IT"/>
        </w:rPr>
      </w:pPr>
    </w:p>
    <w:p w:rsidR="00CC45D8" w:rsidRPr="00CC45D8" w:rsidRDefault="00CC45D8" w:rsidP="00BE4F13">
      <w:pPr>
        <w:pStyle w:val="Paragrafoelenco"/>
        <w:widowControl w:val="0"/>
        <w:numPr>
          <w:ilvl w:val="0"/>
          <w:numId w:val="51"/>
        </w:numPr>
        <w:spacing w:line="280" w:lineRule="exact"/>
        <w:rPr>
          <w:rFonts w:ascii="Calibri" w:eastAsia="Calibri" w:hAnsi="Calibri" w:cs="Calibri"/>
          <w:i/>
          <w:sz w:val="22"/>
          <w:lang w:eastAsia="it-IT"/>
        </w:rPr>
      </w:pPr>
      <w:r w:rsidRPr="00CC45D8">
        <w:rPr>
          <w:rFonts w:ascii="Calibri" w:eastAsia="Calibri" w:hAnsi="Calibri" w:cs="Calibri"/>
          <w:i/>
          <w:sz w:val="22"/>
          <w:lang w:eastAsia="it-IT"/>
        </w:rPr>
        <w:t xml:space="preserve">Codice di comportamento - </w:t>
      </w:r>
      <w:hyperlink r:id="rId22" w:history="1">
        <w:r w:rsidRPr="00CC45D8">
          <w:rPr>
            <w:rFonts w:ascii="Calibri" w:eastAsia="Calibri" w:hAnsi="Calibri" w:cs="Calibri"/>
            <w:i/>
            <w:color w:val="0563C1"/>
            <w:sz w:val="22"/>
            <w:u w:val="single"/>
            <w:lang w:eastAsia="it-IT"/>
          </w:rPr>
          <w:t>https://www.ausl.bologna.it/amministrazione-trasparente/disposizioni-generali/atti-generali/cdcc</w:t>
        </w:r>
      </w:hyperlink>
    </w:p>
    <w:p w:rsidR="00CC45D8" w:rsidRPr="00CC45D8" w:rsidRDefault="00CC45D8" w:rsidP="00BE4F13">
      <w:pPr>
        <w:pStyle w:val="Paragrafoelenco"/>
        <w:widowControl w:val="0"/>
        <w:numPr>
          <w:ilvl w:val="0"/>
          <w:numId w:val="51"/>
        </w:numPr>
        <w:spacing w:line="280" w:lineRule="exact"/>
        <w:rPr>
          <w:rFonts w:ascii="Calibri" w:eastAsia="Calibri" w:hAnsi="Calibri" w:cs="Calibri"/>
          <w:i/>
          <w:sz w:val="22"/>
          <w:lang w:eastAsia="it-IT"/>
        </w:rPr>
      </w:pPr>
      <w:r w:rsidRPr="00CC45D8">
        <w:rPr>
          <w:rFonts w:ascii="Calibri" w:eastAsia="Calibri" w:hAnsi="Calibri" w:cs="Calibri"/>
          <w:iCs/>
          <w:sz w:val="22"/>
          <w:lang w:eastAsia="it-IT"/>
        </w:rPr>
        <w:t xml:space="preserve">Piano Triennale di Prevenzione della Corruzione e della Trasparenza e sottosezione Rischi corruttivi e trasparenza PIAO </w:t>
      </w:r>
      <w:hyperlink r:id="rId23" w:history="1">
        <w:r w:rsidRPr="00CC45D8">
          <w:rPr>
            <w:rFonts w:ascii="Calibri" w:eastAsia="Calibri" w:hAnsi="Calibri" w:cs="Calibri"/>
            <w:i/>
            <w:color w:val="0563C1"/>
            <w:sz w:val="22"/>
            <w:u w:val="single"/>
            <w:lang w:eastAsia="it-IT"/>
          </w:rPr>
          <w:t>https://www.ausl.bologna.it/amministrazione-trasparente/altri-contenuti-dati-ulteriori/ac/corruzione</w:t>
        </w:r>
      </w:hyperlink>
    </w:p>
    <w:p w:rsidR="003F71AD" w:rsidRPr="00AF481C" w:rsidRDefault="003F71AD" w:rsidP="00AE28AD">
      <w:pPr>
        <w:widowControl w:val="0"/>
        <w:spacing w:line="280" w:lineRule="exact"/>
      </w:pPr>
    </w:p>
    <w:p w:rsidR="00AE28AD" w:rsidRPr="00AF481C" w:rsidRDefault="00AE28AD" w:rsidP="00604C9A">
      <w:pPr>
        <w:pStyle w:val="Titolo2"/>
        <w:numPr>
          <w:ilvl w:val="0"/>
          <w:numId w:val="3"/>
        </w:numPr>
      </w:pPr>
      <w:bookmarkStart w:id="2978" w:name="_Toc223087508"/>
      <w:r w:rsidRPr="00AF481C">
        <w:t>ACCESSO AGLI ATTI</w:t>
      </w:r>
      <w:bookmarkEnd w:id="2978"/>
    </w:p>
    <w:p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L’accesso agli atti della procedura è assicurato in modalità digitale mediante acquisizione diretta dei dati e delle informazioni inseriti nellePAD a decorrere dalla comunicazione digitale dell’aggiudicazione.</w:t>
      </w:r>
    </w:p>
    <w:p w:rsidR="00AE28AD" w:rsidRPr="00CC45D8" w:rsidRDefault="00AE28AD" w:rsidP="00AE28AD">
      <w:pPr>
        <w:widowControl w:val="0"/>
        <w:spacing w:line="280" w:lineRule="exact"/>
        <w:rPr>
          <w:rFonts w:ascii="Titillium" w:hAnsi="Titillium"/>
          <w:sz w:val="18"/>
          <w:szCs w:val="18"/>
          <w:u w:val="single"/>
        </w:rPr>
      </w:pPr>
      <w:r w:rsidRPr="00AF481C">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w:t>
      </w:r>
      <w:r w:rsidR="00CC45D8">
        <w:rPr>
          <w:rFonts w:ascii="Titillium" w:hAnsi="Titillium"/>
          <w:sz w:val="18"/>
          <w:szCs w:val="18"/>
        </w:rPr>
        <w:t xml:space="preserve"> attraverso  Piattaforma</w:t>
      </w:r>
      <w:r w:rsidRPr="00AF481C">
        <w:rPr>
          <w:rFonts w:ascii="Titillium" w:hAnsi="Titillium"/>
          <w:i/>
          <w:iCs/>
          <w:sz w:val="18"/>
          <w:szCs w:val="18"/>
        </w:rPr>
        <w:t xml:space="preserve">accessibilea tutti i </w:t>
      </w:r>
      <w:r w:rsidRPr="00CC45D8">
        <w:rPr>
          <w:rFonts w:ascii="Titillium" w:hAnsi="Titillium"/>
          <w:i/>
          <w:iCs/>
          <w:sz w:val="18"/>
          <w:szCs w:val="18"/>
          <w:u w:val="single"/>
        </w:rPr>
        <w:t xml:space="preserve">partecipanti secondo </w:t>
      </w:r>
      <w:r w:rsidR="00CC45D8" w:rsidRPr="00CC45D8">
        <w:rPr>
          <w:rFonts w:ascii="Titillium" w:hAnsi="Titillium"/>
          <w:i/>
          <w:iCs/>
          <w:sz w:val="18"/>
          <w:szCs w:val="18"/>
          <w:u w:val="single"/>
        </w:rPr>
        <w:t>quanto disciplinato dall’art 36 del codice appalti</w:t>
      </w:r>
      <w:r w:rsidRPr="00CC45D8">
        <w:rPr>
          <w:rFonts w:ascii="Titillium" w:hAnsi="Titillium"/>
          <w:sz w:val="18"/>
          <w:szCs w:val="18"/>
          <w:u w:val="single"/>
        </w:rPr>
        <w:t xml:space="preserve"> e comunicata agli interessati </w:t>
      </w:r>
      <w:r w:rsidR="00CC45D8" w:rsidRPr="00CC45D8">
        <w:rPr>
          <w:rFonts w:ascii="Titillium" w:hAnsi="Titillium"/>
          <w:i/>
          <w:iCs/>
          <w:sz w:val="18"/>
          <w:szCs w:val="18"/>
          <w:u w:val="single"/>
        </w:rPr>
        <w:t>nelle modalità previste dalla Piattaforma</w:t>
      </w:r>
      <w:r w:rsidRPr="00CC45D8">
        <w:rPr>
          <w:rFonts w:ascii="Titillium" w:hAnsi="Titillium"/>
          <w:sz w:val="18"/>
          <w:szCs w:val="18"/>
          <w:u w:val="single"/>
        </w:rPr>
        <w:t xml:space="preserve">. </w:t>
      </w:r>
    </w:p>
    <w:p w:rsidR="00CC45D8" w:rsidRPr="00CC45D8" w:rsidRDefault="00AE28AD" w:rsidP="00CC45D8">
      <w:pPr>
        <w:widowControl w:val="0"/>
        <w:spacing w:line="280" w:lineRule="exact"/>
        <w:rPr>
          <w:rFonts w:ascii="Titillium" w:hAnsi="Titillium"/>
          <w:sz w:val="18"/>
          <w:szCs w:val="18"/>
          <w:u w:val="single"/>
        </w:rPr>
      </w:pPr>
      <w:r w:rsidRPr="00AF481C">
        <w:rPr>
          <w:rFonts w:ascii="Titillium" w:hAnsi="Titillium"/>
          <w:sz w:val="18"/>
          <w:szCs w:val="18"/>
        </w:rPr>
        <w:t xml:space="preserve">Ai partecipanti collocatisi nei primi cinque posti della graduatoria sono rese disponibili, reciprocamente, le offerte presentate dagli stessi mediante </w:t>
      </w:r>
      <w:r w:rsidR="00CC45D8">
        <w:rPr>
          <w:rFonts w:ascii="Titillium" w:hAnsi="Titillium"/>
          <w:sz w:val="18"/>
          <w:szCs w:val="18"/>
        </w:rPr>
        <w:t xml:space="preserve">accesso alla piattaforma utilizzata </w:t>
      </w:r>
      <w:r w:rsidR="00CC45D8" w:rsidRPr="00CC45D8">
        <w:rPr>
          <w:rFonts w:ascii="Titillium" w:hAnsi="Titillium"/>
          <w:i/>
          <w:iCs/>
          <w:sz w:val="18"/>
          <w:szCs w:val="18"/>
          <w:u w:val="single"/>
        </w:rPr>
        <w:t>secondo quanto disciplinato dall’art 36 del codice appalti</w:t>
      </w:r>
      <w:r w:rsidRPr="00AF481C">
        <w:rPr>
          <w:rFonts w:ascii="Titillium" w:hAnsi="Titillium"/>
          <w:i/>
          <w:iCs/>
          <w:sz w:val="18"/>
          <w:szCs w:val="18"/>
        </w:rPr>
        <w:t>.</w:t>
      </w:r>
      <w:r w:rsidRPr="00AF481C">
        <w:rPr>
          <w:rFonts w:ascii="Titillium" w:hAnsi="Titillium"/>
          <w:sz w:val="18"/>
          <w:szCs w:val="18"/>
        </w:rPr>
        <w:t xml:space="preserve"> La disponibilità della documentazione è comunicata agli interessati </w:t>
      </w:r>
      <w:r w:rsidR="00CC45D8" w:rsidRPr="00CC45D8">
        <w:rPr>
          <w:rFonts w:ascii="Titillium" w:hAnsi="Titillium"/>
          <w:i/>
          <w:iCs/>
          <w:sz w:val="18"/>
          <w:szCs w:val="18"/>
          <w:u w:val="single"/>
        </w:rPr>
        <w:t>nelle modalità previste dalla Piattaforma</w:t>
      </w:r>
      <w:r w:rsidR="00CC45D8" w:rsidRPr="00CC45D8">
        <w:rPr>
          <w:rFonts w:ascii="Titillium" w:hAnsi="Titillium"/>
          <w:sz w:val="18"/>
          <w:szCs w:val="18"/>
          <w:u w:val="single"/>
        </w:rPr>
        <w:t xml:space="preserve">. </w:t>
      </w:r>
    </w:p>
    <w:p w:rsidR="00AE28AD" w:rsidRPr="00CC45D8" w:rsidRDefault="00AE28AD" w:rsidP="00AE28AD">
      <w:pPr>
        <w:widowControl w:val="0"/>
        <w:spacing w:line="280" w:lineRule="exact"/>
        <w:rPr>
          <w:rFonts w:ascii="Titillium" w:hAnsi="Titillium"/>
          <w:sz w:val="18"/>
          <w:szCs w:val="18"/>
          <w:u w:val="single"/>
        </w:rPr>
      </w:pPr>
      <w:r w:rsidRPr="00AF481C">
        <w:rPr>
          <w:rFonts w:ascii="Titillium" w:hAnsi="Titillium"/>
          <w:sz w:val="18"/>
          <w:szCs w:val="18"/>
        </w:rPr>
        <w:t>I partecipanti collocatisi oltre il quinto posto della graduatoria possono accedere alle offerte dei concorrenti diversi dal primo presentando apposita istanza ai sensi degli articoli 3 bis e 22 della legge n. 24</w:t>
      </w:r>
      <w:r w:rsidR="00424032" w:rsidRPr="00AF481C">
        <w:rPr>
          <w:rFonts w:ascii="Titillium" w:hAnsi="Titillium"/>
          <w:sz w:val="18"/>
          <w:szCs w:val="18"/>
        </w:rPr>
        <w:t xml:space="preserve">1/90. </w:t>
      </w:r>
      <w:r w:rsidR="00424032" w:rsidRPr="00CC45D8">
        <w:rPr>
          <w:rFonts w:ascii="Titillium" w:hAnsi="Titillium"/>
          <w:sz w:val="18"/>
          <w:szCs w:val="18"/>
          <w:u w:val="single"/>
        </w:rPr>
        <w:t>L’accesso è consentito</w:t>
      </w:r>
      <w:r w:rsidR="00CC45D8" w:rsidRPr="00CC45D8">
        <w:rPr>
          <w:rFonts w:ascii="Titillium" w:hAnsi="Titillium"/>
          <w:sz w:val="18"/>
          <w:szCs w:val="18"/>
          <w:u w:val="single"/>
        </w:rPr>
        <w:t xml:space="preserve"> con la messa a disposizione della documentazione,se dovuta in rispetto alla normativa vigente, attraverso la Piattaforma previa comunicazione.</w:t>
      </w:r>
    </w:p>
    <w:p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Nel caso in cui sia richiesto l’oscuramento di parti delle offerte e dei giustificativi, le decisioni in ordine all’accoglimento o al rigetto della richiesta sono rese note dal Responsabile unico di progetto al momento della comunicazione digita</w:t>
      </w:r>
      <w:r w:rsidR="00CC45D8">
        <w:rPr>
          <w:rFonts w:ascii="Titillium" w:hAnsi="Titillium"/>
          <w:sz w:val="18"/>
          <w:szCs w:val="18"/>
        </w:rPr>
        <w:t xml:space="preserve">le dell’aggiudicazione. </w:t>
      </w:r>
      <w:r w:rsidRPr="00AF481C">
        <w:rPr>
          <w:rFonts w:ascii="Titillium" w:hAnsi="Titillium"/>
          <w:sz w:val="18"/>
          <w:szCs w:val="18"/>
        </w:rPr>
        <w:t xml:space="preserve">Le decisioni di cui sopra possono essere impugnate innanzi al Tribunale amministrativo di competenza nel termine di dieci giorni dalla comunicazione. Prima del decorso di tale termine le offerte e i giustificativi dei </w:t>
      </w:r>
      <w:r w:rsidRPr="00AF481C">
        <w:rPr>
          <w:rFonts w:ascii="Titillium" w:hAnsi="Titillium"/>
          <w:sz w:val="18"/>
          <w:szCs w:val="18"/>
        </w:rPr>
        <w:lastRenderedPageBreak/>
        <w:t>primi cinque classificati sono messi reciprocamente a disposizione, con le modalità suindicate, nella versione oscurata.</w:t>
      </w:r>
    </w:p>
    <w:p w:rsidR="00AE28AD" w:rsidRPr="00AF481C" w:rsidRDefault="00AE28AD" w:rsidP="00FA51A3">
      <w:pPr>
        <w:widowControl w:val="0"/>
        <w:spacing w:line="280" w:lineRule="exact"/>
        <w:rPr>
          <w:rFonts w:ascii="Titillium" w:hAnsi="Titillium"/>
          <w:sz w:val="18"/>
          <w:szCs w:val="18"/>
        </w:rPr>
      </w:pPr>
    </w:p>
    <w:p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rsidR="00366C47" w:rsidRPr="00AF481C" w:rsidRDefault="00366C47" w:rsidP="00AE28AD">
      <w:pPr>
        <w:widowControl w:val="0"/>
        <w:spacing w:line="280" w:lineRule="exact"/>
        <w:rPr>
          <w:rFonts w:ascii="Titillium" w:hAnsi="Titillium"/>
          <w:sz w:val="18"/>
          <w:szCs w:val="18"/>
        </w:rPr>
      </w:pPr>
    </w:p>
    <w:p w:rsidR="00AE28AD" w:rsidRPr="00AF481C" w:rsidRDefault="00AE28AD" w:rsidP="00604C9A">
      <w:pPr>
        <w:pStyle w:val="Titolo2"/>
        <w:numPr>
          <w:ilvl w:val="0"/>
          <w:numId w:val="3"/>
        </w:numPr>
      </w:pPr>
      <w:bookmarkStart w:id="2979" w:name="_Toc406058393"/>
      <w:bookmarkStart w:id="2980" w:name="_Toc403471285"/>
      <w:bookmarkStart w:id="2981" w:name="_Toc397422878"/>
      <w:bookmarkStart w:id="2982" w:name="_Toc397346837"/>
      <w:bookmarkStart w:id="2983" w:name="_Toc393706922"/>
      <w:bookmarkStart w:id="2984" w:name="_Toc393700849"/>
      <w:bookmarkStart w:id="2985" w:name="_Toc393283190"/>
      <w:bookmarkStart w:id="2986" w:name="_Toc393272674"/>
      <w:bookmarkStart w:id="2987" w:name="_Toc393272616"/>
      <w:bookmarkStart w:id="2988" w:name="_Toc393187860"/>
      <w:bookmarkStart w:id="2989" w:name="_Toc393112143"/>
      <w:bookmarkStart w:id="2990" w:name="_Toc393110579"/>
      <w:bookmarkStart w:id="2991" w:name="_Toc392577512"/>
      <w:bookmarkStart w:id="2992" w:name="_Toc391036071"/>
      <w:bookmarkStart w:id="2993" w:name="_Toc391035998"/>
      <w:bookmarkStart w:id="2994" w:name="_Toc380501885"/>
      <w:bookmarkStart w:id="2995" w:name="_Toc354038182"/>
      <w:bookmarkStart w:id="2996" w:name="_Toc416423377"/>
      <w:bookmarkStart w:id="2997" w:name="_Toc406754194"/>
      <w:bookmarkStart w:id="2998" w:name="_Toc223087509"/>
      <w:r w:rsidRPr="00AF481C">
        <w:t>DEFINIZIONE DELLE CONTROVERSIE</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rsidR="00AE28AD" w:rsidRDefault="00AE28AD" w:rsidP="00AE28AD">
      <w:pPr>
        <w:spacing w:before="60" w:after="60"/>
      </w:pPr>
      <w:r w:rsidRPr="00AF481C">
        <w:rPr>
          <w:rFonts w:ascii="Titillium" w:hAnsi="Titillium"/>
          <w:sz w:val="18"/>
          <w:szCs w:val="18"/>
          <w:lang w:eastAsia="it-IT"/>
        </w:rPr>
        <w:t xml:space="preserve">Per le controversie derivanti dalla presente procedura di gara è competente il Tribunale Amministrativo di </w:t>
      </w:r>
      <w:r w:rsidR="00CC45D8">
        <w:rPr>
          <w:rFonts w:ascii="Titillium" w:hAnsi="Titillium"/>
          <w:sz w:val="18"/>
          <w:szCs w:val="18"/>
          <w:lang w:eastAsia="it-IT"/>
        </w:rPr>
        <w:t>Bologna</w:t>
      </w:r>
      <w:r w:rsidRPr="00AF481C">
        <w:t>.</w:t>
      </w:r>
    </w:p>
    <w:p w:rsidR="00CC45D8" w:rsidRPr="00CC45D8" w:rsidRDefault="00CC45D8" w:rsidP="00AE28AD">
      <w:pPr>
        <w:spacing w:before="60" w:after="60"/>
        <w:rPr>
          <w:rFonts w:ascii="Titillium" w:hAnsi="Titillium"/>
          <w:sz w:val="18"/>
          <w:szCs w:val="18"/>
          <w:lang w:eastAsia="it-IT"/>
        </w:rPr>
      </w:pPr>
      <w:r w:rsidRPr="00CC45D8">
        <w:rPr>
          <w:rFonts w:ascii="Titillium" w:hAnsi="Titillium"/>
          <w:sz w:val="18"/>
          <w:szCs w:val="18"/>
          <w:lang w:eastAsia="it-IT"/>
        </w:rPr>
        <w:t>Si precisa che il contratto non conterrà la clausola compromissoria.</w:t>
      </w:r>
    </w:p>
    <w:p w:rsidR="00AE28AD" w:rsidRPr="00C64002" w:rsidRDefault="00DF0B81" w:rsidP="00AE28AD">
      <w:pPr>
        <w:spacing w:before="60" w:after="60"/>
        <w:rPr>
          <w:rFonts w:ascii="Titillium" w:hAnsi="Titillium"/>
          <w:sz w:val="18"/>
          <w:szCs w:val="18"/>
          <w:lang w:eastAsia="it-IT"/>
        </w:rPr>
      </w:pPr>
      <w:r w:rsidRPr="00C64002">
        <w:rPr>
          <w:rFonts w:ascii="Titillium" w:hAnsi="Titillium"/>
          <w:sz w:val="18"/>
          <w:szCs w:val="18"/>
          <w:lang w:eastAsia="it-IT"/>
        </w:rPr>
        <w:t>Ai sensi dell’art</w:t>
      </w:r>
      <w:r w:rsidR="00AE28AD" w:rsidRPr="00C64002">
        <w:rPr>
          <w:rFonts w:ascii="Titillium" w:hAnsi="Titillium"/>
          <w:sz w:val="18"/>
          <w:szCs w:val="18"/>
          <w:lang w:eastAsia="it-IT"/>
        </w:rPr>
        <w:t xml:space="preserve"> 215 del Codice </w:t>
      </w:r>
      <w:r w:rsidRPr="00C64002">
        <w:rPr>
          <w:rFonts w:ascii="Titillium" w:hAnsi="Titillium"/>
          <w:sz w:val="18"/>
          <w:szCs w:val="18"/>
          <w:lang w:eastAsia="it-IT"/>
        </w:rPr>
        <w:t>il collegio consultivo tecnico, qualora richiesto, è costituito</w:t>
      </w:r>
      <w:r w:rsidR="00AE28AD" w:rsidRPr="00C64002">
        <w:rPr>
          <w:rFonts w:ascii="Titillium" w:hAnsi="Titillium"/>
          <w:sz w:val="18"/>
          <w:szCs w:val="18"/>
          <w:lang w:eastAsia="it-IT"/>
        </w:rPr>
        <w:t xml:space="preserve"> secondo le modalità di cui all’allegato V.2 del Codice, al fine di prevenire le controversie o consentire la rapida risoluzione delle stesse o delle dispute tecniche di ogni natura che possano insorgere nell'esecuzione del contratto. I costi sono ripartiti tra le parti.</w:t>
      </w:r>
    </w:p>
    <w:p w:rsidR="00AE28AD" w:rsidRPr="00AF481C" w:rsidRDefault="00AE28AD" w:rsidP="00AE28AD">
      <w:pPr>
        <w:spacing w:before="60" w:after="60"/>
        <w:rPr>
          <w:rFonts w:ascii="Titillium" w:hAnsi="Titillium"/>
          <w:sz w:val="18"/>
          <w:szCs w:val="18"/>
          <w:lang w:eastAsia="it-IT"/>
        </w:rPr>
      </w:pPr>
      <w:r w:rsidRPr="00C64002">
        <w:rPr>
          <w:rFonts w:ascii="Titillium" w:hAnsi="Titillium"/>
          <w:sz w:val="18"/>
          <w:szCs w:val="18"/>
          <w:lang w:eastAsia="it-IT"/>
        </w:rPr>
        <w:t xml:space="preserve">Il collegio è costituito da n. </w:t>
      </w:r>
      <w:r w:rsidR="00CC45D8" w:rsidRPr="00C64002">
        <w:rPr>
          <w:rFonts w:ascii="Titillium" w:hAnsi="Titillium"/>
          <w:sz w:val="18"/>
          <w:szCs w:val="18"/>
          <w:lang w:eastAsia="it-IT"/>
        </w:rPr>
        <w:t>3</w:t>
      </w:r>
      <w:r w:rsidRPr="00C64002">
        <w:rPr>
          <w:rFonts w:ascii="Titillium" w:hAnsi="Titillium"/>
          <w:sz w:val="18"/>
          <w:szCs w:val="18"/>
          <w:lang w:eastAsia="it-IT"/>
        </w:rPr>
        <w:t xml:space="preserve"> membri.</w:t>
      </w:r>
    </w:p>
    <w:p w:rsidR="00AE28AD" w:rsidRPr="00AF481C" w:rsidRDefault="00AE28AD" w:rsidP="00AE28AD">
      <w:pPr>
        <w:spacing w:before="60" w:after="60"/>
        <w:rPr>
          <w:rFonts w:ascii="Titillium" w:hAnsi="Titillium"/>
          <w:sz w:val="18"/>
          <w:szCs w:val="18"/>
          <w:lang w:eastAsia="it-IT"/>
        </w:rPr>
      </w:pPr>
    </w:p>
    <w:p w:rsidR="00AE28AD" w:rsidRPr="00AF481C" w:rsidRDefault="00AE28AD" w:rsidP="00604C9A">
      <w:pPr>
        <w:pStyle w:val="Titolo2"/>
        <w:numPr>
          <w:ilvl w:val="0"/>
          <w:numId w:val="3"/>
        </w:numPr>
      </w:pPr>
      <w:bookmarkStart w:id="2999" w:name="_Toc406058394"/>
      <w:bookmarkStart w:id="3000" w:name="_Toc403471286"/>
      <w:bookmarkStart w:id="3001" w:name="_Toc397422879"/>
      <w:bookmarkStart w:id="3002" w:name="_Toc397346838"/>
      <w:bookmarkStart w:id="3003" w:name="_Toc393706923"/>
      <w:bookmarkStart w:id="3004" w:name="_Toc393700850"/>
      <w:bookmarkStart w:id="3005" w:name="_Toc393283191"/>
      <w:bookmarkStart w:id="3006" w:name="_Toc393272675"/>
      <w:bookmarkStart w:id="3007" w:name="_Toc393272617"/>
      <w:bookmarkStart w:id="3008" w:name="_Toc393187861"/>
      <w:bookmarkStart w:id="3009" w:name="_Toc393112144"/>
      <w:bookmarkStart w:id="3010" w:name="_Toc393110580"/>
      <w:bookmarkStart w:id="3011" w:name="_Toc392577513"/>
      <w:bookmarkStart w:id="3012" w:name="_Toc391036072"/>
      <w:bookmarkStart w:id="3013" w:name="_Toc391035999"/>
      <w:bookmarkStart w:id="3014" w:name="_Toc380501886"/>
      <w:bookmarkStart w:id="3015" w:name="_Toc354038183"/>
      <w:bookmarkStart w:id="3016" w:name="_Toc416423378"/>
      <w:bookmarkStart w:id="3017" w:name="_Toc406754195"/>
      <w:bookmarkStart w:id="3018" w:name="_Ref132066072"/>
      <w:bookmarkStart w:id="3019" w:name="_Toc223087510"/>
      <w:r w:rsidRPr="00AF481C">
        <w:t>TRATTAMENTO DEI DATI PERSONALI</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rsidR="007179CD"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 dati raccolti</w:t>
      </w:r>
      <w:r w:rsidR="007C08AD" w:rsidRPr="00AF481C">
        <w:rPr>
          <w:rFonts w:ascii="Titillium" w:hAnsi="Titillium" w:cs="Calibri"/>
          <w:sz w:val="18"/>
          <w:szCs w:val="18"/>
          <w:lang w:eastAsia="it-IT"/>
        </w:rPr>
        <w:t>, ivi inclusi quelli acquisiti tramite il FVOE,</w:t>
      </w:r>
      <w:r w:rsidRPr="00AF481C">
        <w:rPr>
          <w:rFonts w:ascii="Titillium" w:hAnsi="Titillium" w:cs="Calibri"/>
          <w:sz w:val="18"/>
          <w:szCs w:val="18"/>
          <w:lang w:eastAsia="it-IT"/>
        </w:rPr>
        <w:t xml:space="preserve">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del decreto della Presidenza del </w:t>
      </w:r>
      <w:r w:rsidR="0073223B" w:rsidRPr="00AF481C">
        <w:rPr>
          <w:rFonts w:ascii="Titillium" w:hAnsi="Titillium" w:cs="Calibri"/>
          <w:sz w:val="18"/>
          <w:szCs w:val="18"/>
          <w:lang w:eastAsia="it-IT"/>
        </w:rPr>
        <w:t>Consiglio dei ministri</w:t>
      </w:r>
      <w:r w:rsidRPr="00AF481C">
        <w:rPr>
          <w:rFonts w:ascii="Titillium" w:hAnsi="Titillium" w:cs="Calibri"/>
          <w:sz w:val="18"/>
          <w:szCs w:val="18"/>
          <w:lang w:eastAsia="it-IT"/>
        </w:rPr>
        <w:t xml:space="preserve"> n. 148/21 e dei relativi atti di attuazione.</w:t>
      </w:r>
    </w:p>
    <w:p w:rsidR="007179CD" w:rsidRDefault="007179CD" w:rsidP="007179CD">
      <w:pPr>
        <w:spacing w:before="60" w:after="60"/>
        <w:rPr>
          <w:rFonts w:ascii="Titillium" w:hAnsi="Titillium" w:cs="Calibri"/>
          <w:sz w:val="18"/>
          <w:szCs w:val="18"/>
          <w:lang w:eastAsia="it-IT"/>
        </w:rPr>
      </w:pPr>
    </w:p>
    <w:p w:rsidR="007179CD" w:rsidRPr="007179CD" w:rsidRDefault="007179CD" w:rsidP="007179CD">
      <w:pPr>
        <w:spacing w:before="60" w:after="60"/>
        <w:rPr>
          <w:rFonts w:ascii="Titillium" w:hAnsi="Titillium" w:cs="Calibri"/>
          <w:b/>
          <w:sz w:val="18"/>
          <w:szCs w:val="18"/>
          <w:lang w:eastAsia="it-IT"/>
        </w:rPr>
      </w:pPr>
      <w:r w:rsidRPr="007179CD">
        <w:rPr>
          <w:rFonts w:ascii="Titillium" w:hAnsi="Titillium" w:cs="Calibri"/>
          <w:b/>
          <w:sz w:val="18"/>
          <w:szCs w:val="18"/>
          <w:lang w:eastAsia="it-IT"/>
        </w:rPr>
        <w:t>29.1 INFORMATIVA</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Ai sensi dell’art.13 del Regolamento UE/2016/679 (GDPR) si informa che il trattamento dei dati personali conferiti nell’ambito della procedura di acquisizione di beni o servizi, o comunque raccolti dall’Azienda USL di Bologna a tale scopo</w:t>
      </w:r>
      <w:r w:rsidR="00511ADF">
        <w:rPr>
          <w:rFonts w:ascii="Titillium" w:hAnsi="Titillium" w:cs="Calibri"/>
          <w:sz w:val="18"/>
          <w:szCs w:val="18"/>
          <w:lang w:eastAsia="it-IT"/>
        </w:rPr>
        <w:t xml:space="preserve">, </w:t>
      </w:r>
      <w:r w:rsidR="00511ADF" w:rsidRPr="00AF481C">
        <w:rPr>
          <w:rFonts w:ascii="Titillium" w:hAnsi="Titillium" w:cs="Calibri"/>
          <w:sz w:val="18"/>
          <w:szCs w:val="18"/>
          <w:lang w:eastAsia="it-IT"/>
        </w:rPr>
        <w:t>ivi inclusi quelli acquisiti tramite il FVOE</w:t>
      </w:r>
      <w:r w:rsidRPr="007179CD">
        <w:rPr>
          <w:rFonts w:ascii="Titillium" w:hAnsi="Titillium" w:cs="Calibri"/>
          <w:sz w:val="18"/>
          <w:szCs w:val="18"/>
          <w:lang w:eastAsia="it-IT"/>
        </w:rPr>
        <w:t>, è finalizzato unicamente all’espletamento della predetta procedura, nonché delle attività ad essa correlate e conseguenti.</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 xml:space="preserve">L’Azienda, per le finalità sopra descritte, raccoglie e tratta: Dati personali di cui all’art. 4 paragrafo 1, Categorie particolari di dati personali di cui all’art.9 paragrafo 1 e Dati giudiziari, di cui all’art. 10 del Regolamento UE, relativi a condanne penali o a reati, il cui trattamento è effettuato esclusivamente per valutare il possesso dei requisiti e delle qualità previsti dalla vigente normativa per permettere la partecipazione alla procedura di gara e l’eventuale aggiudicazione. </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In relazione alle descritte finalità, il trattamento dei dati personali avviene mediante strumenti manuali, informatici e telematici, con logiche strettamente correlate alle finalità predette e, comunque, in modo da garantire la sicurezza e la riservatezza dei dati stessi. I dati potranno essere trattati anche in base ai criteri qualitativi, quantitativi e temporali di volta in volta individuati.</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Il conferimento dei dati richiesti dall’Azienda è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 dati conferiti sono trattati dagli operatori dell’Azienda individuati quali Incaricati del trattamento, a cui sono impartite idonee istruzioni in ordine a misure, accorgimenti, modus operandi, tutti volti alla concreta tutela dei dati personali.</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lastRenderedPageBreak/>
        <w:t>I dati raccolti potranno altresì essere conosciuti da:</w:t>
      </w:r>
    </w:p>
    <w:p w:rsidR="007179CD" w:rsidRPr="007179CD" w:rsidRDefault="007179CD" w:rsidP="00BE4F13">
      <w:pPr>
        <w:pStyle w:val="Paragrafoelenco"/>
        <w:numPr>
          <w:ilvl w:val="0"/>
          <w:numId w:val="52"/>
        </w:numPr>
        <w:spacing w:before="60" w:after="60"/>
        <w:rPr>
          <w:rFonts w:ascii="Titillium" w:hAnsi="Titillium" w:cs="Calibri"/>
          <w:sz w:val="18"/>
          <w:szCs w:val="18"/>
          <w:lang w:eastAsia="it-IT"/>
        </w:rPr>
      </w:pPr>
      <w:r w:rsidRPr="007179CD">
        <w:rPr>
          <w:rFonts w:ascii="Titillium" w:hAnsi="Titillium" w:cs="Calibri"/>
          <w:sz w:val="18"/>
          <w:szCs w:val="18"/>
          <w:lang w:eastAsia="it-IT"/>
        </w:rPr>
        <w:t>Soggetti esterni, i cui nominativi sono a disposizione degli interessati, facenti parte della Commissione;</w:t>
      </w:r>
    </w:p>
    <w:p w:rsidR="007179CD" w:rsidRPr="007179CD" w:rsidRDefault="007179CD" w:rsidP="00BE4F13">
      <w:pPr>
        <w:pStyle w:val="Paragrafoelenco"/>
        <w:numPr>
          <w:ilvl w:val="0"/>
          <w:numId w:val="52"/>
        </w:numPr>
        <w:spacing w:before="60" w:after="60"/>
        <w:rPr>
          <w:rFonts w:ascii="Titillium" w:hAnsi="Titillium" w:cs="Calibri"/>
          <w:sz w:val="18"/>
          <w:szCs w:val="18"/>
          <w:lang w:eastAsia="it-IT"/>
        </w:rPr>
      </w:pPr>
      <w:r w:rsidRPr="007179CD">
        <w:rPr>
          <w:rFonts w:ascii="Titillium" w:hAnsi="Titillium" w:cs="Calibri"/>
          <w:sz w:val="18"/>
          <w:szCs w:val="18"/>
          <w:lang w:eastAsia="it-IT"/>
        </w:rPr>
        <w:t>Soggetti terzi fornitori di servizi per l’Azienda, o comunque ad essa legati da rapporto contrattuale, unicamente per le finalità sopra descritte, previa designazione in qualità di Responsabili del trattamento e comunque garantendo il medesimo livello di protezione;</w:t>
      </w:r>
    </w:p>
    <w:p w:rsidR="007179CD" w:rsidRPr="007179CD" w:rsidRDefault="007179CD" w:rsidP="00BE4F13">
      <w:pPr>
        <w:pStyle w:val="Paragrafoelenco"/>
        <w:numPr>
          <w:ilvl w:val="0"/>
          <w:numId w:val="52"/>
        </w:numPr>
        <w:spacing w:before="60" w:after="60"/>
        <w:rPr>
          <w:rFonts w:ascii="Titillium" w:hAnsi="Titillium" w:cs="Calibri"/>
          <w:sz w:val="18"/>
          <w:szCs w:val="18"/>
          <w:lang w:eastAsia="it-IT"/>
        </w:rPr>
      </w:pPr>
      <w:r w:rsidRPr="007179CD">
        <w:rPr>
          <w:rFonts w:ascii="Titillium" w:hAnsi="Titillium" w:cs="Calibri"/>
          <w:sz w:val="18"/>
          <w:szCs w:val="18"/>
          <w:lang w:eastAsia="it-IT"/>
        </w:rPr>
        <w:t>Altre Amministrazioni pubbliche, cui i dati potranno essere comunicati per adempimenti legali e procedimentali;</w:t>
      </w:r>
    </w:p>
    <w:p w:rsidR="007179CD" w:rsidRPr="007179CD" w:rsidRDefault="007179CD" w:rsidP="00BE4F13">
      <w:pPr>
        <w:pStyle w:val="Paragrafoelenco"/>
        <w:numPr>
          <w:ilvl w:val="0"/>
          <w:numId w:val="52"/>
        </w:numPr>
        <w:spacing w:before="60" w:after="60"/>
        <w:rPr>
          <w:rFonts w:ascii="Titillium" w:hAnsi="Titillium" w:cs="Calibri"/>
          <w:sz w:val="18"/>
          <w:szCs w:val="18"/>
          <w:lang w:eastAsia="it-IT"/>
        </w:rPr>
      </w:pPr>
      <w:r w:rsidRPr="007179CD">
        <w:rPr>
          <w:rFonts w:ascii="Titillium" w:hAnsi="Titillium" w:cs="Calibri"/>
          <w:sz w:val="18"/>
          <w:szCs w:val="18"/>
          <w:lang w:eastAsia="it-IT"/>
        </w:rPr>
        <w:t>Altri concorrenti che facciano richiesta di accesso ai documenti di gara, secondo le modalità e nei limiti di quanto previsto dalla vigente normativa in materia di appalti;</w:t>
      </w:r>
    </w:p>
    <w:p w:rsidR="007179CD" w:rsidRPr="007179CD" w:rsidRDefault="007179CD" w:rsidP="00BE4F13">
      <w:pPr>
        <w:pStyle w:val="Paragrafoelenco"/>
        <w:numPr>
          <w:ilvl w:val="0"/>
          <w:numId w:val="52"/>
        </w:numPr>
        <w:spacing w:before="60" w:after="60"/>
        <w:rPr>
          <w:rFonts w:ascii="Titillium" w:hAnsi="Titillium" w:cs="Calibri"/>
          <w:sz w:val="18"/>
          <w:szCs w:val="18"/>
          <w:lang w:eastAsia="it-IT"/>
        </w:rPr>
      </w:pPr>
      <w:r w:rsidRPr="007179CD">
        <w:rPr>
          <w:rFonts w:ascii="Titillium" w:hAnsi="Titillium" w:cs="Calibri"/>
          <w:sz w:val="18"/>
          <w:szCs w:val="18"/>
          <w:lang w:eastAsia="it-IT"/>
        </w:rPr>
        <w:t>Legali incaricati per la tutela dell’Azienda in sede giudiziaria.</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 dati relativi al concorrente aggiudicatario della gara ed il prezzo di aggiudicazione dell’appalto saranno pubblicati, come da normativa sugli appalti, sul profilo del committente dell’Azienda USL di Bologna www.ausl.bologna.i</w:t>
      </w:r>
      <w:r>
        <w:rPr>
          <w:rFonts w:ascii="Titillium" w:hAnsi="Titillium" w:cs="Calibri"/>
          <w:sz w:val="18"/>
          <w:szCs w:val="18"/>
          <w:lang w:eastAsia="it-IT"/>
        </w:rPr>
        <w:t>t - bandi di gara e contratti -.</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 dati personali non saranno trasferiti al di fuori dell’Unione Europea.</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 dati verranno conservati per un arco di tempo non superiore a quello necessario al raggiungimento delle finalità per i quali essi sono trattati.</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Il periodo di conservazione dei dati, ad esclusione di quelli soggetti a conservazione illimitata ai sensi di leggi, è di norma 10 anni dalla conclusione dell’esecuzione del contratto, comunque, per un arco di tempo non superiore a quello necessario all’adempimento degli obblighi normativi.</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In qualunque momento l’interessato può esercitare i diritti previsti dagli artt. 15 e seguenti del Regolamento UE/2016/679.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all’Azienda USL di Bologna – Via Castiglione 29 – 40124 Bologna.</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L’interessato ha altresì il diritto di proporre reclamo all’autorità Garante per la protezione dei Dati personali (www.garanteprivacy.it).</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Titolare del trattamento dei dati personali di cui alla presente informativa è l’Azienda USL di Bologna, con sede in Bologna, Via Castiglione 29, CAP 40124.</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Il Referente privacy della procedura di gara è la Dott.ssa Antonia Crugliano, Direttore del Servizio Acquisti Area di Vasta.</w:t>
      </w:r>
    </w:p>
    <w:p w:rsidR="007179CD" w:rsidRPr="007179CD" w:rsidRDefault="007179CD" w:rsidP="007179CD">
      <w:pPr>
        <w:spacing w:before="60" w:after="60"/>
        <w:rPr>
          <w:rFonts w:ascii="Titillium" w:hAnsi="Titillium" w:cs="Calibri"/>
          <w:sz w:val="18"/>
          <w:szCs w:val="18"/>
          <w:lang w:eastAsia="it-IT"/>
        </w:rPr>
      </w:pPr>
      <w:r w:rsidRPr="007179CD">
        <w:rPr>
          <w:rFonts w:ascii="Titillium" w:hAnsi="Titillium" w:cs="Calibri"/>
          <w:sz w:val="18"/>
          <w:szCs w:val="18"/>
          <w:lang w:eastAsia="it-IT"/>
        </w:rPr>
        <w:t>I recapiti del Responsabile della protezione dei dati (DPO) sono: dpo@aosp.bo.it ; PEC  dpo@pec.aosp.bo.it).</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7179CD">
      <w:pPr>
        <w:spacing w:before="60" w:after="60"/>
        <w:rPr>
          <w:rFonts w:ascii="Titillium" w:hAnsi="Titillium" w:cs="Calibri"/>
          <w:b/>
          <w:sz w:val="18"/>
          <w:szCs w:val="18"/>
          <w:lang w:eastAsia="it-IT"/>
        </w:rPr>
      </w:pPr>
      <w:r w:rsidRPr="007179CD">
        <w:rPr>
          <w:rFonts w:ascii="Titillium" w:hAnsi="Titillium" w:cs="Calibri"/>
          <w:b/>
          <w:sz w:val="18"/>
          <w:szCs w:val="18"/>
          <w:lang w:eastAsia="it-IT"/>
        </w:rPr>
        <w:t>29.2 RESPONSABILE DEL TRATTAMENTO DEI DATI PERSONALI AI SENSI DEL REGOLAMENTO U.E. 679/2016</w:t>
      </w: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In esecuzione del presente contratto, codesta ditta effettua trattamento di dati personali di titolarità dell’Azienda e pertanto assume il ruolo di Responsabile del Trattamento ai sensi dell’art.28 del Regolamento UE.</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In virtù di tale trattamento, le Parti si impegnano a formalizzare l’atto di nomina a Responsabile del trattamento al fine di disciplinare oneri e responsabilità in aderenza al Regolamento (UE) del Parlamento e del Consiglio europeo n. 2016/679 (di seguito, anche “GDPR”) e da ogni altra normativa applicabile, secondo le modalità individuate dalle singole Aziende Sanitarie in qualità di Titolari del Trattamento.</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Con riferimento all’attività di trattamento dei dati personali cui concorre la Ditta, la stessa assicura massima cooperazione e assistenza al fine di consentire la redazione da parte del Titolare della eventuale DPIA e, in ogni caso, garantisce l’applicazione delle azioni di mitigazione previste nella DPIA o comunque ritenute idonee dall’Azienda</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La Ditta dovrà garantire all’Azienda, tenuto conto dello stato della tecnica, dei costi, della natura, dell’ambito e della finalità del relativo trattamento, l’adozione, sia nella fase iniziale di determinazione dei mezzi di trattamento, che durante il trattamento stesso, di ogni misura tecnica ed organizzativa che riterrà opportuna per garantire ed attuare i principi previsti in materia di protezione dati e a tutelare i diritti degli interessati.</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 xml:space="preserve">In linea con i principi di privacy by default, dovranno essere trattati, per impostazione predefinita, esclusivamente quei dati personali necessari per ogni specifica finalità del trattamento, e che in particolare non siano accessibili dati personali ad un numero indefinito di soggetti senza l’intervento di una persona fisica. </w:t>
      </w:r>
    </w:p>
    <w:p w:rsidR="007179CD" w:rsidRPr="007179CD" w:rsidRDefault="007179CD" w:rsidP="007179CD">
      <w:pPr>
        <w:spacing w:before="60" w:after="60"/>
        <w:rPr>
          <w:rFonts w:ascii="Titillium" w:hAnsi="Titillium" w:cs="Calibri"/>
          <w:sz w:val="18"/>
          <w:szCs w:val="18"/>
          <w:lang w:eastAsia="it-IT"/>
        </w:rPr>
      </w:pPr>
    </w:p>
    <w:p w:rsidR="007179CD" w:rsidRPr="007179CD" w:rsidRDefault="007179CD" w:rsidP="00BE4F13">
      <w:pPr>
        <w:pStyle w:val="Paragrafoelenco"/>
        <w:numPr>
          <w:ilvl w:val="0"/>
          <w:numId w:val="53"/>
        </w:numPr>
        <w:spacing w:before="60" w:after="60"/>
        <w:rPr>
          <w:rFonts w:ascii="Titillium" w:hAnsi="Titillium" w:cs="Calibri"/>
          <w:sz w:val="18"/>
          <w:szCs w:val="18"/>
          <w:lang w:eastAsia="it-IT"/>
        </w:rPr>
      </w:pPr>
      <w:r w:rsidRPr="007179CD">
        <w:rPr>
          <w:rFonts w:ascii="Titillium" w:hAnsi="Titillium" w:cs="Calibri"/>
          <w:sz w:val="18"/>
          <w:szCs w:val="18"/>
          <w:lang w:eastAsia="it-IT"/>
        </w:rPr>
        <w:t>La Ditta assicura, altresì, la tenuta di apposito registro dei trattamenti che, su richiesta, viene messo a disposizione dell’Azienda e/o dell’Autorità di controllo.</w:t>
      </w:r>
    </w:p>
    <w:p w:rsidR="007179CD" w:rsidRPr="007179CD" w:rsidRDefault="007179CD" w:rsidP="007179CD">
      <w:pPr>
        <w:spacing w:before="60" w:after="60"/>
        <w:rPr>
          <w:rFonts w:ascii="Titillium" w:hAnsi="Titillium" w:cs="Calibri"/>
          <w:sz w:val="18"/>
          <w:szCs w:val="18"/>
          <w:lang w:eastAsia="it-IT"/>
        </w:rPr>
      </w:pPr>
    </w:p>
    <w:p w:rsidR="007179CD" w:rsidRPr="00FA6476" w:rsidRDefault="007179CD" w:rsidP="00BE4F13">
      <w:pPr>
        <w:pStyle w:val="Paragrafoelenco"/>
        <w:numPr>
          <w:ilvl w:val="0"/>
          <w:numId w:val="53"/>
        </w:numPr>
        <w:spacing w:before="60" w:after="60"/>
        <w:rPr>
          <w:rFonts w:ascii="Titillium" w:hAnsi="Titillium" w:cs="Calibri"/>
          <w:sz w:val="18"/>
          <w:szCs w:val="18"/>
          <w:lang w:eastAsia="it-IT"/>
        </w:rPr>
      </w:pPr>
      <w:r w:rsidRPr="00FA6476">
        <w:rPr>
          <w:rFonts w:ascii="Titillium" w:hAnsi="Titillium" w:cs="Calibri"/>
          <w:sz w:val="18"/>
          <w:szCs w:val="18"/>
          <w:lang w:eastAsia="it-IT"/>
        </w:rPr>
        <w:t>Le Parti riconoscono e convengono che il rispetto delle istruzioni di cui all’atto di nomina, nonché alle prescrizioni della normativa applicabile, non producono l’insorgere di un diritto in capo al Responsabile del trattamento al rimborso delle eventuali spese che lo stesso potrebbe dover sostenere per conformarsi.</w:t>
      </w:r>
    </w:p>
    <w:p w:rsidR="007179CD" w:rsidRDefault="007179CD" w:rsidP="00AE28AD">
      <w:pPr>
        <w:spacing w:before="60" w:after="60"/>
        <w:rPr>
          <w:rFonts w:ascii="Titillium" w:hAnsi="Titillium" w:cs="Calibri"/>
          <w:sz w:val="18"/>
          <w:szCs w:val="18"/>
          <w:lang w:eastAsia="it-IT"/>
        </w:rPr>
      </w:pPr>
    </w:p>
    <w:p w:rsidR="00511ADF" w:rsidRDefault="00511ADF" w:rsidP="00511ADF">
      <w:pPr>
        <w:pStyle w:val="Titolo2"/>
        <w:numPr>
          <w:ilvl w:val="0"/>
          <w:numId w:val="3"/>
        </w:numPr>
      </w:pPr>
      <w:r>
        <w:tab/>
      </w:r>
      <w:bookmarkStart w:id="3020" w:name="_Toc223087511"/>
      <w:r>
        <w:t>DISPOSIZIONI FINALI</w:t>
      </w:r>
      <w:bookmarkEnd w:id="3020"/>
    </w:p>
    <w:p w:rsidR="00511ADF" w:rsidRPr="00511ADF" w:rsidRDefault="00511ADF" w:rsidP="00511ADF">
      <w:pPr>
        <w:tabs>
          <w:tab w:val="left" w:pos="2004"/>
        </w:tabs>
        <w:rPr>
          <w:rFonts w:ascii="Titillium" w:hAnsi="Titillium" w:cs="Calibri"/>
          <w:sz w:val="18"/>
          <w:szCs w:val="18"/>
          <w:lang w:eastAsia="it-IT"/>
        </w:rPr>
      </w:pPr>
      <w:r w:rsidRPr="00511ADF">
        <w:rPr>
          <w:rFonts w:ascii="Titillium" w:hAnsi="Titillium" w:cs="Calibri"/>
          <w:sz w:val="18"/>
          <w:szCs w:val="18"/>
          <w:lang w:eastAsia="it-IT"/>
        </w:rPr>
        <w:t>In caso di modificazione dell’assetto societario o gestionale dell’impresa la ditta aggiudicataria, nel termine di trenta giorni dall’intervenuta modificazione, dovrà trasmettere all’Ufficio Territoriale del Governo di Bologna, copia degli atti dai quali risulta l’intervenuta modificazione relativamente ai soggetti destinatari di verifiche antimafia (art. 86 D.Lgs. 6/9/11 n.159).</w:t>
      </w:r>
    </w:p>
    <w:p w:rsidR="00511ADF" w:rsidRPr="00511ADF" w:rsidRDefault="00511ADF" w:rsidP="00511ADF">
      <w:pPr>
        <w:tabs>
          <w:tab w:val="left" w:pos="2004"/>
        </w:tabs>
        <w:rPr>
          <w:rFonts w:ascii="Titillium" w:hAnsi="Titillium" w:cs="Calibri"/>
          <w:sz w:val="18"/>
          <w:szCs w:val="18"/>
          <w:lang w:eastAsia="it-IT"/>
        </w:rPr>
      </w:pPr>
      <w:r w:rsidRPr="00511ADF">
        <w:rPr>
          <w:rFonts w:ascii="Titillium" w:hAnsi="Titillium" w:cs="Calibri"/>
          <w:sz w:val="18"/>
          <w:szCs w:val="18"/>
          <w:lang w:eastAsia="it-IT"/>
        </w:rPr>
        <w:t xml:space="preserve">La Ditta aggiudicataria è tenuta a inoltrare tale comunicazione anche all'Azienda USL di Bologna. </w:t>
      </w:r>
    </w:p>
    <w:p w:rsidR="00511ADF" w:rsidRPr="00511ADF" w:rsidRDefault="00511ADF" w:rsidP="00511ADF">
      <w:pPr>
        <w:tabs>
          <w:tab w:val="left" w:pos="2004"/>
        </w:tabs>
        <w:rPr>
          <w:rFonts w:ascii="Titillium" w:hAnsi="Titillium" w:cs="Calibri"/>
          <w:sz w:val="18"/>
          <w:szCs w:val="18"/>
          <w:lang w:eastAsia="it-IT"/>
        </w:rPr>
      </w:pPr>
      <w:r w:rsidRPr="00511ADF">
        <w:rPr>
          <w:rFonts w:ascii="Titillium" w:hAnsi="Titillium" w:cs="Calibri"/>
          <w:sz w:val="18"/>
          <w:szCs w:val="18"/>
          <w:lang w:eastAsia="it-IT"/>
        </w:rPr>
        <w:t>S’informa, inoltre, che gli atti amministrativi sono resi pubblici, per opportuna conoscenza, dalla data di pubblicazione all’Albo Informatico consultabile sul sito istituzionale dell’Azienda USL di Bologna.</w:t>
      </w:r>
    </w:p>
    <w:p w:rsidR="00511ADF" w:rsidRDefault="00511ADF" w:rsidP="00511ADF">
      <w:pPr>
        <w:tabs>
          <w:tab w:val="left" w:pos="2004"/>
        </w:tabs>
      </w:pPr>
    </w:p>
    <w:p w:rsidR="00912D15" w:rsidRPr="00511ADF" w:rsidRDefault="00511ADF" w:rsidP="00511ADF">
      <w:pPr>
        <w:tabs>
          <w:tab w:val="left" w:pos="2004"/>
        </w:tabs>
        <w:rPr>
          <w:rFonts w:ascii="Titillium" w:hAnsi="Titillium" w:cs="Calibri"/>
          <w:sz w:val="18"/>
          <w:szCs w:val="18"/>
          <w:lang w:eastAsia="it-IT"/>
        </w:rPr>
      </w:pPr>
      <w:r w:rsidRPr="00511ADF">
        <w:rPr>
          <w:rFonts w:ascii="Titillium" w:hAnsi="Titillium" w:cs="Calibri"/>
          <w:sz w:val="18"/>
          <w:szCs w:val="18"/>
          <w:lang w:eastAsia="it-IT"/>
        </w:rPr>
        <w:t>Distinti saluti.</w:t>
      </w:r>
    </w:p>
    <w:p w:rsidR="0082444C" w:rsidRDefault="00912D15" w:rsidP="00457482">
      <w:pPr>
        <w:tabs>
          <w:tab w:val="left" w:pos="2004"/>
        </w:tabs>
        <w:rPr>
          <w:rFonts w:ascii="Titillium" w:hAnsi="Titillium"/>
          <w:sz w:val="18"/>
          <w:szCs w:val="18"/>
        </w:rPr>
      </w:pP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sidR="00511ADF" w:rsidRPr="00511ADF">
        <w:rPr>
          <w:rFonts w:ascii="Titillium" w:hAnsi="Titillium"/>
          <w:sz w:val="18"/>
          <w:szCs w:val="18"/>
        </w:rPr>
        <w:t xml:space="preserve"> SERVIZIO ACQUISTI AREA VASTA</w:t>
      </w:r>
      <w:r>
        <w:rPr>
          <w:rFonts w:ascii="Titillium" w:hAnsi="Titillium"/>
          <w:sz w:val="18"/>
          <w:szCs w:val="18"/>
        </w:rPr>
        <w:tab/>
      </w:r>
    </w:p>
    <w:p w:rsidR="0082444C" w:rsidRDefault="0082444C" w:rsidP="00457482">
      <w:pPr>
        <w:tabs>
          <w:tab w:val="left" w:pos="2004"/>
        </w:tabs>
        <w:rPr>
          <w:rFonts w:ascii="Titillium" w:hAnsi="Titillium"/>
          <w:sz w:val="18"/>
          <w:szCs w:val="18"/>
        </w:rPr>
      </w:pPr>
      <w:r>
        <w:rPr>
          <w:rFonts w:ascii="Titillium" w:hAnsi="Titillium"/>
          <w:sz w:val="18"/>
          <w:szCs w:val="18"/>
        </w:rPr>
        <w:t xml:space="preserve">                                                 IL RUPA</w:t>
      </w:r>
    </w:p>
    <w:p w:rsidR="00912D15" w:rsidRPr="00912D15" w:rsidRDefault="0082444C" w:rsidP="00457482">
      <w:pPr>
        <w:tabs>
          <w:tab w:val="left" w:pos="2004"/>
        </w:tabs>
        <w:rPr>
          <w:rFonts w:ascii="Titillium" w:hAnsi="Titillium"/>
          <w:sz w:val="18"/>
          <w:szCs w:val="18"/>
        </w:rPr>
      </w:pPr>
      <w:r>
        <w:rPr>
          <w:rFonts w:ascii="Titillium" w:hAnsi="Titillium"/>
          <w:sz w:val="18"/>
          <w:szCs w:val="18"/>
        </w:rPr>
        <w:t xml:space="preserve">                                           Dott. Antonio Capobianco</w:t>
      </w:r>
      <w:r w:rsidR="00912D15">
        <w:rPr>
          <w:rFonts w:ascii="Titillium" w:hAnsi="Titillium"/>
          <w:sz w:val="18"/>
          <w:szCs w:val="18"/>
        </w:rPr>
        <w:tab/>
      </w:r>
      <w:r w:rsidR="00912D15">
        <w:rPr>
          <w:rFonts w:ascii="Titillium" w:hAnsi="Titillium"/>
          <w:sz w:val="18"/>
          <w:szCs w:val="18"/>
        </w:rPr>
        <w:tab/>
      </w:r>
      <w:r w:rsidR="00912D15">
        <w:rPr>
          <w:rFonts w:ascii="Titillium" w:hAnsi="Titillium"/>
          <w:sz w:val="18"/>
          <w:szCs w:val="18"/>
        </w:rPr>
        <w:tab/>
      </w:r>
      <w:r w:rsidR="00912D15">
        <w:rPr>
          <w:rFonts w:ascii="Titillium" w:hAnsi="Titillium"/>
          <w:sz w:val="18"/>
          <w:szCs w:val="18"/>
        </w:rPr>
        <w:tab/>
      </w:r>
      <w:r w:rsidR="00912D15">
        <w:rPr>
          <w:rFonts w:ascii="Titillium" w:hAnsi="Titillium"/>
          <w:sz w:val="18"/>
          <w:szCs w:val="18"/>
        </w:rPr>
        <w:tab/>
      </w:r>
      <w:r w:rsidR="00912D15">
        <w:rPr>
          <w:rFonts w:ascii="Titillium" w:hAnsi="Titillium"/>
          <w:sz w:val="18"/>
          <w:szCs w:val="18"/>
        </w:rPr>
        <w:tab/>
      </w:r>
      <w:r w:rsidR="00912D15">
        <w:rPr>
          <w:rFonts w:ascii="Titillium" w:hAnsi="Titillium"/>
          <w:sz w:val="18"/>
          <w:szCs w:val="18"/>
        </w:rPr>
        <w:tab/>
      </w:r>
    </w:p>
    <w:p w:rsidR="00912D15" w:rsidRPr="00912D15" w:rsidRDefault="00912D15" w:rsidP="00511ADF">
      <w:pPr>
        <w:tabs>
          <w:tab w:val="left" w:pos="2004"/>
        </w:tabs>
        <w:rPr>
          <w:rFonts w:ascii="Titillium" w:hAnsi="Titillium"/>
          <w:sz w:val="18"/>
          <w:szCs w:val="18"/>
        </w:rPr>
      </w:pPr>
    </w:p>
    <w:sectPr w:rsidR="00912D15" w:rsidRPr="00912D15" w:rsidSect="00AE28AD">
      <w:headerReference w:type="default" r:id="rId24"/>
      <w:footerReference w:type="default" r:id="rId25"/>
      <w:pgSz w:w="11906" w:h="16838" w:code="9"/>
      <w:pgMar w:top="1418" w:right="1134" w:bottom="680" w:left="1548" w:header="851" w:footer="454"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6C8" w:rsidRDefault="00CB06C8">
      <w:pPr>
        <w:spacing w:line="240" w:lineRule="auto"/>
      </w:pPr>
      <w:r>
        <w:separator/>
      </w:r>
    </w:p>
  </w:endnote>
  <w:endnote w:type="continuationSeparator" w:id="1">
    <w:p w:rsidR="00CB06C8" w:rsidRDefault="00CB06C8">
      <w:pPr>
        <w:spacing w:line="240" w:lineRule="auto"/>
      </w:pPr>
      <w:r>
        <w:continuationSeparator/>
      </w:r>
    </w:p>
  </w:endnote>
  <w:endnote w:type="continuationNotice" w:id="2">
    <w:p w:rsidR="00CB06C8" w:rsidRDefault="00CB06C8">
      <w:pPr>
        <w:spacing w:line="240" w:lineRule="auto"/>
      </w:pPr>
    </w:p>
  </w:endnote>
</w:endnotes>
</file>

<file path=word/fontTable.xml><?xml version="1.0" encoding="utf-8"?>
<w:fonts xmlns:r="http://schemas.openxmlformats.org/officeDocument/2006/relationships" xmlns:w="http://schemas.openxmlformats.org/wordprocessingml/2006/main">
  <w:font w:name="Titillium">
    <w:altName w:val="Liberation Mono"/>
    <w:panose1 w:val="00000000000000000000"/>
    <w:charset w:val="00"/>
    <w:family w:val="modern"/>
    <w:notTrueType/>
    <w:pitch w:val="variable"/>
    <w:sig w:usb0="00000001"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ium">
    <w:altName w:val="Calibri"/>
    <w:charset w:val="01"/>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itillium-Regular">
    <w:altName w:val="Calibri"/>
    <w:panose1 w:val="00000000000000000000"/>
    <w:charset w:val="00"/>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0">
    <w:altName w:val="Times New Roman"/>
    <w:panose1 w:val="00000000000000000000"/>
    <w:charset w:val="00"/>
    <w:family w:val="roman"/>
    <w:notTrueType/>
    <w:pitch w:val="default"/>
    <w:sig w:usb0="00000000" w:usb1="00000000" w:usb2="00000000" w:usb3="00000000" w:csb0="00000000" w:csb1="00000000"/>
  </w:font>
  <w:font w:name="Gotham Light">
    <w:altName w:val="Arial"/>
    <w:panose1 w:val="00000000000000000000"/>
    <w:charset w:val="00"/>
    <w:family w:val="modern"/>
    <w:notTrueType/>
    <w:pitch w:val="variable"/>
    <w:sig w:usb0="A00000AF" w:usb1="50000048" w:usb2="00000000" w:usb3="00000000" w:csb0="00000111" w:csb1="00000000"/>
  </w:font>
  <w:font w:name="Gotham Book">
    <w:altName w:val="Arial"/>
    <w:panose1 w:val="00000000000000000000"/>
    <w:charset w:val="00"/>
    <w:family w:val="modern"/>
    <w:notTrueType/>
    <w:pitch w:val="variable"/>
    <w:sig w:usb0="00000001" w:usb1="50000048" w:usb2="00000000" w:usb3="00000000" w:csb0="00000111" w:csb1="00000000"/>
  </w:font>
  <w:font w:name="Times New Roman (Corpo CS)">
    <w:altName w:val="Times New Roman"/>
    <w:panose1 w:val="00000000000000000000"/>
    <w:charset w:val="00"/>
    <w:family w:val="roman"/>
    <w:notTrueType/>
    <w:pitch w:val="default"/>
    <w:sig w:usb0="00000000" w:usb1="00000000" w:usb2="00000000" w:usb3="00000000" w:csb0="00000000" w:csb1="00000000"/>
  </w:font>
  <w:font w:name="Gotham Medium">
    <w:altName w:val="Calibri"/>
    <w:charset w:val="00"/>
    <w:family w:val="auto"/>
    <w:pitch w:val="variable"/>
    <w:sig w:usb0="800000AF" w:usb1="40000048" w:usb2="00000000" w:usb3="00000000" w:csb0="0000011B"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Times New Roman"/>
    <w:charset w:val="00"/>
    <w:family w:val="roman"/>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C8" w:rsidRDefault="00CB06C8">
    <w:pPr>
      <w:pStyle w:val="Pidipagina"/>
      <w:spacing w:after="100"/>
      <w:jc w:val="right"/>
    </w:pPr>
    <w:r>
      <w:rPr>
        <w:rFonts w:ascii="Titillium" w:hAnsi="Titillium"/>
        <w:sz w:val="16"/>
        <w:szCs w:val="16"/>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CA44F6">
      <w:rPr>
        <w:rFonts w:ascii="Titillium" w:hAnsi="Titillium"/>
        <w:b/>
        <w:bCs/>
        <w:noProof/>
        <w:sz w:val="16"/>
        <w:szCs w:val="16"/>
      </w:rPr>
      <w:t>39</w:t>
    </w:r>
    <w:r>
      <w:rPr>
        <w:rFonts w:ascii="Titillium" w:hAnsi="Titillium"/>
        <w:b/>
        <w:bCs/>
        <w:sz w:val="16"/>
        <w:szCs w:val="16"/>
      </w:rPr>
      <w:fldChar w:fldCharType="end"/>
    </w:r>
    <w:r>
      <w:rPr>
        <w:rFonts w:ascii="Titillium" w:hAnsi="Titillium"/>
        <w:sz w:val="16"/>
        <w:szCs w:val="16"/>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CA44F6">
      <w:rPr>
        <w:rFonts w:ascii="Titillium" w:hAnsi="Titillium"/>
        <w:b/>
        <w:bCs/>
        <w:noProof/>
        <w:sz w:val="16"/>
        <w:szCs w:val="16"/>
      </w:rPr>
      <w:t>39</w:t>
    </w:r>
    <w:r>
      <w:rPr>
        <w:rFonts w:ascii="Titillium" w:hAnsi="Titillium"/>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6C8" w:rsidRDefault="00CB06C8">
      <w:pPr>
        <w:spacing w:line="240" w:lineRule="auto"/>
      </w:pPr>
      <w:r>
        <w:separator/>
      </w:r>
    </w:p>
  </w:footnote>
  <w:footnote w:type="continuationSeparator" w:id="1">
    <w:p w:rsidR="00CB06C8" w:rsidRDefault="00CB06C8">
      <w:pPr>
        <w:spacing w:line="240" w:lineRule="auto"/>
      </w:pPr>
      <w:r>
        <w:continuationSeparator/>
      </w:r>
    </w:p>
  </w:footnote>
  <w:footnote w:type="continuationNotice" w:id="2">
    <w:p w:rsidR="00CB06C8" w:rsidRDefault="00CB06C8">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C8" w:rsidRDefault="00CB06C8" w:rsidP="00F3762C">
    <w:pPr>
      <w:pStyle w:val="Intestazione"/>
      <w:spacing w:after="100"/>
    </w:pPr>
    <w:r w:rsidRPr="00812E18">
      <w:rPr>
        <w:noProof/>
      </w:rPr>
      <w:drawing>
        <wp:anchor distT="0" distB="0" distL="114300" distR="114300" simplePos="0" relativeHeight="251658240" behindDoc="0" locked="0" layoutInCell="1" allowOverlap="1">
          <wp:simplePos x="0" y="0"/>
          <wp:positionH relativeFrom="margin">
            <wp:posOffset>-426720</wp:posOffset>
          </wp:positionH>
          <wp:positionV relativeFrom="margin">
            <wp:posOffset>-490855</wp:posOffset>
          </wp:positionV>
          <wp:extent cx="2879725" cy="341630"/>
          <wp:effectExtent l="0" t="0" r="0" b="127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79725" cy="3416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841"/>
    <w:multiLevelType w:val="multilevel"/>
    <w:tmpl w:val="5C86F05A"/>
    <w:lvl w:ilvl="0">
      <w:start w:val="1"/>
      <w:numFmt w:val="none"/>
      <w:suff w:val="nothing"/>
      <w:lvlText w:val="."/>
      <w:lvlJc w:val="left"/>
      <w:pPr>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tillium" w:hAnsi="Titillium" w:hint="default"/>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nsid w:val="05C87D03"/>
    <w:multiLevelType w:val="multilevel"/>
    <w:tmpl w:val="71E84356"/>
    <w:lvl w:ilvl="0">
      <w:start w:val="1"/>
      <w:numFmt w:val="lowerLetter"/>
      <w:lvlText w:val="%1."/>
      <w:lvlJc w:val="left"/>
      <w:pPr>
        <w:ind w:left="1429" w:hanging="360"/>
      </w:pPr>
      <w:rPr>
        <w:i w:val="0"/>
        <w:iCs w:val="0"/>
        <w:sz w:val="18"/>
        <w:szCs w:val="18"/>
      </w:rPr>
    </w:lvl>
    <w:lvl w:ilvl="1">
      <w:start w:val="1"/>
      <w:numFmt w:val="lowerLetter"/>
      <w:lvlText w:val="%2)"/>
      <w:lvlJc w:val="left"/>
      <w:pPr>
        <w:ind w:left="2149" w:hanging="360"/>
      </w:pPr>
      <w:rPr>
        <w:i w:val="0"/>
        <w:i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2487"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7A7B3F"/>
    <w:multiLevelType w:val="hybridMultilevel"/>
    <w:tmpl w:val="F8848C74"/>
    <w:lvl w:ilvl="0" w:tplc="BB24CDAA">
      <w:numFmt w:val="bullet"/>
      <w:lvlText w:val="-"/>
      <w:lvlJc w:val="left"/>
      <w:pPr>
        <w:ind w:left="720" w:hanging="360"/>
      </w:pPr>
      <w:rPr>
        <w:rFonts w:ascii="Garamond" w:eastAsia="Times New Roman"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CDF669B"/>
    <w:multiLevelType w:val="hybridMultilevel"/>
    <w:tmpl w:val="4F5A9C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574"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11C20C1"/>
    <w:multiLevelType w:val="multilevel"/>
    <w:tmpl w:val="494AEE94"/>
    <w:lvl w:ilvl="0">
      <w:start w:val="1"/>
      <w:numFmt w:val="decimal"/>
      <w:lvlText w:val="%1)"/>
      <w:lvlJc w:val="left"/>
      <w:pPr>
        <w:ind w:left="720" w:hanging="360"/>
      </w:pPr>
      <w:rPr>
        <w:rFonts w:ascii="Titillium" w:hAnsi="Titillium" w:hint="default"/>
        <w:b w:val="0"/>
        <w:i w:val="0"/>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53F40F2"/>
    <w:multiLevelType w:val="hybridMultilevel"/>
    <w:tmpl w:val="1764A8DE"/>
    <w:lvl w:ilvl="0" w:tplc="04100017">
      <w:start w:val="1"/>
      <w:numFmt w:val="lowerLetter"/>
      <w:lvlText w:val="%1)"/>
      <w:lvlJc w:val="left"/>
      <w:pPr>
        <w:ind w:left="1146" w:hanging="360"/>
      </w:pPr>
    </w:lvl>
    <w:lvl w:ilvl="1" w:tplc="359E4AD2">
      <w:start w:val="1"/>
      <w:numFmt w:val="bullet"/>
      <w:lvlText w:val=""/>
      <w:lvlJc w:val="left"/>
      <w:pPr>
        <w:ind w:left="862" w:hanging="360"/>
      </w:pPr>
      <w:rPr>
        <w:rFonts w:ascii="Symbol" w:hAnsi="Symbol" w:hint="default"/>
      </w:rPr>
    </w:lvl>
    <w:lvl w:ilvl="2" w:tplc="85BAA9FE">
      <w:start w:val="1"/>
      <w:numFmt w:val="decimal"/>
      <w:lvlText w:val="%3)"/>
      <w:lvlJc w:val="left"/>
      <w:pPr>
        <w:ind w:left="2766" w:hanging="360"/>
      </w:pPr>
      <w:rPr>
        <w:rFonts w:hint="default"/>
      </w:rPr>
    </w:lvl>
    <w:lvl w:ilvl="3" w:tplc="E0D25570">
      <w:start w:val="2"/>
      <w:numFmt w:val="decimal"/>
      <w:lvlText w:val="%4"/>
      <w:lvlJc w:val="left"/>
      <w:pPr>
        <w:ind w:left="3306" w:hanging="360"/>
      </w:pPr>
      <w:rPr>
        <w:rFonts w:hint="default"/>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1">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8732279"/>
    <w:multiLevelType w:val="multilevel"/>
    <w:tmpl w:val="FA76456A"/>
    <w:lvl w:ilvl="0">
      <w:start w:val="1"/>
      <w:numFmt w:val="lowerRoman"/>
      <w:lvlText w:val="%1."/>
      <w:lvlJc w:val="right"/>
      <w:pPr>
        <w:ind w:left="1637" w:hanging="360"/>
      </w:pPr>
      <w:rPr>
        <w:rFonts w:hint="default"/>
        <w:color w:val="000000" w:themeColor="text1"/>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13">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18EE200D"/>
    <w:multiLevelType w:val="hybridMultilevel"/>
    <w:tmpl w:val="B0FE974E"/>
    <w:lvl w:ilvl="0" w:tplc="FFFFFFFF">
      <w:numFmt w:val="bullet"/>
      <w:lvlText w:val="-"/>
      <w:lvlJc w:val="left"/>
      <w:pPr>
        <w:ind w:left="786" w:hanging="360"/>
      </w:pPr>
      <w:rPr>
        <w:rFonts w:ascii="Garamond" w:eastAsia="Times New Roman" w:hAnsi="Garamond" w:cs="Arial" w:hint="default"/>
        <w:sz w:val="24"/>
      </w:rPr>
    </w:lvl>
    <w:lvl w:ilvl="1" w:tplc="BB24CDAA">
      <w:numFmt w:val="bullet"/>
      <w:lvlText w:val="-"/>
      <w:lvlJc w:val="left"/>
      <w:pPr>
        <w:ind w:left="720" w:hanging="360"/>
      </w:pPr>
      <w:rPr>
        <w:rFonts w:ascii="Garamond" w:eastAsia="Times New Roman" w:hAnsi="Garamond" w:cs="Aria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1BCA55D7"/>
    <w:multiLevelType w:val="multilevel"/>
    <w:tmpl w:val="AE3014D4"/>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1F8E4611"/>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3785FFA"/>
    <w:multiLevelType w:val="hybridMultilevel"/>
    <w:tmpl w:val="C06EBDE8"/>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nsid w:val="2E45527D"/>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EDF5FE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F824D34"/>
    <w:multiLevelType w:val="multilevel"/>
    <w:tmpl w:val="28D867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FCA0CCB"/>
    <w:multiLevelType w:val="multilevel"/>
    <w:tmpl w:val="C6B6C70C"/>
    <w:lvl w:ilvl="0">
      <w:start w:val="1"/>
      <w:numFmt w:val="lowerLetter"/>
      <w:lvlText w:val="%1)"/>
      <w:lvlJc w:val="left"/>
      <w:pPr>
        <w:ind w:left="928" w:hanging="360"/>
      </w:pPr>
      <w:rPr>
        <w:rFonts w:ascii="Titillium" w:hAnsi="Titillium" w:hint="default"/>
        <w:i w:val="0"/>
        <w:sz w:val="18"/>
        <w:szCs w:val="1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nsid w:val="314C624F"/>
    <w:multiLevelType w:val="multilevel"/>
    <w:tmpl w:val="5E7406CE"/>
    <w:lvl w:ilvl="0">
      <w:start w:val="1"/>
      <w:numFmt w:val="lowerLetter"/>
      <w:lvlText w:val="%1)"/>
      <w:lvlJc w:val="left"/>
      <w:pPr>
        <w:ind w:left="1146" w:hanging="360"/>
      </w:pPr>
      <w:rPr>
        <w:sz w:val="18"/>
        <w:szCs w:val="1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nsid w:val="34457E88"/>
    <w:multiLevelType w:val="hybridMultilevel"/>
    <w:tmpl w:val="14C89E8E"/>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59715AC"/>
    <w:multiLevelType w:val="multilevel"/>
    <w:tmpl w:val="D86074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eastAsia="Times New Roman" w:hAnsi="Titillium" w:hint="default"/>
        <w:i w:val="0"/>
        <w:color w:val="auto"/>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7477038"/>
    <w:multiLevelType w:val="hybridMultilevel"/>
    <w:tmpl w:val="B0A2BCE0"/>
    <w:lvl w:ilvl="0" w:tplc="359E4A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388C1B7C"/>
    <w:multiLevelType w:val="multilevel"/>
    <w:tmpl w:val="F6DE2BB2"/>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lowerLetter"/>
      <w:lvlText w:val="%3)"/>
      <w:lvlJc w:val="left"/>
      <w:pPr>
        <w:ind w:left="504" w:hanging="504"/>
      </w:pPr>
      <w:rPr>
        <w:rFonts w:ascii="Titillium" w:hAnsi="Titillium" w:hint="default"/>
        <w:b w:val="0"/>
        <w:i w:val="0"/>
        <w:strike w:val="0"/>
        <w:dstrike w:val="0"/>
        <w:sz w:val="18"/>
        <w:szCs w:val="18"/>
      </w:rPr>
    </w:lvl>
    <w:lvl w:ilvl="3">
      <w:start w:val="1"/>
      <w:numFmt w:val="decimal"/>
      <w:lvlText w:val="%1.%2.%3.%4."/>
      <w:lvlJc w:val="lef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9FB09EE"/>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449"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C15426C"/>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F0613FA"/>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31">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9741F51"/>
    <w:multiLevelType w:val="hybridMultilevel"/>
    <w:tmpl w:val="1DAA41C0"/>
    <w:lvl w:ilvl="0" w:tplc="813A3744">
      <w:start w:val="4"/>
      <w:numFmt w:val="bullet"/>
      <w:lvlText w:val="-"/>
      <w:lvlJc w:val="left"/>
      <w:pPr>
        <w:ind w:left="1080" w:hanging="360"/>
      </w:pPr>
      <w:rPr>
        <w:rFonts w:ascii="Titillium-Regular" w:eastAsiaTheme="minorHAnsi" w:hAnsi="Titillium-Regular" w:cs="Titillium-Regular"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nsid w:val="4A5C7CC9"/>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4AC104B5"/>
    <w:multiLevelType w:val="hybridMultilevel"/>
    <w:tmpl w:val="A198B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7">
    <w:nsid w:val="55044B3E"/>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AD84E59"/>
    <w:multiLevelType w:val="multilevel"/>
    <w:tmpl w:val="EC541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79B61BF"/>
    <w:multiLevelType w:val="multilevel"/>
    <w:tmpl w:val="0E86AAAC"/>
    <w:lvl w:ilvl="0">
      <w:start w:val="1"/>
      <w:numFmt w:val="lowerLetter"/>
      <w:lvlText w:val="%1)"/>
      <w:lvlJc w:val="left"/>
      <w:pPr>
        <w:ind w:left="360" w:hanging="360"/>
      </w:pPr>
      <w:rPr>
        <w:rFonts w:ascii="Titillium" w:hAnsi="Titillium" w:hint="default"/>
        <w:b/>
        <w:i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686705BA"/>
    <w:multiLevelType w:val="hybridMultilevel"/>
    <w:tmpl w:val="DADEF0DC"/>
    <w:lvl w:ilvl="0" w:tplc="BB24CDAA">
      <w:numFmt w:val="bullet"/>
      <w:lvlText w:val="-"/>
      <w:lvlJc w:val="left"/>
      <w:pPr>
        <w:ind w:left="720" w:hanging="360"/>
      </w:pPr>
      <w:rPr>
        <w:rFonts w:ascii="Garamond" w:eastAsia="Times New Roman" w:hAnsi="Garamond" w:cs="Arial"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nsid w:val="69442D85"/>
    <w:multiLevelType w:val="hybridMultilevel"/>
    <w:tmpl w:val="2AAE9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6BE33A0F"/>
    <w:multiLevelType w:val="multilevel"/>
    <w:tmpl w:val="7D162C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0DF6EA0"/>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45">
    <w:nsid w:val="710A6671"/>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2852252"/>
    <w:multiLevelType w:val="hybridMultilevel"/>
    <w:tmpl w:val="9F42180E"/>
    <w:lvl w:ilvl="0" w:tplc="BB24CDAA">
      <w:numFmt w:val="bullet"/>
      <w:lvlText w:val="-"/>
      <w:lvlJc w:val="left"/>
      <w:pPr>
        <w:ind w:left="1080" w:hanging="360"/>
      </w:pPr>
      <w:rPr>
        <w:rFonts w:ascii="Garamond" w:eastAsia="Times New Roman" w:hAnsi="Garamond"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7">
    <w:nsid w:val="754D586F"/>
    <w:multiLevelType w:val="hybridMultilevel"/>
    <w:tmpl w:val="90C421E0"/>
    <w:lvl w:ilvl="0" w:tplc="18665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1A03E6"/>
    <w:multiLevelType w:val="hybridMultilevel"/>
    <w:tmpl w:val="7B62E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7AAF4DAD"/>
    <w:multiLevelType w:val="hybridMultilevel"/>
    <w:tmpl w:val="69903C68"/>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C1B5884"/>
    <w:multiLevelType w:val="hybridMultilevel"/>
    <w:tmpl w:val="FCC4B092"/>
    <w:lvl w:ilvl="0" w:tplc="0DAA84D2">
      <w:numFmt w:val="bullet"/>
      <w:lvlText w:val="-"/>
      <w:lvlJc w:val="left"/>
      <w:pPr>
        <w:ind w:left="1070" w:hanging="71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1">
    <w:nsid w:val="7C7D109E"/>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D0035B5"/>
    <w:multiLevelType w:val="hybridMultilevel"/>
    <w:tmpl w:val="AA84F6D2"/>
    <w:lvl w:ilvl="0" w:tplc="FFFFFFFF">
      <w:numFmt w:val="bullet"/>
      <w:lvlText w:val="-"/>
      <w:lvlJc w:val="left"/>
      <w:pPr>
        <w:ind w:left="720" w:hanging="360"/>
      </w:pPr>
      <w:rPr>
        <w:rFonts w:ascii="Garamond" w:eastAsia="Times New Roman" w:hAnsi="Garamond" w:cs="Arial" w:hint="default"/>
      </w:rPr>
    </w:lvl>
    <w:lvl w:ilvl="1" w:tplc="BB24CDAA">
      <w:numFmt w:val="bullet"/>
      <w:lvlText w:val="-"/>
      <w:lvlJc w:val="left"/>
      <w:pPr>
        <w:ind w:left="1440" w:hanging="360"/>
      </w:pPr>
      <w:rPr>
        <w:rFonts w:ascii="Garamond" w:eastAsia="Times New Roman" w:hAnsi="Garamond"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7FA36277"/>
    <w:multiLevelType w:val="hybridMultilevel"/>
    <w:tmpl w:val="64C68DC2"/>
    <w:lvl w:ilvl="0" w:tplc="0410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7"/>
  </w:num>
  <w:num w:numId="3">
    <w:abstractNumId w:val="8"/>
  </w:num>
  <w:num w:numId="4">
    <w:abstractNumId w:val="20"/>
  </w:num>
  <w:num w:numId="5">
    <w:abstractNumId w:val="23"/>
  </w:num>
  <w:num w:numId="6">
    <w:abstractNumId w:val="21"/>
  </w:num>
  <w:num w:numId="7">
    <w:abstractNumId w:val="1"/>
  </w:num>
  <w:num w:numId="8">
    <w:abstractNumId w:val="13"/>
  </w:num>
  <w:num w:numId="9">
    <w:abstractNumId w:val="11"/>
  </w:num>
  <w:num w:numId="10">
    <w:abstractNumId w:val="3"/>
  </w:num>
  <w:num w:numId="11">
    <w:abstractNumId w:val="6"/>
  </w:num>
  <w:num w:numId="12">
    <w:abstractNumId w:val="4"/>
  </w:num>
  <w:num w:numId="13">
    <w:abstractNumId w:val="9"/>
  </w:num>
  <w:num w:numId="14">
    <w:abstractNumId w:val="32"/>
  </w:num>
  <w:num w:numId="15">
    <w:abstractNumId w:val="25"/>
  </w:num>
  <w:num w:numId="16">
    <w:abstractNumId w:val="31"/>
  </w:num>
  <w:num w:numId="17">
    <w:abstractNumId w:val="51"/>
  </w:num>
  <w:num w:numId="18">
    <w:abstractNumId w:val="39"/>
  </w:num>
  <w:num w:numId="19">
    <w:abstractNumId w:val="2"/>
  </w:num>
  <w:num w:numId="20">
    <w:abstractNumId w:val="15"/>
  </w:num>
  <w:num w:numId="21">
    <w:abstractNumId w:val="22"/>
  </w:num>
  <w:num w:numId="22">
    <w:abstractNumId w:val="0"/>
  </w:num>
  <w:num w:numId="23">
    <w:abstractNumId w:val="15"/>
    <w:lvlOverride w:ilvl="0">
      <w:lvl w:ilvl="0">
        <w:start w:val="1"/>
        <w:numFmt w:val="bullet"/>
        <w:lvlText w:val="-"/>
        <w:lvlJc w:val="left"/>
        <w:pPr>
          <w:ind w:left="720" w:hanging="360"/>
        </w:pPr>
        <w:rPr>
          <w:rFonts w:ascii="Garamond" w:hAnsi="Garamond" w:cs="Times New Roman" w:hint="default"/>
          <w:b/>
          <w:i w:val="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24">
    <w:abstractNumId w:val="10"/>
  </w:num>
  <w:num w:numId="25">
    <w:abstractNumId w:val="12"/>
  </w:num>
  <w:num w:numId="26">
    <w:abstractNumId w:val="42"/>
  </w:num>
  <w:num w:numId="27">
    <w:abstractNumId w:val="36"/>
  </w:num>
  <w:num w:numId="28">
    <w:abstractNumId w:val="43"/>
  </w:num>
  <w:num w:numId="29">
    <w:abstractNumId w:val="47"/>
  </w:num>
  <w:num w:numId="30">
    <w:abstractNumId w:val="40"/>
  </w:num>
  <w:num w:numId="31">
    <w:abstractNumId w:val="19"/>
  </w:num>
  <w:num w:numId="32">
    <w:abstractNumId w:val="17"/>
  </w:num>
  <w:num w:numId="33">
    <w:abstractNumId w:val="37"/>
  </w:num>
  <w:num w:numId="34">
    <w:abstractNumId w:val="29"/>
  </w:num>
  <w:num w:numId="35">
    <w:abstractNumId w:val="34"/>
  </w:num>
  <w:num w:numId="36">
    <w:abstractNumId w:val="44"/>
  </w:num>
  <w:num w:numId="37">
    <w:abstractNumId w:val="53"/>
  </w:num>
  <w:num w:numId="38">
    <w:abstractNumId w:val="30"/>
  </w:num>
  <w:num w:numId="39">
    <w:abstractNumId w:val="33"/>
  </w:num>
  <w:num w:numId="40">
    <w:abstractNumId w:val="50"/>
  </w:num>
  <w:num w:numId="41">
    <w:abstractNumId w:val="41"/>
  </w:num>
  <w:num w:numId="42">
    <w:abstractNumId w:val="5"/>
  </w:num>
  <w:num w:numId="43">
    <w:abstractNumId w:val="16"/>
  </w:num>
  <w:num w:numId="44">
    <w:abstractNumId w:val="35"/>
  </w:num>
  <w:num w:numId="45">
    <w:abstractNumId w:val="52"/>
  </w:num>
  <w:num w:numId="46">
    <w:abstractNumId w:val="14"/>
  </w:num>
  <w:num w:numId="47">
    <w:abstractNumId w:val="49"/>
  </w:num>
  <w:num w:numId="48">
    <w:abstractNumId w:val="24"/>
  </w:num>
  <w:num w:numId="49">
    <w:abstractNumId w:val="18"/>
  </w:num>
  <w:num w:numId="50">
    <w:abstractNumId w:val="46"/>
  </w:num>
  <w:num w:numId="51">
    <w:abstractNumId w:val="26"/>
  </w:num>
  <w:num w:numId="52">
    <w:abstractNumId w:val="48"/>
  </w:num>
  <w:num w:numId="53">
    <w:abstractNumId w:val="7"/>
  </w:num>
  <w:num w:numId="54">
    <w:abstractNumId w:val="45"/>
  </w:num>
  <w:num w:numId="55">
    <w:abstractNumId w:val="2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footnotePr>
    <w:footnote w:id="0"/>
    <w:footnote w:id="1"/>
    <w:footnote w:id="2"/>
  </w:footnotePr>
  <w:endnotePr>
    <w:endnote w:id="0"/>
    <w:endnote w:id="1"/>
    <w:endnote w:id="2"/>
  </w:endnotePr>
  <w:compat/>
  <w:rsids>
    <w:rsidRoot w:val="00382F18"/>
    <w:rsid w:val="00001807"/>
    <w:rsid w:val="00002D85"/>
    <w:rsid w:val="00014F84"/>
    <w:rsid w:val="00016515"/>
    <w:rsid w:val="00027292"/>
    <w:rsid w:val="00034718"/>
    <w:rsid w:val="00037DB4"/>
    <w:rsid w:val="00037F69"/>
    <w:rsid w:val="000401B9"/>
    <w:rsid w:val="00041425"/>
    <w:rsid w:val="00045C3B"/>
    <w:rsid w:val="000476BA"/>
    <w:rsid w:val="00047BDA"/>
    <w:rsid w:val="00051867"/>
    <w:rsid w:val="00051E75"/>
    <w:rsid w:val="00055284"/>
    <w:rsid w:val="00065386"/>
    <w:rsid w:val="000676C1"/>
    <w:rsid w:val="0006790E"/>
    <w:rsid w:val="0007080D"/>
    <w:rsid w:val="00072458"/>
    <w:rsid w:val="00072C63"/>
    <w:rsid w:val="000733D6"/>
    <w:rsid w:val="0007464E"/>
    <w:rsid w:val="00082540"/>
    <w:rsid w:val="00087E4E"/>
    <w:rsid w:val="000903B4"/>
    <w:rsid w:val="00092777"/>
    <w:rsid w:val="000A1219"/>
    <w:rsid w:val="000A1DBF"/>
    <w:rsid w:val="000A2C22"/>
    <w:rsid w:val="000B4B91"/>
    <w:rsid w:val="000B593E"/>
    <w:rsid w:val="000B6C91"/>
    <w:rsid w:val="000C057A"/>
    <w:rsid w:val="000C0821"/>
    <w:rsid w:val="000C31B0"/>
    <w:rsid w:val="000D3164"/>
    <w:rsid w:val="000D3274"/>
    <w:rsid w:val="000D3454"/>
    <w:rsid w:val="000D6743"/>
    <w:rsid w:val="000D7704"/>
    <w:rsid w:val="000E16FD"/>
    <w:rsid w:val="000F2C13"/>
    <w:rsid w:val="000F4244"/>
    <w:rsid w:val="000F639C"/>
    <w:rsid w:val="001024B1"/>
    <w:rsid w:val="00104F0B"/>
    <w:rsid w:val="0011187A"/>
    <w:rsid w:val="001132CB"/>
    <w:rsid w:val="00117CAD"/>
    <w:rsid w:val="00121032"/>
    <w:rsid w:val="001228FD"/>
    <w:rsid w:val="0012371C"/>
    <w:rsid w:val="001247AE"/>
    <w:rsid w:val="00125269"/>
    <w:rsid w:val="001265C0"/>
    <w:rsid w:val="001306FE"/>
    <w:rsid w:val="00135C5A"/>
    <w:rsid w:val="00136684"/>
    <w:rsid w:val="001424AA"/>
    <w:rsid w:val="00142F6B"/>
    <w:rsid w:val="0014300B"/>
    <w:rsid w:val="0014469F"/>
    <w:rsid w:val="00144C77"/>
    <w:rsid w:val="0015038F"/>
    <w:rsid w:val="00151C2F"/>
    <w:rsid w:val="001529D1"/>
    <w:rsid w:val="00153E57"/>
    <w:rsid w:val="00154C98"/>
    <w:rsid w:val="00162D6B"/>
    <w:rsid w:val="00163927"/>
    <w:rsid w:val="0016636E"/>
    <w:rsid w:val="001702BB"/>
    <w:rsid w:val="0017474D"/>
    <w:rsid w:val="00174C48"/>
    <w:rsid w:val="00175AAC"/>
    <w:rsid w:val="00175E84"/>
    <w:rsid w:val="00176B2B"/>
    <w:rsid w:val="00181C68"/>
    <w:rsid w:val="00187340"/>
    <w:rsid w:val="00190FAA"/>
    <w:rsid w:val="00193B09"/>
    <w:rsid w:val="001A0ADD"/>
    <w:rsid w:val="001A34FB"/>
    <w:rsid w:val="001A7635"/>
    <w:rsid w:val="001B1E35"/>
    <w:rsid w:val="001B73D2"/>
    <w:rsid w:val="001C230E"/>
    <w:rsid w:val="001D1DCF"/>
    <w:rsid w:val="001D1F6B"/>
    <w:rsid w:val="001D3B0D"/>
    <w:rsid w:val="001D5225"/>
    <w:rsid w:val="001D589A"/>
    <w:rsid w:val="001E2B98"/>
    <w:rsid w:val="001E2D59"/>
    <w:rsid w:val="001E369D"/>
    <w:rsid w:val="001E5C00"/>
    <w:rsid w:val="001F30DE"/>
    <w:rsid w:val="001F3341"/>
    <w:rsid w:val="001F640F"/>
    <w:rsid w:val="001F65DD"/>
    <w:rsid w:val="001F705E"/>
    <w:rsid w:val="001F74D6"/>
    <w:rsid w:val="001F7566"/>
    <w:rsid w:val="001F7713"/>
    <w:rsid w:val="0020086D"/>
    <w:rsid w:val="002027DE"/>
    <w:rsid w:val="00204A97"/>
    <w:rsid w:val="00204DDD"/>
    <w:rsid w:val="00205C33"/>
    <w:rsid w:val="002072A6"/>
    <w:rsid w:val="00212B2E"/>
    <w:rsid w:val="00213453"/>
    <w:rsid w:val="00213B50"/>
    <w:rsid w:val="00217757"/>
    <w:rsid w:val="002177F0"/>
    <w:rsid w:val="00220F50"/>
    <w:rsid w:val="00221704"/>
    <w:rsid w:val="00223254"/>
    <w:rsid w:val="00224E36"/>
    <w:rsid w:val="00225033"/>
    <w:rsid w:val="002268BB"/>
    <w:rsid w:val="00230DAC"/>
    <w:rsid w:val="0023382C"/>
    <w:rsid w:val="00236F5F"/>
    <w:rsid w:val="00237785"/>
    <w:rsid w:val="00242D2A"/>
    <w:rsid w:val="00243000"/>
    <w:rsid w:val="00247B07"/>
    <w:rsid w:val="002501A9"/>
    <w:rsid w:val="002505FE"/>
    <w:rsid w:val="00250B73"/>
    <w:rsid w:val="00254DF1"/>
    <w:rsid w:val="00262DFF"/>
    <w:rsid w:val="00263ED5"/>
    <w:rsid w:val="00266661"/>
    <w:rsid w:val="00266C56"/>
    <w:rsid w:val="0027633B"/>
    <w:rsid w:val="002807C8"/>
    <w:rsid w:val="00280B65"/>
    <w:rsid w:val="00286BDE"/>
    <w:rsid w:val="00290437"/>
    <w:rsid w:val="00291AC4"/>
    <w:rsid w:val="002964AF"/>
    <w:rsid w:val="002A18E7"/>
    <w:rsid w:val="002A206F"/>
    <w:rsid w:val="002A4922"/>
    <w:rsid w:val="002B0BEA"/>
    <w:rsid w:val="002B134F"/>
    <w:rsid w:val="002B5F12"/>
    <w:rsid w:val="002C0F13"/>
    <w:rsid w:val="002C2A2A"/>
    <w:rsid w:val="002C6ED5"/>
    <w:rsid w:val="002C7A67"/>
    <w:rsid w:val="002D205C"/>
    <w:rsid w:val="002D2D91"/>
    <w:rsid w:val="002D33CB"/>
    <w:rsid w:val="002D34C3"/>
    <w:rsid w:val="002D38F9"/>
    <w:rsid w:val="002D41AA"/>
    <w:rsid w:val="002D5D55"/>
    <w:rsid w:val="002D6869"/>
    <w:rsid w:val="002E4B48"/>
    <w:rsid w:val="002E5A70"/>
    <w:rsid w:val="002E6552"/>
    <w:rsid w:val="002E6888"/>
    <w:rsid w:val="002F2F7F"/>
    <w:rsid w:val="002F3DB7"/>
    <w:rsid w:val="002F43D9"/>
    <w:rsid w:val="002F62E8"/>
    <w:rsid w:val="002F6CA3"/>
    <w:rsid w:val="003007A2"/>
    <w:rsid w:val="0030172D"/>
    <w:rsid w:val="00301E26"/>
    <w:rsid w:val="003026C8"/>
    <w:rsid w:val="00302B01"/>
    <w:rsid w:val="00303C8B"/>
    <w:rsid w:val="00307002"/>
    <w:rsid w:val="003079A0"/>
    <w:rsid w:val="003219E8"/>
    <w:rsid w:val="0032221C"/>
    <w:rsid w:val="00322A17"/>
    <w:rsid w:val="0032459F"/>
    <w:rsid w:val="003275F4"/>
    <w:rsid w:val="0033129B"/>
    <w:rsid w:val="0033307D"/>
    <w:rsid w:val="0033450E"/>
    <w:rsid w:val="00336B12"/>
    <w:rsid w:val="0033756F"/>
    <w:rsid w:val="003443F0"/>
    <w:rsid w:val="00344CE1"/>
    <w:rsid w:val="003463D4"/>
    <w:rsid w:val="00347DF9"/>
    <w:rsid w:val="00347E69"/>
    <w:rsid w:val="00351283"/>
    <w:rsid w:val="00351800"/>
    <w:rsid w:val="0035625B"/>
    <w:rsid w:val="00356733"/>
    <w:rsid w:val="00360681"/>
    <w:rsid w:val="00362813"/>
    <w:rsid w:val="00363B40"/>
    <w:rsid w:val="00366613"/>
    <w:rsid w:val="00366C47"/>
    <w:rsid w:val="003708F9"/>
    <w:rsid w:val="003710D8"/>
    <w:rsid w:val="00372699"/>
    <w:rsid w:val="00373DDF"/>
    <w:rsid w:val="00374E38"/>
    <w:rsid w:val="0038075C"/>
    <w:rsid w:val="00382F18"/>
    <w:rsid w:val="00383430"/>
    <w:rsid w:val="00386E1E"/>
    <w:rsid w:val="00392C72"/>
    <w:rsid w:val="003936DB"/>
    <w:rsid w:val="00394F54"/>
    <w:rsid w:val="00395774"/>
    <w:rsid w:val="00397C6A"/>
    <w:rsid w:val="003A0EDB"/>
    <w:rsid w:val="003B2934"/>
    <w:rsid w:val="003B5C6D"/>
    <w:rsid w:val="003C0E32"/>
    <w:rsid w:val="003C4EEA"/>
    <w:rsid w:val="003D77FB"/>
    <w:rsid w:val="003D7A82"/>
    <w:rsid w:val="003E30E7"/>
    <w:rsid w:val="003E6258"/>
    <w:rsid w:val="003E6A0D"/>
    <w:rsid w:val="003F6640"/>
    <w:rsid w:val="003F71AD"/>
    <w:rsid w:val="003F7F50"/>
    <w:rsid w:val="00400004"/>
    <w:rsid w:val="00406DDE"/>
    <w:rsid w:val="00407B28"/>
    <w:rsid w:val="00411293"/>
    <w:rsid w:val="00415A07"/>
    <w:rsid w:val="00415A29"/>
    <w:rsid w:val="00416897"/>
    <w:rsid w:val="004168CD"/>
    <w:rsid w:val="004207E6"/>
    <w:rsid w:val="004211E6"/>
    <w:rsid w:val="00421DCA"/>
    <w:rsid w:val="00424032"/>
    <w:rsid w:val="00424728"/>
    <w:rsid w:val="00426D5F"/>
    <w:rsid w:val="00426D73"/>
    <w:rsid w:val="0042742B"/>
    <w:rsid w:val="00433524"/>
    <w:rsid w:val="00434C88"/>
    <w:rsid w:val="0043635C"/>
    <w:rsid w:val="0045595F"/>
    <w:rsid w:val="00456D28"/>
    <w:rsid w:val="00456EF4"/>
    <w:rsid w:val="00457482"/>
    <w:rsid w:val="00457F5D"/>
    <w:rsid w:val="004617A7"/>
    <w:rsid w:val="004668CA"/>
    <w:rsid w:val="004734D0"/>
    <w:rsid w:val="0047379B"/>
    <w:rsid w:val="00476EB2"/>
    <w:rsid w:val="0048114E"/>
    <w:rsid w:val="00483128"/>
    <w:rsid w:val="004835B0"/>
    <w:rsid w:val="00483A55"/>
    <w:rsid w:val="00483D11"/>
    <w:rsid w:val="00495909"/>
    <w:rsid w:val="00497FA7"/>
    <w:rsid w:val="004A0EC6"/>
    <w:rsid w:val="004A17B4"/>
    <w:rsid w:val="004A31B8"/>
    <w:rsid w:val="004A41EE"/>
    <w:rsid w:val="004A7341"/>
    <w:rsid w:val="004A7979"/>
    <w:rsid w:val="004B19B9"/>
    <w:rsid w:val="004B2158"/>
    <w:rsid w:val="004B405D"/>
    <w:rsid w:val="004B5F18"/>
    <w:rsid w:val="004B715C"/>
    <w:rsid w:val="004C505E"/>
    <w:rsid w:val="004D0143"/>
    <w:rsid w:val="004D111C"/>
    <w:rsid w:val="004D1BF1"/>
    <w:rsid w:val="004D3F80"/>
    <w:rsid w:val="004D4159"/>
    <w:rsid w:val="004D6D82"/>
    <w:rsid w:val="004E0EC6"/>
    <w:rsid w:val="004E20D3"/>
    <w:rsid w:val="004E26D3"/>
    <w:rsid w:val="004E27E1"/>
    <w:rsid w:val="004F047C"/>
    <w:rsid w:val="004F46A4"/>
    <w:rsid w:val="004F4B66"/>
    <w:rsid w:val="004F6307"/>
    <w:rsid w:val="00501D5A"/>
    <w:rsid w:val="00502054"/>
    <w:rsid w:val="00511ADF"/>
    <w:rsid w:val="00512B7D"/>
    <w:rsid w:val="00521B6B"/>
    <w:rsid w:val="00522674"/>
    <w:rsid w:val="00534C0E"/>
    <w:rsid w:val="005353E8"/>
    <w:rsid w:val="0053543F"/>
    <w:rsid w:val="00540C24"/>
    <w:rsid w:val="00541FA2"/>
    <w:rsid w:val="005422E4"/>
    <w:rsid w:val="0055048E"/>
    <w:rsid w:val="00565687"/>
    <w:rsid w:val="00565D0D"/>
    <w:rsid w:val="00566844"/>
    <w:rsid w:val="0057587E"/>
    <w:rsid w:val="00580650"/>
    <w:rsid w:val="005836A3"/>
    <w:rsid w:val="00593290"/>
    <w:rsid w:val="00593B30"/>
    <w:rsid w:val="00595D57"/>
    <w:rsid w:val="005968B3"/>
    <w:rsid w:val="00597011"/>
    <w:rsid w:val="00597BD6"/>
    <w:rsid w:val="005A1DAF"/>
    <w:rsid w:val="005A426B"/>
    <w:rsid w:val="005B2418"/>
    <w:rsid w:val="005B279D"/>
    <w:rsid w:val="005B6215"/>
    <w:rsid w:val="005C0435"/>
    <w:rsid w:val="005C29D8"/>
    <w:rsid w:val="005C342A"/>
    <w:rsid w:val="005C5D3C"/>
    <w:rsid w:val="005C6307"/>
    <w:rsid w:val="005D059C"/>
    <w:rsid w:val="005D079F"/>
    <w:rsid w:val="005D098A"/>
    <w:rsid w:val="005D1A34"/>
    <w:rsid w:val="005D2D07"/>
    <w:rsid w:val="005D2E4E"/>
    <w:rsid w:val="005D5C35"/>
    <w:rsid w:val="005E538D"/>
    <w:rsid w:val="005F098A"/>
    <w:rsid w:val="005F32DC"/>
    <w:rsid w:val="0060070F"/>
    <w:rsid w:val="006028F9"/>
    <w:rsid w:val="00602BB3"/>
    <w:rsid w:val="006045DB"/>
    <w:rsid w:val="00604C9A"/>
    <w:rsid w:val="00606947"/>
    <w:rsid w:val="00622387"/>
    <w:rsid w:val="00623368"/>
    <w:rsid w:val="00624465"/>
    <w:rsid w:val="006271A4"/>
    <w:rsid w:val="00631263"/>
    <w:rsid w:val="006314B5"/>
    <w:rsid w:val="00632A9E"/>
    <w:rsid w:val="006423F6"/>
    <w:rsid w:val="00643301"/>
    <w:rsid w:val="00643A29"/>
    <w:rsid w:val="00644D1E"/>
    <w:rsid w:val="006456A7"/>
    <w:rsid w:val="00647A81"/>
    <w:rsid w:val="006503A9"/>
    <w:rsid w:val="00651FBF"/>
    <w:rsid w:val="006566E0"/>
    <w:rsid w:val="00661297"/>
    <w:rsid w:val="00670C39"/>
    <w:rsid w:val="00671C3F"/>
    <w:rsid w:val="00673DFD"/>
    <w:rsid w:val="00674191"/>
    <w:rsid w:val="006745E0"/>
    <w:rsid w:val="00676B98"/>
    <w:rsid w:val="00676C12"/>
    <w:rsid w:val="006803BE"/>
    <w:rsid w:val="00681C6B"/>
    <w:rsid w:val="00683900"/>
    <w:rsid w:val="00685993"/>
    <w:rsid w:val="00685B8D"/>
    <w:rsid w:val="00690976"/>
    <w:rsid w:val="006966DF"/>
    <w:rsid w:val="006967DD"/>
    <w:rsid w:val="00697BAC"/>
    <w:rsid w:val="006A3B4B"/>
    <w:rsid w:val="006B13CD"/>
    <w:rsid w:val="006B6609"/>
    <w:rsid w:val="006C04E5"/>
    <w:rsid w:val="006C48BE"/>
    <w:rsid w:val="006D090D"/>
    <w:rsid w:val="006D2DAB"/>
    <w:rsid w:val="006D40A6"/>
    <w:rsid w:val="006D41F4"/>
    <w:rsid w:val="006D654C"/>
    <w:rsid w:val="006E0CD6"/>
    <w:rsid w:val="006E2BC3"/>
    <w:rsid w:val="006E43ED"/>
    <w:rsid w:val="006F04F1"/>
    <w:rsid w:val="006F40BA"/>
    <w:rsid w:val="00702317"/>
    <w:rsid w:val="00702326"/>
    <w:rsid w:val="00705384"/>
    <w:rsid w:val="00714BEC"/>
    <w:rsid w:val="007172F7"/>
    <w:rsid w:val="007179CD"/>
    <w:rsid w:val="0072230A"/>
    <w:rsid w:val="00726EDF"/>
    <w:rsid w:val="0072746D"/>
    <w:rsid w:val="00727AC7"/>
    <w:rsid w:val="0073223B"/>
    <w:rsid w:val="00734392"/>
    <w:rsid w:val="00734F69"/>
    <w:rsid w:val="0073727B"/>
    <w:rsid w:val="00737503"/>
    <w:rsid w:val="00740F55"/>
    <w:rsid w:val="007425C5"/>
    <w:rsid w:val="00742876"/>
    <w:rsid w:val="00742FBB"/>
    <w:rsid w:val="00743240"/>
    <w:rsid w:val="00745CC6"/>
    <w:rsid w:val="00752540"/>
    <w:rsid w:val="007525FA"/>
    <w:rsid w:val="0075645B"/>
    <w:rsid w:val="00756FCA"/>
    <w:rsid w:val="0075791F"/>
    <w:rsid w:val="00761607"/>
    <w:rsid w:val="00761CEC"/>
    <w:rsid w:val="00767782"/>
    <w:rsid w:val="007704B1"/>
    <w:rsid w:val="00770CBC"/>
    <w:rsid w:val="0077201F"/>
    <w:rsid w:val="00774170"/>
    <w:rsid w:val="007742DB"/>
    <w:rsid w:val="00774D9B"/>
    <w:rsid w:val="007770AA"/>
    <w:rsid w:val="007775E8"/>
    <w:rsid w:val="007831BA"/>
    <w:rsid w:val="00791C7E"/>
    <w:rsid w:val="007925C4"/>
    <w:rsid w:val="00793C43"/>
    <w:rsid w:val="007979FF"/>
    <w:rsid w:val="00797D68"/>
    <w:rsid w:val="007A154B"/>
    <w:rsid w:val="007A37A3"/>
    <w:rsid w:val="007A6026"/>
    <w:rsid w:val="007A7070"/>
    <w:rsid w:val="007B4525"/>
    <w:rsid w:val="007B50D9"/>
    <w:rsid w:val="007B6805"/>
    <w:rsid w:val="007B6C2E"/>
    <w:rsid w:val="007B7729"/>
    <w:rsid w:val="007C08AD"/>
    <w:rsid w:val="007C2D54"/>
    <w:rsid w:val="007D0C1B"/>
    <w:rsid w:val="007D2C58"/>
    <w:rsid w:val="007D2E10"/>
    <w:rsid w:val="007D3FD6"/>
    <w:rsid w:val="007D7C91"/>
    <w:rsid w:val="007E7ECF"/>
    <w:rsid w:val="007F3AD3"/>
    <w:rsid w:val="007F417B"/>
    <w:rsid w:val="007F5363"/>
    <w:rsid w:val="007F6248"/>
    <w:rsid w:val="00807AFE"/>
    <w:rsid w:val="00813943"/>
    <w:rsid w:val="0081404D"/>
    <w:rsid w:val="0081590F"/>
    <w:rsid w:val="00821AF0"/>
    <w:rsid w:val="0082444C"/>
    <w:rsid w:val="008259AC"/>
    <w:rsid w:val="00825D78"/>
    <w:rsid w:val="0082797F"/>
    <w:rsid w:val="0083164D"/>
    <w:rsid w:val="0083655D"/>
    <w:rsid w:val="0083762E"/>
    <w:rsid w:val="00841016"/>
    <w:rsid w:val="00841F2F"/>
    <w:rsid w:val="0084383F"/>
    <w:rsid w:val="00844039"/>
    <w:rsid w:val="00847DC1"/>
    <w:rsid w:val="00854E38"/>
    <w:rsid w:val="00856B04"/>
    <w:rsid w:val="0086340F"/>
    <w:rsid w:val="00863B16"/>
    <w:rsid w:val="0086691B"/>
    <w:rsid w:val="00866CD3"/>
    <w:rsid w:val="00866ECC"/>
    <w:rsid w:val="00867F14"/>
    <w:rsid w:val="008733ED"/>
    <w:rsid w:val="00874D95"/>
    <w:rsid w:val="008760BD"/>
    <w:rsid w:val="00876C49"/>
    <w:rsid w:val="00876C4A"/>
    <w:rsid w:val="00881453"/>
    <w:rsid w:val="00881737"/>
    <w:rsid w:val="00881C4B"/>
    <w:rsid w:val="008842F2"/>
    <w:rsid w:val="00885A57"/>
    <w:rsid w:val="008867B9"/>
    <w:rsid w:val="00887383"/>
    <w:rsid w:val="00887D85"/>
    <w:rsid w:val="00894C28"/>
    <w:rsid w:val="00896405"/>
    <w:rsid w:val="00897E8D"/>
    <w:rsid w:val="008A08EA"/>
    <w:rsid w:val="008A1674"/>
    <w:rsid w:val="008A7055"/>
    <w:rsid w:val="008B18AA"/>
    <w:rsid w:val="008C1EC1"/>
    <w:rsid w:val="008C4145"/>
    <w:rsid w:val="008C41C9"/>
    <w:rsid w:val="008C7BEB"/>
    <w:rsid w:val="008D1F50"/>
    <w:rsid w:val="008D21D8"/>
    <w:rsid w:val="008D7E6E"/>
    <w:rsid w:val="008E22CE"/>
    <w:rsid w:val="008E6264"/>
    <w:rsid w:val="008F06BF"/>
    <w:rsid w:val="008F0B42"/>
    <w:rsid w:val="008F21F2"/>
    <w:rsid w:val="008F2DD2"/>
    <w:rsid w:val="008F38FF"/>
    <w:rsid w:val="008F511A"/>
    <w:rsid w:val="008F56D2"/>
    <w:rsid w:val="00901169"/>
    <w:rsid w:val="00901173"/>
    <w:rsid w:val="009030B3"/>
    <w:rsid w:val="00904E2B"/>
    <w:rsid w:val="00912D15"/>
    <w:rsid w:val="009142A6"/>
    <w:rsid w:val="009149E8"/>
    <w:rsid w:val="009154B4"/>
    <w:rsid w:val="00915A4C"/>
    <w:rsid w:val="00922488"/>
    <w:rsid w:val="00923668"/>
    <w:rsid w:val="0093357F"/>
    <w:rsid w:val="00934623"/>
    <w:rsid w:val="009355C5"/>
    <w:rsid w:val="009368FD"/>
    <w:rsid w:val="0094020E"/>
    <w:rsid w:val="00944CA3"/>
    <w:rsid w:val="009472EA"/>
    <w:rsid w:val="009500AC"/>
    <w:rsid w:val="009521E6"/>
    <w:rsid w:val="009530CA"/>
    <w:rsid w:val="0095403A"/>
    <w:rsid w:val="0095566D"/>
    <w:rsid w:val="0095639E"/>
    <w:rsid w:val="009614ED"/>
    <w:rsid w:val="00970815"/>
    <w:rsid w:val="0097537A"/>
    <w:rsid w:val="00983C13"/>
    <w:rsid w:val="00984954"/>
    <w:rsid w:val="0099151E"/>
    <w:rsid w:val="00993F4F"/>
    <w:rsid w:val="00996310"/>
    <w:rsid w:val="009972C7"/>
    <w:rsid w:val="009A34DB"/>
    <w:rsid w:val="009A36BA"/>
    <w:rsid w:val="009A46E9"/>
    <w:rsid w:val="009B11FA"/>
    <w:rsid w:val="009B211A"/>
    <w:rsid w:val="009B4C85"/>
    <w:rsid w:val="009C0BA8"/>
    <w:rsid w:val="009C4705"/>
    <w:rsid w:val="009D290B"/>
    <w:rsid w:val="009D5B3F"/>
    <w:rsid w:val="009D5EB4"/>
    <w:rsid w:val="009D6434"/>
    <w:rsid w:val="009E18B0"/>
    <w:rsid w:val="009E4FED"/>
    <w:rsid w:val="009E6625"/>
    <w:rsid w:val="009F2822"/>
    <w:rsid w:val="009F6481"/>
    <w:rsid w:val="00A001B4"/>
    <w:rsid w:val="00A05D50"/>
    <w:rsid w:val="00A103E8"/>
    <w:rsid w:val="00A20239"/>
    <w:rsid w:val="00A2050A"/>
    <w:rsid w:val="00A20D54"/>
    <w:rsid w:val="00A2152C"/>
    <w:rsid w:val="00A215C7"/>
    <w:rsid w:val="00A279E9"/>
    <w:rsid w:val="00A322DF"/>
    <w:rsid w:val="00A37B11"/>
    <w:rsid w:val="00A43D28"/>
    <w:rsid w:val="00A44E51"/>
    <w:rsid w:val="00A503A5"/>
    <w:rsid w:val="00A522A1"/>
    <w:rsid w:val="00A53A95"/>
    <w:rsid w:val="00A55C9A"/>
    <w:rsid w:val="00A5648A"/>
    <w:rsid w:val="00A57066"/>
    <w:rsid w:val="00A5766B"/>
    <w:rsid w:val="00A61923"/>
    <w:rsid w:val="00A62080"/>
    <w:rsid w:val="00A626D8"/>
    <w:rsid w:val="00A65580"/>
    <w:rsid w:val="00A67504"/>
    <w:rsid w:val="00A703BB"/>
    <w:rsid w:val="00A71709"/>
    <w:rsid w:val="00A71F14"/>
    <w:rsid w:val="00A726BC"/>
    <w:rsid w:val="00A73519"/>
    <w:rsid w:val="00A73AC2"/>
    <w:rsid w:val="00A74AF9"/>
    <w:rsid w:val="00A76AA8"/>
    <w:rsid w:val="00A804B2"/>
    <w:rsid w:val="00A8065A"/>
    <w:rsid w:val="00A86451"/>
    <w:rsid w:val="00A91791"/>
    <w:rsid w:val="00A93796"/>
    <w:rsid w:val="00A96CD2"/>
    <w:rsid w:val="00A96E11"/>
    <w:rsid w:val="00AA2C20"/>
    <w:rsid w:val="00AA3C63"/>
    <w:rsid w:val="00AA4135"/>
    <w:rsid w:val="00AB02A7"/>
    <w:rsid w:val="00AB289F"/>
    <w:rsid w:val="00AB4788"/>
    <w:rsid w:val="00AC449F"/>
    <w:rsid w:val="00AC6059"/>
    <w:rsid w:val="00AD4FA5"/>
    <w:rsid w:val="00AE1BD6"/>
    <w:rsid w:val="00AE28AD"/>
    <w:rsid w:val="00AE2A3D"/>
    <w:rsid w:val="00AE2A48"/>
    <w:rsid w:val="00AE3B9F"/>
    <w:rsid w:val="00AE4B79"/>
    <w:rsid w:val="00AE5335"/>
    <w:rsid w:val="00AE54C9"/>
    <w:rsid w:val="00AE5B5E"/>
    <w:rsid w:val="00AE7349"/>
    <w:rsid w:val="00AE768B"/>
    <w:rsid w:val="00AF481C"/>
    <w:rsid w:val="00AF6967"/>
    <w:rsid w:val="00AF78C3"/>
    <w:rsid w:val="00B010B0"/>
    <w:rsid w:val="00B016D6"/>
    <w:rsid w:val="00B0348C"/>
    <w:rsid w:val="00B05C2D"/>
    <w:rsid w:val="00B06601"/>
    <w:rsid w:val="00B07443"/>
    <w:rsid w:val="00B11712"/>
    <w:rsid w:val="00B11FA4"/>
    <w:rsid w:val="00B12D60"/>
    <w:rsid w:val="00B15111"/>
    <w:rsid w:val="00B16E4E"/>
    <w:rsid w:val="00B2186C"/>
    <w:rsid w:val="00B22CCB"/>
    <w:rsid w:val="00B3052F"/>
    <w:rsid w:val="00B373AC"/>
    <w:rsid w:val="00B3747B"/>
    <w:rsid w:val="00B45463"/>
    <w:rsid w:val="00B457BB"/>
    <w:rsid w:val="00B500CD"/>
    <w:rsid w:val="00B516EB"/>
    <w:rsid w:val="00B51C20"/>
    <w:rsid w:val="00B53857"/>
    <w:rsid w:val="00B545FE"/>
    <w:rsid w:val="00B55375"/>
    <w:rsid w:val="00B569A0"/>
    <w:rsid w:val="00B6159A"/>
    <w:rsid w:val="00B6297F"/>
    <w:rsid w:val="00B6490B"/>
    <w:rsid w:val="00B6494F"/>
    <w:rsid w:val="00B64D24"/>
    <w:rsid w:val="00B66926"/>
    <w:rsid w:val="00B66CBF"/>
    <w:rsid w:val="00B67479"/>
    <w:rsid w:val="00B67DC8"/>
    <w:rsid w:val="00B7055F"/>
    <w:rsid w:val="00B70E02"/>
    <w:rsid w:val="00B71663"/>
    <w:rsid w:val="00B72BC7"/>
    <w:rsid w:val="00B75065"/>
    <w:rsid w:val="00B80938"/>
    <w:rsid w:val="00B81FC4"/>
    <w:rsid w:val="00B82AF3"/>
    <w:rsid w:val="00B83ED9"/>
    <w:rsid w:val="00B8438C"/>
    <w:rsid w:val="00B86E4B"/>
    <w:rsid w:val="00B9034F"/>
    <w:rsid w:val="00B91157"/>
    <w:rsid w:val="00B91DDA"/>
    <w:rsid w:val="00B945E1"/>
    <w:rsid w:val="00BA6965"/>
    <w:rsid w:val="00BB7451"/>
    <w:rsid w:val="00BC0AA2"/>
    <w:rsid w:val="00BD236C"/>
    <w:rsid w:val="00BD3DDE"/>
    <w:rsid w:val="00BD41B8"/>
    <w:rsid w:val="00BD52AF"/>
    <w:rsid w:val="00BD5DD5"/>
    <w:rsid w:val="00BE050E"/>
    <w:rsid w:val="00BE0C29"/>
    <w:rsid w:val="00BE4F13"/>
    <w:rsid w:val="00BE548B"/>
    <w:rsid w:val="00BE7FF0"/>
    <w:rsid w:val="00BF0092"/>
    <w:rsid w:val="00BF14BA"/>
    <w:rsid w:val="00BF259C"/>
    <w:rsid w:val="00BF2652"/>
    <w:rsid w:val="00BF38B2"/>
    <w:rsid w:val="00BF48A4"/>
    <w:rsid w:val="00BF4C87"/>
    <w:rsid w:val="00BF51C6"/>
    <w:rsid w:val="00BF6691"/>
    <w:rsid w:val="00C002F4"/>
    <w:rsid w:val="00C04C69"/>
    <w:rsid w:val="00C04F54"/>
    <w:rsid w:val="00C05387"/>
    <w:rsid w:val="00C06E78"/>
    <w:rsid w:val="00C111BE"/>
    <w:rsid w:val="00C1520F"/>
    <w:rsid w:val="00C23773"/>
    <w:rsid w:val="00C267E6"/>
    <w:rsid w:val="00C3725B"/>
    <w:rsid w:val="00C40931"/>
    <w:rsid w:val="00C437BC"/>
    <w:rsid w:val="00C4412B"/>
    <w:rsid w:val="00C50270"/>
    <w:rsid w:val="00C5040E"/>
    <w:rsid w:val="00C53C33"/>
    <w:rsid w:val="00C53C35"/>
    <w:rsid w:val="00C544D5"/>
    <w:rsid w:val="00C55DC4"/>
    <w:rsid w:val="00C63071"/>
    <w:rsid w:val="00C634D0"/>
    <w:rsid w:val="00C64002"/>
    <w:rsid w:val="00C65118"/>
    <w:rsid w:val="00C65AD7"/>
    <w:rsid w:val="00C769D0"/>
    <w:rsid w:val="00C773FD"/>
    <w:rsid w:val="00C848E9"/>
    <w:rsid w:val="00C86E27"/>
    <w:rsid w:val="00C91016"/>
    <w:rsid w:val="00CA24B5"/>
    <w:rsid w:val="00CA36A4"/>
    <w:rsid w:val="00CA44F6"/>
    <w:rsid w:val="00CA6582"/>
    <w:rsid w:val="00CB00FF"/>
    <w:rsid w:val="00CB06C8"/>
    <w:rsid w:val="00CB2FDD"/>
    <w:rsid w:val="00CB4FC0"/>
    <w:rsid w:val="00CB5030"/>
    <w:rsid w:val="00CB7401"/>
    <w:rsid w:val="00CB745D"/>
    <w:rsid w:val="00CC0A19"/>
    <w:rsid w:val="00CC2B2D"/>
    <w:rsid w:val="00CC45D8"/>
    <w:rsid w:val="00CD3230"/>
    <w:rsid w:val="00CD48E8"/>
    <w:rsid w:val="00CD6D24"/>
    <w:rsid w:val="00CE2647"/>
    <w:rsid w:val="00CE2F74"/>
    <w:rsid w:val="00CE2FB5"/>
    <w:rsid w:val="00CE6BDA"/>
    <w:rsid w:val="00CE6CBC"/>
    <w:rsid w:val="00CF34C8"/>
    <w:rsid w:val="00CF4243"/>
    <w:rsid w:val="00CF631A"/>
    <w:rsid w:val="00CF7690"/>
    <w:rsid w:val="00D03E9E"/>
    <w:rsid w:val="00D05E74"/>
    <w:rsid w:val="00D10F63"/>
    <w:rsid w:val="00D1375D"/>
    <w:rsid w:val="00D22891"/>
    <w:rsid w:val="00D23EA9"/>
    <w:rsid w:val="00D26483"/>
    <w:rsid w:val="00D2714F"/>
    <w:rsid w:val="00D30F77"/>
    <w:rsid w:val="00D314DF"/>
    <w:rsid w:val="00D329B4"/>
    <w:rsid w:val="00D33794"/>
    <w:rsid w:val="00D36CBF"/>
    <w:rsid w:val="00D40164"/>
    <w:rsid w:val="00D40166"/>
    <w:rsid w:val="00D40E76"/>
    <w:rsid w:val="00D5149F"/>
    <w:rsid w:val="00D546FB"/>
    <w:rsid w:val="00D55950"/>
    <w:rsid w:val="00D60512"/>
    <w:rsid w:val="00D60A64"/>
    <w:rsid w:val="00D6365C"/>
    <w:rsid w:val="00D64868"/>
    <w:rsid w:val="00D64DB9"/>
    <w:rsid w:val="00D7517D"/>
    <w:rsid w:val="00D75C7E"/>
    <w:rsid w:val="00D86D85"/>
    <w:rsid w:val="00D87308"/>
    <w:rsid w:val="00D873D7"/>
    <w:rsid w:val="00D90239"/>
    <w:rsid w:val="00D95879"/>
    <w:rsid w:val="00DA1A01"/>
    <w:rsid w:val="00DA4310"/>
    <w:rsid w:val="00DA554C"/>
    <w:rsid w:val="00DA7916"/>
    <w:rsid w:val="00DB1691"/>
    <w:rsid w:val="00DB2AD0"/>
    <w:rsid w:val="00DB4A37"/>
    <w:rsid w:val="00DB5C96"/>
    <w:rsid w:val="00DB606F"/>
    <w:rsid w:val="00DB787A"/>
    <w:rsid w:val="00DC5527"/>
    <w:rsid w:val="00DD20F9"/>
    <w:rsid w:val="00DD2493"/>
    <w:rsid w:val="00DD2B47"/>
    <w:rsid w:val="00DD42B2"/>
    <w:rsid w:val="00DD6B6F"/>
    <w:rsid w:val="00DE121F"/>
    <w:rsid w:val="00DE1D8B"/>
    <w:rsid w:val="00DF0B81"/>
    <w:rsid w:val="00DF0BD9"/>
    <w:rsid w:val="00DF2A57"/>
    <w:rsid w:val="00DF3BE7"/>
    <w:rsid w:val="00DF4912"/>
    <w:rsid w:val="00DF78EE"/>
    <w:rsid w:val="00E04037"/>
    <w:rsid w:val="00E05EC3"/>
    <w:rsid w:val="00E1535D"/>
    <w:rsid w:val="00E1756B"/>
    <w:rsid w:val="00E263F1"/>
    <w:rsid w:val="00E2775B"/>
    <w:rsid w:val="00E27D26"/>
    <w:rsid w:val="00E32F99"/>
    <w:rsid w:val="00E377C6"/>
    <w:rsid w:val="00E46253"/>
    <w:rsid w:val="00E478C8"/>
    <w:rsid w:val="00E50FD6"/>
    <w:rsid w:val="00E53F35"/>
    <w:rsid w:val="00E54D97"/>
    <w:rsid w:val="00E5703C"/>
    <w:rsid w:val="00E61A61"/>
    <w:rsid w:val="00E622CD"/>
    <w:rsid w:val="00E65B34"/>
    <w:rsid w:val="00E73CEC"/>
    <w:rsid w:val="00E740BE"/>
    <w:rsid w:val="00E75E0B"/>
    <w:rsid w:val="00E810E7"/>
    <w:rsid w:val="00E81170"/>
    <w:rsid w:val="00E84082"/>
    <w:rsid w:val="00E86F21"/>
    <w:rsid w:val="00E87218"/>
    <w:rsid w:val="00E926EB"/>
    <w:rsid w:val="00E93D66"/>
    <w:rsid w:val="00E9695D"/>
    <w:rsid w:val="00EA3C3E"/>
    <w:rsid w:val="00EA6DEF"/>
    <w:rsid w:val="00EB0B77"/>
    <w:rsid w:val="00EB5A2C"/>
    <w:rsid w:val="00EC0F9D"/>
    <w:rsid w:val="00EC33A9"/>
    <w:rsid w:val="00EC4DA8"/>
    <w:rsid w:val="00EC7382"/>
    <w:rsid w:val="00ED0067"/>
    <w:rsid w:val="00ED2281"/>
    <w:rsid w:val="00ED690A"/>
    <w:rsid w:val="00ED6E29"/>
    <w:rsid w:val="00EE084B"/>
    <w:rsid w:val="00EE0C56"/>
    <w:rsid w:val="00EE23F8"/>
    <w:rsid w:val="00EE5CF8"/>
    <w:rsid w:val="00EE5F70"/>
    <w:rsid w:val="00EE6969"/>
    <w:rsid w:val="00EE7C81"/>
    <w:rsid w:val="00EF021A"/>
    <w:rsid w:val="00EF08E1"/>
    <w:rsid w:val="00EF1D63"/>
    <w:rsid w:val="00EF3AE1"/>
    <w:rsid w:val="00F0030A"/>
    <w:rsid w:val="00F01473"/>
    <w:rsid w:val="00F029D6"/>
    <w:rsid w:val="00F04A84"/>
    <w:rsid w:val="00F06EB1"/>
    <w:rsid w:val="00F178EA"/>
    <w:rsid w:val="00F21454"/>
    <w:rsid w:val="00F21C0A"/>
    <w:rsid w:val="00F24227"/>
    <w:rsid w:val="00F267C9"/>
    <w:rsid w:val="00F27877"/>
    <w:rsid w:val="00F331E5"/>
    <w:rsid w:val="00F34D0F"/>
    <w:rsid w:val="00F35AEF"/>
    <w:rsid w:val="00F35C8C"/>
    <w:rsid w:val="00F3762C"/>
    <w:rsid w:val="00F47484"/>
    <w:rsid w:val="00F520F8"/>
    <w:rsid w:val="00F535A0"/>
    <w:rsid w:val="00F6007F"/>
    <w:rsid w:val="00F664D1"/>
    <w:rsid w:val="00F74E41"/>
    <w:rsid w:val="00F755A3"/>
    <w:rsid w:val="00F7595F"/>
    <w:rsid w:val="00F833C0"/>
    <w:rsid w:val="00F86FFB"/>
    <w:rsid w:val="00F9116B"/>
    <w:rsid w:val="00F962FD"/>
    <w:rsid w:val="00FA08D2"/>
    <w:rsid w:val="00FA51A3"/>
    <w:rsid w:val="00FA6476"/>
    <w:rsid w:val="00FB265E"/>
    <w:rsid w:val="00FB27A8"/>
    <w:rsid w:val="00FB3107"/>
    <w:rsid w:val="00FB54EF"/>
    <w:rsid w:val="00FB6971"/>
    <w:rsid w:val="00FC0839"/>
    <w:rsid w:val="00FC0AA0"/>
    <w:rsid w:val="00FC2473"/>
    <w:rsid w:val="00FC7B15"/>
    <w:rsid w:val="00FD2797"/>
    <w:rsid w:val="00FD2D27"/>
    <w:rsid w:val="00FD5C4B"/>
    <w:rsid w:val="00FD7713"/>
    <w:rsid w:val="00FE0FB5"/>
    <w:rsid w:val="00FE25F1"/>
    <w:rsid w:val="00FE5212"/>
    <w:rsid w:val="00FF0A6B"/>
    <w:rsid w:val="00FF2CF0"/>
    <w:rsid w:val="2616F608"/>
    <w:rsid w:val="3289B001"/>
    <w:rsid w:val="38104A08"/>
    <w:rsid w:val="43B1AE7B"/>
    <w:rsid w:val="4576DDCC"/>
    <w:rsid w:val="4D919346"/>
    <w:rsid w:val="67A339AC"/>
    <w:rsid w:val="7845F726"/>
    <w:rsid w:val="78A91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qFormat="1"/>
    <w:lsdException w:name="header" w:uiPriority="0"/>
    <w:lsdException w:name="footer" w:uiPriority="0"/>
    <w:lsdException w:name="caption" w:uiPriority="0" w:qFormat="1"/>
    <w:lsdException w:name="annotation reference" w:qFormat="1"/>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annotation subject" w:uiPriority="0" w:qFormat="1"/>
    <w:lsdException w:name="Balloon Text" w:uiPriority="0"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rsid w:val="00AE28AD"/>
    <w:pPr>
      <w:spacing w:after="0" w:line="276" w:lineRule="auto"/>
      <w:jc w:val="both"/>
    </w:pPr>
    <w:rPr>
      <w:rFonts w:ascii="Garamond" w:eastAsia="Times New Roman" w:hAnsi="Garamond" w:cs="Times New Roman"/>
      <w:kern w:val="0"/>
      <w:szCs w:val="22"/>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eastAsia="it-IT"/>
    </w:rPr>
  </w:style>
  <w:style w:type="character" w:customStyle="1" w:styleId="PidipaginaCarattere">
    <w:name w:val="Piè di pagina Carattere"/>
    <w:qFormat/>
    <w:rsid w:val="00AE28AD"/>
    <w:rPr>
      <w:rFonts w:eastAsia="Times New Roman" w:cs="Times New Roman"/>
      <w:lang w:eastAsia="it-IT"/>
    </w:rPr>
  </w:style>
  <w:style w:type="character" w:customStyle="1" w:styleId="TestonotaapidipaginaCarattere">
    <w:name w:val="Testo nota a piè di pagina Carattere"/>
    <w:qFormat/>
    <w:rsid w:val="00AE28AD"/>
    <w:rPr>
      <w:rFonts w:eastAsia="Times New Roman" w:cs="Times New Roman"/>
      <w:sz w:val="20"/>
      <w:szCs w:val="20"/>
      <w:lang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deltesto">
    <w:name w:val="Body Text"/>
    <w:basedOn w:val="Normale"/>
    <w:link w:val="CorpodeltestoCarattere"/>
    <w:rsid w:val="00AE28AD"/>
    <w:pPr>
      <w:widowControl w:val="0"/>
      <w:spacing w:line="259" w:lineRule="exact"/>
    </w:pPr>
    <w:rPr>
      <w:rFonts w:ascii="Times New Roman" w:hAnsi="Times New Roman"/>
      <w:sz w:val="26"/>
      <w:szCs w:val="20"/>
    </w:rPr>
  </w:style>
  <w:style w:type="character" w:customStyle="1" w:styleId="CorpodeltestoCarattere">
    <w:name w:val="Corpo del testo Carattere"/>
    <w:basedOn w:val="Carpredefinitoparagrafo"/>
    <w:link w:val="Corpodeltesto"/>
    <w:rsid w:val="00AE28AD"/>
    <w:rPr>
      <w:rFonts w:ascii="Times New Roman" w:eastAsia="Times New Roman" w:hAnsi="Times New Roman" w:cs="Times New Roman"/>
      <w:kern w:val="0"/>
      <w:sz w:val="26"/>
      <w:szCs w:val="20"/>
    </w:rPr>
  </w:style>
  <w:style w:type="paragraph" w:styleId="Elenco">
    <w:name w:val="List"/>
    <w:basedOn w:val="Corpodel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qFormat/>
    <w:rsid w:val="00AE28AD"/>
    <w:pPr>
      <w:widowControl w:val="0"/>
      <w:spacing w:after="0" w:line="276" w:lineRule="auto"/>
      <w:jc w:val="both"/>
    </w:pPr>
    <w:rPr>
      <w:rFonts w:ascii="Book-Antiqua,Bold" w:eastAsia="Calibri" w:hAnsi="Book-Antiqua,Bold" w:cs="Book-Antiqua,Bold"/>
      <w:color w:val="000000"/>
      <w:kern w:val="0"/>
      <w:lang w:eastAsia="it-IT"/>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eastAsia="it-IT"/>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eastAsia="it-IT"/>
    </w:rPr>
  </w:style>
  <w:style w:type="paragraph" w:styleId="Testonotaapidipagina">
    <w:name w:val="footnote text"/>
    <w:basedOn w:val="Normale"/>
    <w:link w:val="TestonotaapidipaginaCarattere1"/>
    <w:rsid w:val="00AE28AD"/>
    <w:pPr>
      <w:spacing w:before="280" w:after="280" w:line="240" w:lineRule="auto"/>
    </w:pPr>
    <w:rPr>
      <w:sz w:val="20"/>
      <w:szCs w:val="20"/>
      <w:lang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eastAsia="it-IT"/>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rPr>
  </w:style>
  <w:style w:type="paragraph" w:styleId="Testonotadichiusura">
    <w:name w:val="endnote text"/>
    <w:basedOn w:val="Normale"/>
    <w:link w:val="TestonotadichiusuraCarattere1"/>
    <w:rsid w:val="00AE28AD"/>
    <w:rPr>
      <w:sz w:val="20"/>
      <w:szCs w:val="20"/>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rPr>
  </w:style>
  <w:style w:type="character" w:customStyle="1" w:styleId="TestocommentoCarattere1">
    <w:name w:val="Testo commento Carattere1"/>
    <w:basedOn w:val="Carpredefinitoparagrafo"/>
    <w:link w:val="Testocommento"/>
    <w:rsid w:val="00AE28AD"/>
    <w:rPr>
      <w:rFonts w:ascii="Garamond" w:eastAsia="Times New Roman" w:hAnsi="Garamond" w:cs="Times New Roman"/>
      <w:kern w:val="0"/>
      <w:sz w:val="20"/>
      <w:szCs w:val="20"/>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rPr>
  </w:style>
  <w:style w:type="paragraph" w:styleId="Rientrocorpodeltesto3">
    <w:name w:val="Body Text Indent 3"/>
    <w:basedOn w:val="Normale"/>
    <w:link w:val="Rientrocorpodeltesto3Carattere1"/>
    <w:qFormat/>
    <w:rsid w:val="00AE28AD"/>
    <w:pPr>
      <w:spacing w:after="120"/>
      <w:ind w:left="283"/>
    </w:pPr>
    <w:rPr>
      <w:sz w:val="16"/>
      <w:szCs w:val="16"/>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AE28AD"/>
    <w:rPr>
      <w:color w:val="467886" w:themeColor="hyperlink"/>
      <w:u w:val="single"/>
    </w:rPr>
  </w:style>
  <w:style w:type="table" w:customStyle="1" w:styleId="Grigliatabellachiara1">
    <w:name w:val="Griglia tabella chiara1"/>
    <w:basedOn w:val="Tabellanormale"/>
    <w:uiPriority w:val="40"/>
    <w:rsid w:val="00AE28AD"/>
    <w:pPr>
      <w:spacing w:after="0" w:line="240" w:lineRule="auto"/>
    </w:pPr>
    <w:rPr>
      <w:rFonts w:ascii="Calibri" w:eastAsia="Calibri" w:hAnsi="Calibri" w:cs="Times New Roman"/>
      <w:kern w:val="0"/>
      <w:sz w:val="20"/>
      <w:szCs w:val="20"/>
      <w:lang w:eastAsia="it-IT"/>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customStyle="1" w:styleId="Menzionenonrisolta9">
    <w:name w:val="Menzione non risolta9"/>
    <w:basedOn w:val="Carpredefinitoparagrafo"/>
    <w:uiPriority w:val="99"/>
    <w:semiHidden/>
    <w:unhideWhenUsed/>
    <w:rsid w:val="00B373AC"/>
    <w:rPr>
      <w:color w:val="605E5C"/>
      <w:shd w:val="clear" w:color="auto" w:fill="E1DFDD"/>
    </w:rPr>
  </w:style>
  <w:style w:type="paragraph" w:customStyle="1" w:styleId="CM10">
    <w:name w:val="CM10"/>
    <w:basedOn w:val="Default"/>
    <w:next w:val="Default"/>
    <w:uiPriority w:val="99"/>
    <w:rsid w:val="00E86F21"/>
    <w:pPr>
      <w:autoSpaceDE w:val="0"/>
      <w:autoSpaceDN w:val="0"/>
      <w:adjustRightInd w:val="0"/>
      <w:spacing w:line="286" w:lineRule="atLeast"/>
      <w:jc w:val="left"/>
    </w:pPr>
    <w:rPr>
      <w:rFonts w:ascii="Titillium" w:eastAsia="Times New Roman" w:hAnsi="Titillium" w:cs="Times New Roman"/>
      <w:color w:val="auto"/>
    </w:rPr>
  </w:style>
</w:styles>
</file>

<file path=word/webSettings.xml><?xml version="1.0" encoding="utf-8"?>
<w:webSettings xmlns:r="http://schemas.openxmlformats.org/officeDocument/2006/relationships" xmlns:w="http://schemas.openxmlformats.org/wordprocessingml/2006/main">
  <w:divs>
    <w:div w:id="18972456">
      <w:bodyDiv w:val="1"/>
      <w:marLeft w:val="0"/>
      <w:marRight w:val="0"/>
      <w:marTop w:val="0"/>
      <w:marBottom w:val="0"/>
      <w:divBdr>
        <w:top w:val="none" w:sz="0" w:space="0" w:color="auto"/>
        <w:left w:val="none" w:sz="0" w:space="0" w:color="auto"/>
        <w:bottom w:val="none" w:sz="0" w:space="0" w:color="auto"/>
        <w:right w:val="none" w:sz="0" w:space="0" w:color="auto"/>
      </w:divBdr>
    </w:div>
    <w:div w:id="166989519">
      <w:bodyDiv w:val="1"/>
      <w:marLeft w:val="0"/>
      <w:marRight w:val="0"/>
      <w:marTop w:val="0"/>
      <w:marBottom w:val="0"/>
      <w:divBdr>
        <w:top w:val="none" w:sz="0" w:space="0" w:color="auto"/>
        <w:left w:val="none" w:sz="0" w:space="0" w:color="auto"/>
        <w:bottom w:val="none" w:sz="0" w:space="0" w:color="auto"/>
        <w:right w:val="none" w:sz="0" w:space="0" w:color="auto"/>
      </w:divBdr>
    </w:div>
    <w:div w:id="874150533">
      <w:bodyDiv w:val="1"/>
      <w:marLeft w:val="0"/>
      <w:marRight w:val="0"/>
      <w:marTop w:val="0"/>
      <w:marBottom w:val="0"/>
      <w:divBdr>
        <w:top w:val="none" w:sz="0" w:space="0" w:color="auto"/>
        <w:left w:val="none" w:sz="0" w:space="0" w:color="auto"/>
        <w:bottom w:val="none" w:sz="0" w:space="0" w:color="auto"/>
        <w:right w:val="none" w:sz="0" w:space="0" w:color="auto"/>
      </w:divBdr>
    </w:div>
    <w:div w:id="938875478">
      <w:bodyDiv w:val="1"/>
      <w:marLeft w:val="0"/>
      <w:marRight w:val="0"/>
      <w:marTop w:val="0"/>
      <w:marBottom w:val="0"/>
      <w:divBdr>
        <w:top w:val="none" w:sz="0" w:space="0" w:color="auto"/>
        <w:left w:val="none" w:sz="0" w:space="0" w:color="auto"/>
        <w:bottom w:val="none" w:sz="0" w:space="0" w:color="auto"/>
        <w:right w:val="none" w:sz="0" w:space="0" w:color="auto"/>
      </w:divBdr>
      <w:divsChild>
        <w:div w:id="622002558">
          <w:marLeft w:val="0"/>
          <w:marRight w:val="0"/>
          <w:marTop w:val="0"/>
          <w:marBottom w:val="0"/>
          <w:divBdr>
            <w:top w:val="none" w:sz="0" w:space="0" w:color="auto"/>
            <w:left w:val="none" w:sz="0" w:space="0" w:color="auto"/>
            <w:bottom w:val="none" w:sz="0" w:space="0" w:color="auto"/>
            <w:right w:val="none" w:sz="0" w:space="0" w:color="auto"/>
          </w:divBdr>
          <w:divsChild>
            <w:div w:id="873033006">
              <w:marLeft w:val="0"/>
              <w:marRight w:val="0"/>
              <w:marTop w:val="0"/>
              <w:marBottom w:val="0"/>
              <w:divBdr>
                <w:top w:val="none" w:sz="0" w:space="0" w:color="auto"/>
                <w:left w:val="none" w:sz="0" w:space="0" w:color="auto"/>
                <w:bottom w:val="none" w:sz="0" w:space="0" w:color="auto"/>
                <w:right w:val="none" w:sz="0" w:space="0" w:color="auto"/>
              </w:divBdr>
              <w:divsChild>
                <w:div w:id="1466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00301">
      <w:bodyDiv w:val="1"/>
      <w:marLeft w:val="0"/>
      <w:marRight w:val="0"/>
      <w:marTop w:val="0"/>
      <w:marBottom w:val="0"/>
      <w:divBdr>
        <w:top w:val="none" w:sz="0" w:space="0" w:color="auto"/>
        <w:left w:val="none" w:sz="0" w:space="0" w:color="auto"/>
        <w:bottom w:val="none" w:sz="0" w:space="0" w:color="auto"/>
        <w:right w:val="none" w:sz="0" w:space="0" w:color="auto"/>
      </w:divBdr>
    </w:div>
    <w:div w:id="1345547494">
      <w:bodyDiv w:val="1"/>
      <w:marLeft w:val="0"/>
      <w:marRight w:val="0"/>
      <w:marTop w:val="0"/>
      <w:marBottom w:val="0"/>
      <w:divBdr>
        <w:top w:val="none" w:sz="0" w:space="0" w:color="auto"/>
        <w:left w:val="none" w:sz="0" w:space="0" w:color="auto"/>
        <w:bottom w:val="none" w:sz="0" w:space="0" w:color="auto"/>
        <w:right w:val="none" w:sz="0" w:space="0" w:color="auto"/>
      </w:divBdr>
    </w:div>
    <w:div w:id="1639803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9691">
          <w:marLeft w:val="0"/>
          <w:marRight w:val="0"/>
          <w:marTop w:val="0"/>
          <w:marBottom w:val="0"/>
          <w:divBdr>
            <w:top w:val="none" w:sz="0" w:space="0" w:color="auto"/>
            <w:left w:val="none" w:sz="0" w:space="0" w:color="auto"/>
            <w:bottom w:val="none" w:sz="0" w:space="0" w:color="auto"/>
            <w:right w:val="none" w:sz="0" w:space="0" w:color="auto"/>
          </w:divBdr>
          <w:divsChild>
            <w:div w:id="1367635058">
              <w:marLeft w:val="0"/>
              <w:marRight w:val="0"/>
              <w:marTop w:val="0"/>
              <w:marBottom w:val="0"/>
              <w:divBdr>
                <w:top w:val="none" w:sz="0" w:space="0" w:color="auto"/>
                <w:left w:val="none" w:sz="0" w:space="0" w:color="auto"/>
                <w:bottom w:val="none" w:sz="0" w:space="0" w:color="auto"/>
                <w:right w:val="none" w:sz="0" w:space="0" w:color="auto"/>
              </w:divBdr>
              <w:divsChild>
                <w:div w:id="13128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9248">
      <w:bodyDiv w:val="1"/>
      <w:marLeft w:val="0"/>
      <w:marRight w:val="0"/>
      <w:marTop w:val="0"/>
      <w:marBottom w:val="0"/>
      <w:divBdr>
        <w:top w:val="none" w:sz="0" w:space="0" w:color="auto"/>
        <w:left w:val="none" w:sz="0" w:space="0" w:color="auto"/>
        <w:bottom w:val="none" w:sz="0" w:space="0" w:color="auto"/>
        <w:right w:val="none" w:sz="0" w:space="0" w:color="auto"/>
      </w:divBdr>
    </w:div>
    <w:div w:id="1982929262">
      <w:bodyDiv w:val="1"/>
      <w:marLeft w:val="0"/>
      <w:marRight w:val="0"/>
      <w:marTop w:val="0"/>
      <w:marBottom w:val="0"/>
      <w:divBdr>
        <w:top w:val="none" w:sz="0" w:space="0" w:color="auto"/>
        <w:left w:val="none" w:sz="0" w:space="0" w:color="auto"/>
        <w:bottom w:val="none" w:sz="0" w:space="0" w:color="auto"/>
        <w:right w:val="none" w:sz="0" w:space="0" w:color="auto"/>
      </w:divBdr>
    </w:div>
    <w:div w:id="20566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ercent.regione.emilia-romagna.it" TargetMode="External"/><Relationship Id="rId18" Type="http://schemas.openxmlformats.org/officeDocument/2006/relationships/hyperlink" Target="https://www.anticorruzione.it/-/gestione-contributi-gar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nticorruzione.it/en/-/comunicato-del-presidente-del-16-aprile-2025-fvoe" TargetMode="External"/><Relationship Id="rId7" Type="http://schemas.openxmlformats.org/officeDocument/2006/relationships/settings" Target="settings.xml"/><Relationship Id="rId12" Type="http://schemas.openxmlformats.org/officeDocument/2006/relationships/hyperlink" Target="mailto:antonio.capobianco@ausl.bologna.it" TargetMode="External"/><Relationship Id="rId17" Type="http://schemas.openxmlformats.org/officeDocument/2006/relationships/hyperlink" Target="https://www.anticorruzione.it/-/news.garanzie.finanziarie.18.07.2025"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osettiegatti.eu/info/norme/statali/1993_0385.htm" TargetMode="External"/><Relationship Id="rId20" Type="http://schemas.openxmlformats.org/officeDocument/2006/relationships/hyperlink" Target="http://www.indicenormativa.it/norma/urn:nir:presidente.repubblica:decreto:1972-10-26;64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ercent.regione.emilia-romagna.i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usl.bologna.it/asl-bologna/da/uocservizio-acquisti-metropolitano/trasparenza/atti-generali/Pattp%20di%25Integrita.pdf/view" TargetMode="External"/><Relationship Id="rId23" Type="http://schemas.openxmlformats.org/officeDocument/2006/relationships/hyperlink" Target="https://www.ausl.bologna.it/amministrazione-trasparente/altri-contenuti-dati-ulteriori/ac/corruzione" TargetMode="External"/><Relationship Id="rId10" Type="http://schemas.openxmlformats.org/officeDocument/2006/relationships/endnotes" Target="endnotes.xml"/><Relationship Id="rId19" Type="http://schemas.openxmlformats.org/officeDocument/2006/relationships/hyperlink" Target="https://www.anticorruzione.it/-/portale-dei-pagamenti-di-an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l.bologna.it/pro/codice-di-comportamento/codice-di-comportamento-dellazienda-usl-di-bologna/files/codice_comportamento.pdf" TargetMode="External"/><Relationship Id="rId22" Type="http://schemas.openxmlformats.org/officeDocument/2006/relationships/hyperlink" Target="https://www.ausl.bologna.it/amministrazione-trasparente/disposizioni-generali/atti-generali/cdcc"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customXml/itemProps2.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3.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AE73F-E1E6-4543-9BAE-9DB4C5A8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11170</TotalTime>
  <Pages>39</Pages>
  <Words>19262</Words>
  <Characters>109797</Characters>
  <Application>Microsoft Office Word</Application>
  <DocSecurity>0</DocSecurity>
  <Lines>914</Lines>
  <Paragraphs>257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128802</CharactersWithSpaces>
  <SharedDoc>false</SharedDoc>
  <HLinks>
    <vt:vector size="432" baseType="variant">
      <vt:variant>
        <vt:i4>458752</vt:i4>
      </vt:variant>
      <vt:variant>
        <vt:i4>453</vt:i4>
      </vt:variant>
      <vt:variant>
        <vt:i4>0</vt:i4>
      </vt:variant>
      <vt:variant>
        <vt:i4>5</vt:i4>
      </vt:variant>
      <vt:variant>
        <vt:lpwstr>http://www.indicenormativa.it/norma/urn:nir:presidente.repubblica:decreto:1972-10-26;642</vt:lpwstr>
      </vt:variant>
      <vt:variant>
        <vt:lpwstr/>
      </vt:variant>
      <vt:variant>
        <vt:i4>1310724</vt:i4>
      </vt:variant>
      <vt:variant>
        <vt:i4>438</vt:i4>
      </vt:variant>
      <vt:variant>
        <vt:i4>0</vt:i4>
      </vt:variant>
      <vt:variant>
        <vt:i4>5</vt:i4>
      </vt:variant>
      <vt:variant>
        <vt:lpwstr>https://www.anticorruzione.it/-/gestione-contributi-gara</vt:lpwstr>
      </vt:variant>
      <vt:variant>
        <vt:lpwstr/>
      </vt:variant>
      <vt:variant>
        <vt:i4>786448</vt:i4>
      </vt:variant>
      <vt:variant>
        <vt:i4>435</vt:i4>
      </vt:variant>
      <vt:variant>
        <vt:i4>0</vt:i4>
      </vt:variant>
      <vt:variant>
        <vt:i4>5</vt:i4>
      </vt:variant>
      <vt:variant>
        <vt:lpwstr>https://www.anticorruzione.it/-/portale-dei-pagamenti-di-anac</vt:lpwstr>
      </vt:variant>
      <vt:variant>
        <vt:lpwstr/>
      </vt:variant>
      <vt:variant>
        <vt:i4>1310724</vt:i4>
      </vt:variant>
      <vt:variant>
        <vt:i4>432</vt:i4>
      </vt:variant>
      <vt:variant>
        <vt:i4>0</vt:i4>
      </vt:variant>
      <vt:variant>
        <vt:i4>5</vt:i4>
      </vt:variant>
      <vt:variant>
        <vt:lpwstr>https://www.anticorruzione.it/-/gestione-contributi-gara</vt:lpwstr>
      </vt:variant>
      <vt:variant>
        <vt:lpwstr/>
      </vt:variant>
      <vt:variant>
        <vt:i4>1310724</vt:i4>
      </vt:variant>
      <vt:variant>
        <vt:i4>429</vt:i4>
      </vt:variant>
      <vt:variant>
        <vt:i4>0</vt:i4>
      </vt:variant>
      <vt:variant>
        <vt:i4>5</vt:i4>
      </vt:variant>
      <vt:variant>
        <vt:lpwstr>https://www.anticorruzione.it/-/gestione-contributi-gara</vt:lpwstr>
      </vt:variant>
      <vt:variant>
        <vt:lpwstr/>
      </vt:variant>
      <vt:variant>
        <vt:i4>4980740</vt:i4>
      </vt:variant>
      <vt:variant>
        <vt:i4>426</vt:i4>
      </vt:variant>
      <vt:variant>
        <vt:i4>0</vt:i4>
      </vt:variant>
      <vt:variant>
        <vt:i4>5</vt:i4>
      </vt:variant>
      <vt:variant>
        <vt:lpwstr>https://www.anticorruzione.it/-/garanzie-finanziarie</vt:lpwstr>
      </vt:variant>
      <vt:variant>
        <vt:lpwstr/>
      </vt:variant>
      <vt:variant>
        <vt:i4>4653112</vt:i4>
      </vt:variant>
      <vt:variant>
        <vt:i4>423</vt:i4>
      </vt:variant>
      <vt:variant>
        <vt:i4>0</vt:i4>
      </vt:variant>
      <vt:variant>
        <vt:i4>5</vt:i4>
      </vt:variant>
      <vt:variant>
        <vt:lpwstr>http://www.ivass.it/ivass/imprese_jsp/HomePage.jsp</vt:lpwstr>
      </vt:variant>
      <vt:variant>
        <vt:lpwstr/>
      </vt:variant>
      <vt:variant>
        <vt:i4>1376344</vt:i4>
      </vt:variant>
      <vt:variant>
        <vt:i4>420</vt:i4>
      </vt:variant>
      <vt:variant>
        <vt:i4>0</vt:i4>
      </vt:variant>
      <vt:variant>
        <vt:i4>5</vt:i4>
      </vt:variant>
      <vt:variant>
        <vt:lpwstr>http://www.bancaditalia.it/compiti/vigilanza/avvisi-pub/garanzie-finanziarie/</vt:lpwstr>
      </vt:variant>
      <vt:variant>
        <vt:lpwstr/>
      </vt:variant>
      <vt:variant>
        <vt:i4>131075</vt:i4>
      </vt:variant>
      <vt:variant>
        <vt:i4>417</vt:i4>
      </vt:variant>
      <vt:variant>
        <vt:i4>0</vt:i4>
      </vt:variant>
      <vt:variant>
        <vt:i4>5</vt:i4>
      </vt:variant>
      <vt:variant>
        <vt:lpwstr>http://www.bancaditalia.it/compiti/vigilanza/intermediari/index.html</vt:lpwstr>
      </vt:variant>
      <vt:variant>
        <vt:lpwstr/>
      </vt:variant>
      <vt:variant>
        <vt:i4>3866646</vt:i4>
      </vt:variant>
      <vt:variant>
        <vt:i4>414</vt:i4>
      </vt:variant>
      <vt:variant>
        <vt:i4>0</vt:i4>
      </vt:variant>
      <vt:variant>
        <vt:i4>5</vt:i4>
      </vt:variant>
      <vt:variant>
        <vt:lpwstr>https://www.bosettiegatti.eu/info/norme/statali/1993_0385.htm</vt:lpwstr>
      </vt:variant>
      <vt:variant>
        <vt:lpwstr>107</vt:lpwstr>
      </vt:variant>
      <vt:variant>
        <vt:i4>3801174</vt:i4>
      </vt:variant>
      <vt:variant>
        <vt:i4>411</vt:i4>
      </vt:variant>
      <vt:variant>
        <vt:i4>0</vt:i4>
      </vt:variant>
      <vt:variant>
        <vt:i4>5</vt:i4>
      </vt:variant>
      <vt:variant>
        <vt:lpwstr>https://single-market-economy.ec.europa.eu/single-market/public-procurement/foreign-subsidies-regulation_en?prefLang=it</vt:lpwstr>
      </vt:variant>
      <vt:variant>
        <vt:lpwstr/>
      </vt:variant>
      <vt:variant>
        <vt:i4>196665</vt:i4>
      </vt:variant>
      <vt:variant>
        <vt:i4>408</vt:i4>
      </vt:variant>
      <vt:variant>
        <vt:i4>0</vt:i4>
      </vt:variant>
      <vt:variant>
        <vt:i4>5</vt:i4>
      </vt:variant>
      <vt:variant>
        <vt:lpwstr>https://single-market-economy.ec.europa.eu/single-market/public-procurement/foreign-subsidies-regulation/questions-and-answers_en</vt:lpwstr>
      </vt:variant>
      <vt:variant>
        <vt:lpwstr/>
      </vt:variant>
      <vt:variant>
        <vt:i4>8257554</vt:i4>
      </vt:variant>
      <vt:variant>
        <vt:i4>405</vt:i4>
      </vt:variant>
      <vt:variant>
        <vt:i4>0</vt:i4>
      </vt:variant>
      <vt:variant>
        <vt:i4>5</vt:i4>
      </vt:variant>
      <vt:variant>
        <vt:lpwstr>https://single-market-economy.ec.europa.eu/single-market/public-procurement/foreign-subsidies-regulation_en</vt:lpwstr>
      </vt:variant>
      <vt:variant>
        <vt:lpwstr/>
      </vt:variant>
      <vt:variant>
        <vt:i4>6226004</vt:i4>
      </vt:variant>
      <vt:variant>
        <vt:i4>402</vt:i4>
      </vt:variant>
      <vt:variant>
        <vt:i4>0</vt:i4>
      </vt:variant>
      <vt:variant>
        <vt:i4>5</vt:i4>
      </vt:variant>
      <vt:variant>
        <vt:lpwstr>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vt:lpwstr>
      </vt:variant>
      <vt:variant>
        <vt:lpwstr/>
      </vt:variant>
      <vt:variant>
        <vt:i4>2621475</vt:i4>
      </vt:variant>
      <vt:variant>
        <vt:i4>345</vt:i4>
      </vt:variant>
      <vt:variant>
        <vt:i4>0</vt:i4>
      </vt:variant>
      <vt:variant>
        <vt:i4>5</vt:i4>
      </vt:variant>
      <vt:variant>
        <vt:lpwstr>https://gpp.mase.gov.it/CAM-vigenti</vt:lpwstr>
      </vt:variant>
      <vt:variant>
        <vt:lpwstr/>
      </vt:variant>
      <vt:variant>
        <vt:i4>1310781</vt:i4>
      </vt:variant>
      <vt:variant>
        <vt:i4>338</vt:i4>
      </vt:variant>
      <vt:variant>
        <vt:i4>0</vt:i4>
      </vt:variant>
      <vt:variant>
        <vt:i4>5</vt:i4>
      </vt:variant>
      <vt:variant>
        <vt:lpwstr/>
      </vt:variant>
      <vt:variant>
        <vt:lpwstr>_Toc194406886</vt:lpwstr>
      </vt:variant>
      <vt:variant>
        <vt:i4>1310781</vt:i4>
      </vt:variant>
      <vt:variant>
        <vt:i4>332</vt:i4>
      </vt:variant>
      <vt:variant>
        <vt:i4>0</vt:i4>
      </vt:variant>
      <vt:variant>
        <vt:i4>5</vt:i4>
      </vt:variant>
      <vt:variant>
        <vt:lpwstr/>
      </vt:variant>
      <vt:variant>
        <vt:lpwstr>_Toc194406885</vt:lpwstr>
      </vt:variant>
      <vt:variant>
        <vt:i4>1310781</vt:i4>
      </vt:variant>
      <vt:variant>
        <vt:i4>326</vt:i4>
      </vt:variant>
      <vt:variant>
        <vt:i4>0</vt:i4>
      </vt:variant>
      <vt:variant>
        <vt:i4>5</vt:i4>
      </vt:variant>
      <vt:variant>
        <vt:lpwstr/>
      </vt:variant>
      <vt:variant>
        <vt:lpwstr>_Toc194406884</vt:lpwstr>
      </vt:variant>
      <vt:variant>
        <vt:i4>1310781</vt:i4>
      </vt:variant>
      <vt:variant>
        <vt:i4>320</vt:i4>
      </vt:variant>
      <vt:variant>
        <vt:i4>0</vt:i4>
      </vt:variant>
      <vt:variant>
        <vt:i4>5</vt:i4>
      </vt:variant>
      <vt:variant>
        <vt:lpwstr/>
      </vt:variant>
      <vt:variant>
        <vt:lpwstr>_Toc194406883</vt:lpwstr>
      </vt:variant>
      <vt:variant>
        <vt:i4>1310781</vt:i4>
      </vt:variant>
      <vt:variant>
        <vt:i4>314</vt:i4>
      </vt:variant>
      <vt:variant>
        <vt:i4>0</vt:i4>
      </vt:variant>
      <vt:variant>
        <vt:i4>5</vt:i4>
      </vt:variant>
      <vt:variant>
        <vt:lpwstr/>
      </vt:variant>
      <vt:variant>
        <vt:lpwstr>_Toc194406882</vt:lpwstr>
      </vt:variant>
      <vt:variant>
        <vt:i4>1310781</vt:i4>
      </vt:variant>
      <vt:variant>
        <vt:i4>308</vt:i4>
      </vt:variant>
      <vt:variant>
        <vt:i4>0</vt:i4>
      </vt:variant>
      <vt:variant>
        <vt:i4>5</vt:i4>
      </vt:variant>
      <vt:variant>
        <vt:lpwstr/>
      </vt:variant>
      <vt:variant>
        <vt:lpwstr>_Toc194406881</vt:lpwstr>
      </vt:variant>
      <vt:variant>
        <vt:i4>1310781</vt:i4>
      </vt:variant>
      <vt:variant>
        <vt:i4>302</vt:i4>
      </vt:variant>
      <vt:variant>
        <vt:i4>0</vt:i4>
      </vt:variant>
      <vt:variant>
        <vt:i4>5</vt:i4>
      </vt:variant>
      <vt:variant>
        <vt:lpwstr/>
      </vt:variant>
      <vt:variant>
        <vt:lpwstr>_Toc194406880</vt:lpwstr>
      </vt:variant>
      <vt:variant>
        <vt:i4>1769533</vt:i4>
      </vt:variant>
      <vt:variant>
        <vt:i4>296</vt:i4>
      </vt:variant>
      <vt:variant>
        <vt:i4>0</vt:i4>
      </vt:variant>
      <vt:variant>
        <vt:i4>5</vt:i4>
      </vt:variant>
      <vt:variant>
        <vt:lpwstr/>
      </vt:variant>
      <vt:variant>
        <vt:lpwstr>_Toc194406879</vt:lpwstr>
      </vt:variant>
      <vt:variant>
        <vt:i4>1769533</vt:i4>
      </vt:variant>
      <vt:variant>
        <vt:i4>290</vt:i4>
      </vt:variant>
      <vt:variant>
        <vt:i4>0</vt:i4>
      </vt:variant>
      <vt:variant>
        <vt:i4>5</vt:i4>
      </vt:variant>
      <vt:variant>
        <vt:lpwstr/>
      </vt:variant>
      <vt:variant>
        <vt:lpwstr>_Toc194406878</vt:lpwstr>
      </vt:variant>
      <vt:variant>
        <vt:i4>1769533</vt:i4>
      </vt:variant>
      <vt:variant>
        <vt:i4>284</vt:i4>
      </vt:variant>
      <vt:variant>
        <vt:i4>0</vt:i4>
      </vt:variant>
      <vt:variant>
        <vt:i4>5</vt:i4>
      </vt:variant>
      <vt:variant>
        <vt:lpwstr/>
      </vt:variant>
      <vt:variant>
        <vt:lpwstr>_Toc194406877</vt:lpwstr>
      </vt:variant>
      <vt:variant>
        <vt:i4>1769533</vt:i4>
      </vt:variant>
      <vt:variant>
        <vt:i4>278</vt:i4>
      </vt:variant>
      <vt:variant>
        <vt:i4>0</vt:i4>
      </vt:variant>
      <vt:variant>
        <vt:i4>5</vt:i4>
      </vt:variant>
      <vt:variant>
        <vt:lpwstr/>
      </vt:variant>
      <vt:variant>
        <vt:lpwstr>_Toc194406876</vt:lpwstr>
      </vt:variant>
      <vt:variant>
        <vt:i4>1769533</vt:i4>
      </vt:variant>
      <vt:variant>
        <vt:i4>272</vt:i4>
      </vt:variant>
      <vt:variant>
        <vt:i4>0</vt:i4>
      </vt:variant>
      <vt:variant>
        <vt:i4>5</vt:i4>
      </vt:variant>
      <vt:variant>
        <vt:lpwstr/>
      </vt:variant>
      <vt:variant>
        <vt:lpwstr>_Toc194406875</vt:lpwstr>
      </vt:variant>
      <vt:variant>
        <vt:i4>1769533</vt:i4>
      </vt:variant>
      <vt:variant>
        <vt:i4>266</vt:i4>
      </vt:variant>
      <vt:variant>
        <vt:i4>0</vt:i4>
      </vt:variant>
      <vt:variant>
        <vt:i4>5</vt:i4>
      </vt:variant>
      <vt:variant>
        <vt:lpwstr/>
      </vt:variant>
      <vt:variant>
        <vt:lpwstr>_Toc194406874</vt:lpwstr>
      </vt:variant>
      <vt:variant>
        <vt:i4>1769533</vt:i4>
      </vt:variant>
      <vt:variant>
        <vt:i4>260</vt:i4>
      </vt:variant>
      <vt:variant>
        <vt:i4>0</vt:i4>
      </vt:variant>
      <vt:variant>
        <vt:i4>5</vt:i4>
      </vt:variant>
      <vt:variant>
        <vt:lpwstr/>
      </vt:variant>
      <vt:variant>
        <vt:lpwstr>_Toc194406873</vt:lpwstr>
      </vt:variant>
      <vt:variant>
        <vt:i4>1769533</vt:i4>
      </vt:variant>
      <vt:variant>
        <vt:i4>254</vt:i4>
      </vt:variant>
      <vt:variant>
        <vt:i4>0</vt:i4>
      </vt:variant>
      <vt:variant>
        <vt:i4>5</vt:i4>
      </vt:variant>
      <vt:variant>
        <vt:lpwstr/>
      </vt:variant>
      <vt:variant>
        <vt:lpwstr>_Toc194406872</vt:lpwstr>
      </vt:variant>
      <vt:variant>
        <vt:i4>1769533</vt:i4>
      </vt:variant>
      <vt:variant>
        <vt:i4>248</vt:i4>
      </vt:variant>
      <vt:variant>
        <vt:i4>0</vt:i4>
      </vt:variant>
      <vt:variant>
        <vt:i4>5</vt:i4>
      </vt:variant>
      <vt:variant>
        <vt:lpwstr/>
      </vt:variant>
      <vt:variant>
        <vt:lpwstr>_Toc194406871</vt:lpwstr>
      </vt:variant>
      <vt:variant>
        <vt:i4>1769533</vt:i4>
      </vt:variant>
      <vt:variant>
        <vt:i4>242</vt:i4>
      </vt:variant>
      <vt:variant>
        <vt:i4>0</vt:i4>
      </vt:variant>
      <vt:variant>
        <vt:i4>5</vt:i4>
      </vt:variant>
      <vt:variant>
        <vt:lpwstr/>
      </vt:variant>
      <vt:variant>
        <vt:lpwstr>_Toc194406870</vt:lpwstr>
      </vt:variant>
      <vt:variant>
        <vt:i4>1703997</vt:i4>
      </vt:variant>
      <vt:variant>
        <vt:i4>236</vt:i4>
      </vt:variant>
      <vt:variant>
        <vt:i4>0</vt:i4>
      </vt:variant>
      <vt:variant>
        <vt:i4>5</vt:i4>
      </vt:variant>
      <vt:variant>
        <vt:lpwstr/>
      </vt:variant>
      <vt:variant>
        <vt:lpwstr>_Toc194406869</vt:lpwstr>
      </vt:variant>
      <vt:variant>
        <vt:i4>1703997</vt:i4>
      </vt:variant>
      <vt:variant>
        <vt:i4>230</vt:i4>
      </vt:variant>
      <vt:variant>
        <vt:i4>0</vt:i4>
      </vt:variant>
      <vt:variant>
        <vt:i4>5</vt:i4>
      </vt:variant>
      <vt:variant>
        <vt:lpwstr/>
      </vt:variant>
      <vt:variant>
        <vt:lpwstr>_Toc194406868</vt:lpwstr>
      </vt:variant>
      <vt:variant>
        <vt:i4>1703997</vt:i4>
      </vt:variant>
      <vt:variant>
        <vt:i4>224</vt:i4>
      </vt:variant>
      <vt:variant>
        <vt:i4>0</vt:i4>
      </vt:variant>
      <vt:variant>
        <vt:i4>5</vt:i4>
      </vt:variant>
      <vt:variant>
        <vt:lpwstr/>
      </vt:variant>
      <vt:variant>
        <vt:lpwstr>_Toc194406867</vt:lpwstr>
      </vt:variant>
      <vt:variant>
        <vt:i4>1703997</vt:i4>
      </vt:variant>
      <vt:variant>
        <vt:i4>218</vt:i4>
      </vt:variant>
      <vt:variant>
        <vt:i4>0</vt:i4>
      </vt:variant>
      <vt:variant>
        <vt:i4>5</vt:i4>
      </vt:variant>
      <vt:variant>
        <vt:lpwstr/>
      </vt:variant>
      <vt:variant>
        <vt:lpwstr>_Toc194406866</vt:lpwstr>
      </vt:variant>
      <vt:variant>
        <vt:i4>1703997</vt:i4>
      </vt:variant>
      <vt:variant>
        <vt:i4>212</vt:i4>
      </vt:variant>
      <vt:variant>
        <vt:i4>0</vt:i4>
      </vt:variant>
      <vt:variant>
        <vt:i4>5</vt:i4>
      </vt:variant>
      <vt:variant>
        <vt:lpwstr/>
      </vt:variant>
      <vt:variant>
        <vt:lpwstr>_Toc194406865</vt:lpwstr>
      </vt:variant>
      <vt:variant>
        <vt:i4>1703997</vt:i4>
      </vt:variant>
      <vt:variant>
        <vt:i4>206</vt:i4>
      </vt:variant>
      <vt:variant>
        <vt:i4>0</vt:i4>
      </vt:variant>
      <vt:variant>
        <vt:i4>5</vt:i4>
      </vt:variant>
      <vt:variant>
        <vt:lpwstr/>
      </vt:variant>
      <vt:variant>
        <vt:lpwstr>_Toc194406864</vt:lpwstr>
      </vt:variant>
      <vt:variant>
        <vt:i4>1703997</vt:i4>
      </vt:variant>
      <vt:variant>
        <vt:i4>200</vt:i4>
      </vt:variant>
      <vt:variant>
        <vt:i4>0</vt:i4>
      </vt:variant>
      <vt:variant>
        <vt:i4>5</vt:i4>
      </vt:variant>
      <vt:variant>
        <vt:lpwstr/>
      </vt:variant>
      <vt:variant>
        <vt:lpwstr>_Toc194406863</vt:lpwstr>
      </vt:variant>
      <vt:variant>
        <vt:i4>1703997</vt:i4>
      </vt:variant>
      <vt:variant>
        <vt:i4>194</vt:i4>
      </vt:variant>
      <vt:variant>
        <vt:i4>0</vt:i4>
      </vt:variant>
      <vt:variant>
        <vt:i4>5</vt:i4>
      </vt:variant>
      <vt:variant>
        <vt:lpwstr/>
      </vt:variant>
      <vt:variant>
        <vt:lpwstr>_Toc194406862</vt:lpwstr>
      </vt:variant>
      <vt:variant>
        <vt:i4>1703997</vt:i4>
      </vt:variant>
      <vt:variant>
        <vt:i4>188</vt:i4>
      </vt:variant>
      <vt:variant>
        <vt:i4>0</vt:i4>
      </vt:variant>
      <vt:variant>
        <vt:i4>5</vt:i4>
      </vt:variant>
      <vt:variant>
        <vt:lpwstr/>
      </vt:variant>
      <vt:variant>
        <vt:lpwstr>_Toc194406861</vt:lpwstr>
      </vt:variant>
      <vt:variant>
        <vt:i4>1703997</vt:i4>
      </vt:variant>
      <vt:variant>
        <vt:i4>182</vt:i4>
      </vt:variant>
      <vt:variant>
        <vt:i4>0</vt:i4>
      </vt:variant>
      <vt:variant>
        <vt:i4>5</vt:i4>
      </vt:variant>
      <vt:variant>
        <vt:lpwstr/>
      </vt:variant>
      <vt:variant>
        <vt:lpwstr>_Toc194406860</vt:lpwstr>
      </vt:variant>
      <vt:variant>
        <vt:i4>1638461</vt:i4>
      </vt:variant>
      <vt:variant>
        <vt:i4>176</vt:i4>
      </vt:variant>
      <vt:variant>
        <vt:i4>0</vt:i4>
      </vt:variant>
      <vt:variant>
        <vt:i4>5</vt:i4>
      </vt:variant>
      <vt:variant>
        <vt:lpwstr/>
      </vt:variant>
      <vt:variant>
        <vt:lpwstr>_Toc194406859</vt:lpwstr>
      </vt:variant>
      <vt:variant>
        <vt:i4>1638461</vt:i4>
      </vt:variant>
      <vt:variant>
        <vt:i4>170</vt:i4>
      </vt:variant>
      <vt:variant>
        <vt:i4>0</vt:i4>
      </vt:variant>
      <vt:variant>
        <vt:i4>5</vt:i4>
      </vt:variant>
      <vt:variant>
        <vt:lpwstr/>
      </vt:variant>
      <vt:variant>
        <vt:lpwstr>_Toc194406858</vt:lpwstr>
      </vt:variant>
      <vt:variant>
        <vt:i4>1638461</vt:i4>
      </vt:variant>
      <vt:variant>
        <vt:i4>164</vt:i4>
      </vt:variant>
      <vt:variant>
        <vt:i4>0</vt:i4>
      </vt:variant>
      <vt:variant>
        <vt:i4>5</vt:i4>
      </vt:variant>
      <vt:variant>
        <vt:lpwstr/>
      </vt:variant>
      <vt:variant>
        <vt:lpwstr>_Toc194406857</vt:lpwstr>
      </vt:variant>
      <vt:variant>
        <vt:i4>1638461</vt:i4>
      </vt:variant>
      <vt:variant>
        <vt:i4>158</vt:i4>
      </vt:variant>
      <vt:variant>
        <vt:i4>0</vt:i4>
      </vt:variant>
      <vt:variant>
        <vt:i4>5</vt:i4>
      </vt:variant>
      <vt:variant>
        <vt:lpwstr/>
      </vt:variant>
      <vt:variant>
        <vt:lpwstr>_Toc194406856</vt:lpwstr>
      </vt:variant>
      <vt:variant>
        <vt:i4>1638461</vt:i4>
      </vt:variant>
      <vt:variant>
        <vt:i4>152</vt:i4>
      </vt:variant>
      <vt:variant>
        <vt:i4>0</vt:i4>
      </vt:variant>
      <vt:variant>
        <vt:i4>5</vt:i4>
      </vt:variant>
      <vt:variant>
        <vt:lpwstr/>
      </vt:variant>
      <vt:variant>
        <vt:lpwstr>_Toc194406855</vt:lpwstr>
      </vt:variant>
      <vt:variant>
        <vt:i4>1638461</vt:i4>
      </vt:variant>
      <vt:variant>
        <vt:i4>146</vt:i4>
      </vt:variant>
      <vt:variant>
        <vt:i4>0</vt:i4>
      </vt:variant>
      <vt:variant>
        <vt:i4>5</vt:i4>
      </vt:variant>
      <vt:variant>
        <vt:lpwstr/>
      </vt:variant>
      <vt:variant>
        <vt:lpwstr>_Toc194406854</vt:lpwstr>
      </vt:variant>
      <vt:variant>
        <vt:i4>1638461</vt:i4>
      </vt:variant>
      <vt:variant>
        <vt:i4>140</vt:i4>
      </vt:variant>
      <vt:variant>
        <vt:i4>0</vt:i4>
      </vt:variant>
      <vt:variant>
        <vt:i4>5</vt:i4>
      </vt:variant>
      <vt:variant>
        <vt:lpwstr/>
      </vt:variant>
      <vt:variant>
        <vt:lpwstr>_Toc194406853</vt:lpwstr>
      </vt:variant>
      <vt:variant>
        <vt:i4>1638461</vt:i4>
      </vt:variant>
      <vt:variant>
        <vt:i4>134</vt:i4>
      </vt:variant>
      <vt:variant>
        <vt:i4>0</vt:i4>
      </vt:variant>
      <vt:variant>
        <vt:i4>5</vt:i4>
      </vt:variant>
      <vt:variant>
        <vt:lpwstr/>
      </vt:variant>
      <vt:variant>
        <vt:lpwstr>_Toc194406852</vt:lpwstr>
      </vt:variant>
      <vt:variant>
        <vt:i4>1638461</vt:i4>
      </vt:variant>
      <vt:variant>
        <vt:i4>128</vt:i4>
      </vt:variant>
      <vt:variant>
        <vt:i4>0</vt:i4>
      </vt:variant>
      <vt:variant>
        <vt:i4>5</vt:i4>
      </vt:variant>
      <vt:variant>
        <vt:lpwstr/>
      </vt:variant>
      <vt:variant>
        <vt:lpwstr>_Toc194406851</vt:lpwstr>
      </vt:variant>
      <vt:variant>
        <vt:i4>1638461</vt:i4>
      </vt:variant>
      <vt:variant>
        <vt:i4>122</vt:i4>
      </vt:variant>
      <vt:variant>
        <vt:i4>0</vt:i4>
      </vt:variant>
      <vt:variant>
        <vt:i4>5</vt:i4>
      </vt:variant>
      <vt:variant>
        <vt:lpwstr/>
      </vt:variant>
      <vt:variant>
        <vt:lpwstr>_Toc194406850</vt:lpwstr>
      </vt:variant>
      <vt:variant>
        <vt:i4>1572925</vt:i4>
      </vt:variant>
      <vt:variant>
        <vt:i4>116</vt:i4>
      </vt:variant>
      <vt:variant>
        <vt:i4>0</vt:i4>
      </vt:variant>
      <vt:variant>
        <vt:i4>5</vt:i4>
      </vt:variant>
      <vt:variant>
        <vt:lpwstr/>
      </vt:variant>
      <vt:variant>
        <vt:lpwstr>_Toc194406849</vt:lpwstr>
      </vt:variant>
      <vt:variant>
        <vt:i4>1572925</vt:i4>
      </vt:variant>
      <vt:variant>
        <vt:i4>110</vt:i4>
      </vt:variant>
      <vt:variant>
        <vt:i4>0</vt:i4>
      </vt:variant>
      <vt:variant>
        <vt:i4>5</vt:i4>
      </vt:variant>
      <vt:variant>
        <vt:lpwstr/>
      </vt:variant>
      <vt:variant>
        <vt:lpwstr>_Toc194406848</vt:lpwstr>
      </vt:variant>
      <vt:variant>
        <vt:i4>1572925</vt:i4>
      </vt:variant>
      <vt:variant>
        <vt:i4>104</vt:i4>
      </vt:variant>
      <vt:variant>
        <vt:i4>0</vt:i4>
      </vt:variant>
      <vt:variant>
        <vt:i4>5</vt:i4>
      </vt:variant>
      <vt:variant>
        <vt:lpwstr/>
      </vt:variant>
      <vt:variant>
        <vt:lpwstr>_Toc194406847</vt:lpwstr>
      </vt:variant>
      <vt:variant>
        <vt:i4>1572925</vt:i4>
      </vt:variant>
      <vt:variant>
        <vt:i4>98</vt:i4>
      </vt:variant>
      <vt:variant>
        <vt:i4>0</vt:i4>
      </vt:variant>
      <vt:variant>
        <vt:i4>5</vt:i4>
      </vt:variant>
      <vt:variant>
        <vt:lpwstr/>
      </vt:variant>
      <vt:variant>
        <vt:lpwstr>_Toc194406846</vt:lpwstr>
      </vt:variant>
      <vt:variant>
        <vt:i4>1572925</vt:i4>
      </vt:variant>
      <vt:variant>
        <vt:i4>92</vt:i4>
      </vt:variant>
      <vt:variant>
        <vt:i4>0</vt:i4>
      </vt:variant>
      <vt:variant>
        <vt:i4>5</vt:i4>
      </vt:variant>
      <vt:variant>
        <vt:lpwstr/>
      </vt:variant>
      <vt:variant>
        <vt:lpwstr>_Toc194406845</vt:lpwstr>
      </vt:variant>
      <vt:variant>
        <vt:i4>1572925</vt:i4>
      </vt:variant>
      <vt:variant>
        <vt:i4>86</vt:i4>
      </vt:variant>
      <vt:variant>
        <vt:i4>0</vt:i4>
      </vt:variant>
      <vt:variant>
        <vt:i4>5</vt:i4>
      </vt:variant>
      <vt:variant>
        <vt:lpwstr/>
      </vt:variant>
      <vt:variant>
        <vt:lpwstr>_Toc194406844</vt:lpwstr>
      </vt:variant>
      <vt:variant>
        <vt:i4>1572925</vt:i4>
      </vt:variant>
      <vt:variant>
        <vt:i4>80</vt:i4>
      </vt:variant>
      <vt:variant>
        <vt:i4>0</vt:i4>
      </vt:variant>
      <vt:variant>
        <vt:i4>5</vt:i4>
      </vt:variant>
      <vt:variant>
        <vt:lpwstr/>
      </vt:variant>
      <vt:variant>
        <vt:lpwstr>_Toc194406843</vt:lpwstr>
      </vt:variant>
      <vt:variant>
        <vt:i4>1572925</vt:i4>
      </vt:variant>
      <vt:variant>
        <vt:i4>74</vt:i4>
      </vt:variant>
      <vt:variant>
        <vt:i4>0</vt:i4>
      </vt:variant>
      <vt:variant>
        <vt:i4>5</vt:i4>
      </vt:variant>
      <vt:variant>
        <vt:lpwstr/>
      </vt:variant>
      <vt:variant>
        <vt:lpwstr>_Toc194406842</vt:lpwstr>
      </vt:variant>
      <vt:variant>
        <vt:i4>1572925</vt:i4>
      </vt:variant>
      <vt:variant>
        <vt:i4>68</vt:i4>
      </vt:variant>
      <vt:variant>
        <vt:i4>0</vt:i4>
      </vt:variant>
      <vt:variant>
        <vt:i4>5</vt:i4>
      </vt:variant>
      <vt:variant>
        <vt:lpwstr/>
      </vt:variant>
      <vt:variant>
        <vt:lpwstr>_Toc194406841</vt:lpwstr>
      </vt:variant>
      <vt:variant>
        <vt:i4>1572925</vt:i4>
      </vt:variant>
      <vt:variant>
        <vt:i4>62</vt:i4>
      </vt:variant>
      <vt:variant>
        <vt:i4>0</vt:i4>
      </vt:variant>
      <vt:variant>
        <vt:i4>5</vt:i4>
      </vt:variant>
      <vt:variant>
        <vt:lpwstr/>
      </vt:variant>
      <vt:variant>
        <vt:lpwstr>_Toc194406840</vt:lpwstr>
      </vt:variant>
      <vt:variant>
        <vt:i4>2031677</vt:i4>
      </vt:variant>
      <vt:variant>
        <vt:i4>56</vt:i4>
      </vt:variant>
      <vt:variant>
        <vt:i4>0</vt:i4>
      </vt:variant>
      <vt:variant>
        <vt:i4>5</vt:i4>
      </vt:variant>
      <vt:variant>
        <vt:lpwstr/>
      </vt:variant>
      <vt:variant>
        <vt:lpwstr>_Toc194406839</vt:lpwstr>
      </vt:variant>
      <vt:variant>
        <vt:i4>2031677</vt:i4>
      </vt:variant>
      <vt:variant>
        <vt:i4>50</vt:i4>
      </vt:variant>
      <vt:variant>
        <vt:i4>0</vt:i4>
      </vt:variant>
      <vt:variant>
        <vt:i4>5</vt:i4>
      </vt:variant>
      <vt:variant>
        <vt:lpwstr/>
      </vt:variant>
      <vt:variant>
        <vt:lpwstr>_Toc194406838</vt:lpwstr>
      </vt:variant>
      <vt:variant>
        <vt:i4>2031677</vt:i4>
      </vt:variant>
      <vt:variant>
        <vt:i4>44</vt:i4>
      </vt:variant>
      <vt:variant>
        <vt:i4>0</vt:i4>
      </vt:variant>
      <vt:variant>
        <vt:i4>5</vt:i4>
      </vt:variant>
      <vt:variant>
        <vt:lpwstr/>
      </vt:variant>
      <vt:variant>
        <vt:lpwstr>_Toc194406837</vt:lpwstr>
      </vt:variant>
      <vt:variant>
        <vt:i4>2031677</vt:i4>
      </vt:variant>
      <vt:variant>
        <vt:i4>38</vt:i4>
      </vt:variant>
      <vt:variant>
        <vt:i4>0</vt:i4>
      </vt:variant>
      <vt:variant>
        <vt:i4>5</vt:i4>
      </vt:variant>
      <vt:variant>
        <vt:lpwstr/>
      </vt:variant>
      <vt:variant>
        <vt:lpwstr>_Toc194406836</vt:lpwstr>
      </vt:variant>
      <vt:variant>
        <vt:i4>2031677</vt:i4>
      </vt:variant>
      <vt:variant>
        <vt:i4>32</vt:i4>
      </vt:variant>
      <vt:variant>
        <vt:i4>0</vt:i4>
      </vt:variant>
      <vt:variant>
        <vt:i4>5</vt:i4>
      </vt:variant>
      <vt:variant>
        <vt:lpwstr/>
      </vt:variant>
      <vt:variant>
        <vt:lpwstr>_Toc194406835</vt:lpwstr>
      </vt:variant>
      <vt:variant>
        <vt:i4>2031677</vt:i4>
      </vt:variant>
      <vt:variant>
        <vt:i4>26</vt:i4>
      </vt:variant>
      <vt:variant>
        <vt:i4>0</vt:i4>
      </vt:variant>
      <vt:variant>
        <vt:i4>5</vt:i4>
      </vt:variant>
      <vt:variant>
        <vt:lpwstr/>
      </vt:variant>
      <vt:variant>
        <vt:lpwstr>_Toc194406834</vt:lpwstr>
      </vt:variant>
      <vt:variant>
        <vt:i4>2031677</vt:i4>
      </vt:variant>
      <vt:variant>
        <vt:i4>20</vt:i4>
      </vt:variant>
      <vt:variant>
        <vt:i4>0</vt:i4>
      </vt:variant>
      <vt:variant>
        <vt:i4>5</vt:i4>
      </vt:variant>
      <vt:variant>
        <vt:lpwstr/>
      </vt:variant>
      <vt:variant>
        <vt:lpwstr>_Toc194406833</vt:lpwstr>
      </vt:variant>
      <vt:variant>
        <vt:i4>2031677</vt:i4>
      </vt:variant>
      <vt:variant>
        <vt:i4>14</vt:i4>
      </vt:variant>
      <vt:variant>
        <vt:i4>0</vt:i4>
      </vt:variant>
      <vt:variant>
        <vt:i4>5</vt:i4>
      </vt:variant>
      <vt:variant>
        <vt:lpwstr/>
      </vt:variant>
      <vt:variant>
        <vt:lpwstr>_Toc194406832</vt:lpwstr>
      </vt:variant>
      <vt:variant>
        <vt:i4>2031677</vt:i4>
      </vt:variant>
      <vt:variant>
        <vt:i4>8</vt:i4>
      </vt:variant>
      <vt:variant>
        <vt:i4>0</vt:i4>
      </vt:variant>
      <vt:variant>
        <vt:i4>5</vt:i4>
      </vt:variant>
      <vt:variant>
        <vt:lpwstr/>
      </vt:variant>
      <vt:variant>
        <vt:lpwstr>_Toc194406831</vt:lpwstr>
      </vt:variant>
      <vt:variant>
        <vt:i4>2031677</vt:i4>
      </vt:variant>
      <vt:variant>
        <vt:i4>2</vt:i4>
      </vt:variant>
      <vt:variant>
        <vt:i4>0</vt:i4>
      </vt:variant>
      <vt:variant>
        <vt:i4>5</vt:i4>
      </vt:variant>
      <vt:variant>
        <vt:lpwstr/>
      </vt:variant>
      <vt:variant>
        <vt:lpwstr>_Toc194406830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Zucchelli Elisabetta</dc:creator>
  <cp:lastModifiedBy>Capobianco Antonio</cp:lastModifiedBy>
  <cp:revision>28</cp:revision>
  <cp:lastPrinted>2026-03-19T12:01:00Z</cp:lastPrinted>
  <dcterms:created xsi:type="dcterms:W3CDTF">2025-11-24T09:33:00Z</dcterms:created>
  <dcterms:modified xsi:type="dcterms:W3CDTF">2026-03-19T12:02:00Z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