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C6B3D" w14:textId="77777777" w:rsidR="00784421" w:rsidRDefault="00505197" w:rsidP="008A125F">
      <w:pPr>
        <w:tabs>
          <w:tab w:val="left" w:pos="426"/>
          <w:tab w:val="left" w:pos="567"/>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 xml:space="preserve">Allegato A - </w:t>
      </w:r>
      <w:r w:rsidR="00B3627C">
        <w:rPr>
          <w:rFonts w:asciiTheme="minorHAnsi" w:hAnsiTheme="minorHAnsi" w:cstheme="minorHAnsi"/>
          <w:b/>
          <w:bCs/>
          <w:sz w:val="22"/>
          <w:szCs w:val="22"/>
        </w:rPr>
        <w:t>Caratteristiche T</w:t>
      </w:r>
      <w:r w:rsidR="00784421">
        <w:rPr>
          <w:rFonts w:asciiTheme="minorHAnsi" w:hAnsiTheme="minorHAnsi" w:cstheme="minorHAnsi"/>
          <w:b/>
          <w:bCs/>
          <w:sz w:val="22"/>
          <w:szCs w:val="22"/>
        </w:rPr>
        <w:t>ecniche</w:t>
      </w:r>
    </w:p>
    <w:p w14:paraId="7FFAC252" w14:textId="77777777" w:rsidR="008A125F" w:rsidRDefault="008A125F" w:rsidP="008A125F">
      <w:pPr>
        <w:tabs>
          <w:tab w:val="left" w:pos="426"/>
          <w:tab w:val="left" w:pos="567"/>
        </w:tabs>
        <w:autoSpaceDE w:val="0"/>
        <w:autoSpaceDN w:val="0"/>
        <w:adjustRightInd w:val="0"/>
        <w:jc w:val="center"/>
        <w:rPr>
          <w:rFonts w:asciiTheme="minorHAnsi" w:hAnsiTheme="minorHAnsi" w:cstheme="minorHAnsi"/>
          <w:b/>
          <w:bCs/>
          <w:sz w:val="22"/>
          <w:szCs w:val="22"/>
        </w:rPr>
      </w:pPr>
    </w:p>
    <w:p w14:paraId="51FDC8B6" w14:textId="77777777" w:rsidR="00BB6E60" w:rsidRPr="006E407B" w:rsidRDefault="002408DE" w:rsidP="00296449">
      <w:pPr>
        <w:tabs>
          <w:tab w:val="left" w:pos="426"/>
          <w:tab w:val="left" w:pos="567"/>
        </w:tabs>
        <w:autoSpaceDE w:val="0"/>
        <w:autoSpaceDN w:val="0"/>
        <w:adjustRightInd w:val="0"/>
        <w:spacing w:line="360" w:lineRule="auto"/>
        <w:jc w:val="both"/>
        <w:rPr>
          <w:rFonts w:asciiTheme="minorHAnsi" w:hAnsiTheme="minorHAnsi" w:cstheme="minorHAnsi"/>
          <w:b/>
          <w:bCs/>
          <w:color w:val="FF0000"/>
          <w:sz w:val="20"/>
          <w:szCs w:val="20"/>
        </w:rPr>
      </w:pPr>
      <w:r w:rsidRPr="006E407B">
        <w:rPr>
          <w:rFonts w:asciiTheme="minorHAnsi" w:hAnsiTheme="minorHAnsi" w:cstheme="minorHAnsi"/>
          <w:b/>
          <w:bCs/>
          <w:sz w:val="22"/>
          <w:szCs w:val="22"/>
        </w:rPr>
        <w:t xml:space="preserve"> </w:t>
      </w:r>
      <w:r w:rsidR="003B1309" w:rsidRPr="006E407B">
        <w:rPr>
          <w:rFonts w:asciiTheme="minorHAnsi" w:hAnsiTheme="minorHAnsi" w:cstheme="minorHAnsi"/>
          <w:b/>
          <w:bCs/>
          <w:sz w:val="20"/>
          <w:szCs w:val="20"/>
        </w:rPr>
        <w:t xml:space="preserve">LOTTO </w:t>
      </w:r>
      <w:r w:rsidR="00451A9B">
        <w:rPr>
          <w:rFonts w:asciiTheme="minorHAnsi" w:hAnsiTheme="minorHAnsi" w:cstheme="minorHAnsi"/>
          <w:b/>
          <w:bCs/>
          <w:sz w:val="20"/>
          <w:szCs w:val="20"/>
        </w:rPr>
        <w:t>3</w:t>
      </w:r>
      <w:r w:rsidR="003B1309" w:rsidRPr="006E407B">
        <w:rPr>
          <w:rFonts w:asciiTheme="minorHAnsi" w:hAnsiTheme="minorHAnsi" w:cstheme="minorHAnsi"/>
          <w:b/>
          <w:bCs/>
          <w:sz w:val="20"/>
          <w:szCs w:val="20"/>
        </w:rPr>
        <w:t xml:space="preserve"> </w:t>
      </w:r>
      <w:proofErr w:type="gramStart"/>
      <w:r w:rsidR="003B1309" w:rsidRPr="006E407B">
        <w:rPr>
          <w:rFonts w:asciiTheme="minorHAnsi" w:hAnsiTheme="minorHAnsi" w:cstheme="minorHAnsi"/>
          <w:b/>
          <w:bCs/>
          <w:sz w:val="20"/>
          <w:szCs w:val="20"/>
        </w:rPr>
        <w:t xml:space="preserve">– </w:t>
      </w:r>
      <w:r w:rsidR="00296449" w:rsidRPr="006E407B">
        <w:rPr>
          <w:rFonts w:asciiTheme="minorHAnsi" w:hAnsiTheme="minorHAnsi" w:cstheme="minorHAnsi"/>
          <w:b/>
          <w:bCs/>
          <w:sz w:val="20"/>
          <w:szCs w:val="20"/>
        </w:rPr>
        <w:t xml:space="preserve"> </w:t>
      </w:r>
      <w:r w:rsidR="00451A9B">
        <w:rPr>
          <w:rFonts w:asciiTheme="minorHAnsi" w:hAnsiTheme="minorHAnsi" w:cstheme="minorHAnsi"/>
          <w:b/>
          <w:bCs/>
          <w:sz w:val="20"/>
          <w:szCs w:val="20"/>
        </w:rPr>
        <w:t>STANDING</w:t>
      </w:r>
      <w:proofErr w:type="gramEnd"/>
    </w:p>
    <w:p w14:paraId="1009D0F3" w14:textId="77777777" w:rsidR="003B1309" w:rsidRPr="00CA30A8" w:rsidRDefault="003B1309" w:rsidP="003B1309">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CA30A8">
        <w:rPr>
          <w:rFonts w:asciiTheme="minorHAnsi" w:hAnsiTheme="minorHAnsi" w:cstheme="minorHAnsi"/>
          <w:b/>
          <w:bCs/>
          <w:i/>
          <w:sz w:val="20"/>
          <w:szCs w:val="20"/>
        </w:rPr>
        <w:t>DESCRIZIONE DELLA FORNITURA E DESTINAZIONE D’USO</w:t>
      </w:r>
    </w:p>
    <w:p w14:paraId="63A1C428" w14:textId="77777777" w:rsidR="003B1309" w:rsidRDefault="00451A9B" w:rsidP="003B1309">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Pr>
          <w:rFonts w:asciiTheme="minorHAnsi" w:hAnsiTheme="minorHAnsi" w:cstheme="minorHAnsi"/>
          <w:bCs/>
          <w:sz w:val="20"/>
          <w:szCs w:val="20"/>
        </w:rPr>
        <w:t xml:space="preserve">Stabilizzatori </w:t>
      </w:r>
      <w:r w:rsidRPr="00451A9B">
        <w:rPr>
          <w:rFonts w:asciiTheme="minorHAnsi" w:hAnsiTheme="minorHAnsi" w:cstheme="minorHAnsi"/>
          <w:bCs/>
          <w:sz w:val="20"/>
          <w:szCs w:val="20"/>
        </w:rPr>
        <w:t>per adulti che consentano ai pazienti di acquisire la posizione eretta in modo stabile e sicuro e di mantenerla,</w:t>
      </w:r>
      <w:r>
        <w:rPr>
          <w:rFonts w:asciiTheme="minorHAnsi" w:hAnsiTheme="minorHAnsi" w:cstheme="minorHAnsi"/>
          <w:bCs/>
          <w:sz w:val="20"/>
          <w:szCs w:val="20"/>
        </w:rPr>
        <w:t xml:space="preserve"> per gli </w:t>
      </w:r>
      <w:r w:rsidR="003B1309">
        <w:rPr>
          <w:rFonts w:asciiTheme="minorHAnsi" w:hAnsiTheme="minorHAnsi" w:cstheme="minorHAnsi"/>
          <w:bCs/>
          <w:sz w:val="20"/>
          <w:szCs w:val="20"/>
        </w:rPr>
        <w:t xml:space="preserve">ambulatori </w:t>
      </w:r>
      <w:r w:rsidR="00296449">
        <w:rPr>
          <w:rFonts w:asciiTheme="minorHAnsi" w:hAnsiTheme="minorHAnsi" w:cstheme="minorHAnsi"/>
          <w:bCs/>
          <w:sz w:val="20"/>
          <w:szCs w:val="20"/>
        </w:rPr>
        <w:t xml:space="preserve">di </w:t>
      </w:r>
      <w:r w:rsidR="001C0143">
        <w:rPr>
          <w:rFonts w:asciiTheme="minorHAnsi" w:hAnsiTheme="minorHAnsi" w:cstheme="minorHAnsi"/>
          <w:bCs/>
          <w:sz w:val="20"/>
          <w:szCs w:val="20"/>
        </w:rPr>
        <w:t>riabilitazione</w:t>
      </w:r>
      <w:r w:rsidR="00296449">
        <w:rPr>
          <w:rFonts w:asciiTheme="minorHAnsi" w:hAnsiTheme="minorHAnsi" w:cstheme="minorHAnsi"/>
          <w:bCs/>
          <w:sz w:val="20"/>
          <w:szCs w:val="20"/>
        </w:rPr>
        <w:t xml:space="preserve"> dei vari presidi</w:t>
      </w:r>
      <w:r w:rsidR="003B1309">
        <w:rPr>
          <w:rFonts w:asciiTheme="minorHAnsi" w:hAnsiTheme="minorHAnsi" w:cstheme="minorHAnsi"/>
          <w:bCs/>
          <w:sz w:val="20"/>
          <w:szCs w:val="20"/>
        </w:rPr>
        <w:t xml:space="preserve"> dell’Azienda </w:t>
      </w:r>
      <w:r w:rsidR="002408DE">
        <w:rPr>
          <w:rFonts w:asciiTheme="minorHAnsi" w:hAnsiTheme="minorHAnsi" w:cstheme="minorHAnsi"/>
          <w:bCs/>
          <w:sz w:val="20"/>
          <w:szCs w:val="20"/>
        </w:rPr>
        <w:t>USL di Bologna</w:t>
      </w:r>
      <w:r w:rsidR="009315A5">
        <w:rPr>
          <w:rFonts w:asciiTheme="minorHAnsi" w:hAnsiTheme="minorHAnsi" w:cstheme="minorHAnsi"/>
          <w:bCs/>
          <w:sz w:val="20"/>
          <w:szCs w:val="20"/>
        </w:rPr>
        <w:t>.</w:t>
      </w:r>
    </w:p>
    <w:p w14:paraId="4FEF101E" w14:textId="77777777" w:rsidR="009315A5" w:rsidRPr="000F4421" w:rsidRDefault="009315A5" w:rsidP="003B1309">
      <w:pPr>
        <w:tabs>
          <w:tab w:val="left" w:pos="426"/>
          <w:tab w:val="left" w:pos="567"/>
        </w:tabs>
        <w:autoSpaceDE w:val="0"/>
        <w:autoSpaceDN w:val="0"/>
        <w:adjustRightInd w:val="0"/>
        <w:spacing w:line="360" w:lineRule="auto"/>
        <w:jc w:val="both"/>
        <w:rPr>
          <w:rFonts w:asciiTheme="minorHAnsi" w:hAnsiTheme="minorHAnsi" w:cstheme="minorHAnsi"/>
          <w:bCs/>
          <w:color w:val="FF0000"/>
          <w:sz w:val="20"/>
          <w:szCs w:val="20"/>
        </w:rPr>
      </w:pPr>
    </w:p>
    <w:p w14:paraId="214A23B8" w14:textId="77777777" w:rsidR="00E80A15" w:rsidRPr="007F1ED9" w:rsidRDefault="00E80A15" w:rsidP="006E017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7F1ED9">
        <w:rPr>
          <w:rFonts w:asciiTheme="minorHAnsi" w:hAnsiTheme="minorHAnsi" w:cstheme="minorHAnsi"/>
          <w:b/>
          <w:bCs/>
          <w:i/>
          <w:sz w:val="20"/>
          <w:szCs w:val="20"/>
        </w:rPr>
        <w:t xml:space="preserve">CARATTERISTICHE TECNICHE DI MINIMA </w:t>
      </w:r>
    </w:p>
    <w:p w14:paraId="344914FF" w14:textId="77777777" w:rsidR="00451A9B" w:rsidRPr="00451A9B" w:rsidRDefault="00451A9B" w:rsidP="00451A9B">
      <w:pPr>
        <w:numPr>
          <w:ilvl w:val="0"/>
          <w:numId w:val="23"/>
        </w:numPr>
        <w:spacing w:after="160" w:line="259" w:lineRule="auto"/>
        <w:ind w:left="426"/>
        <w:contextualSpacing/>
        <w:jc w:val="both"/>
        <w:rPr>
          <w:rFonts w:asciiTheme="minorHAnsi" w:eastAsiaTheme="minorHAnsi" w:hAnsiTheme="minorHAnsi" w:cstheme="minorBidi"/>
          <w:sz w:val="22"/>
          <w:szCs w:val="22"/>
        </w:rPr>
      </w:pPr>
      <w:bookmarkStart w:id="0" w:name="OLE_LINK1"/>
      <w:r w:rsidRPr="00451A9B">
        <w:rPr>
          <w:rFonts w:asciiTheme="minorHAnsi" w:eastAsiaTheme="minorHAnsi" w:hAnsiTheme="minorHAnsi" w:cstheme="minorBidi"/>
          <w:sz w:val="22"/>
          <w:szCs w:val="22"/>
        </w:rPr>
        <w:t>quattro ruote per lo spostamento, di cui almeno due dotate di freno di stazionamento;</w:t>
      </w:r>
    </w:p>
    <w:p w14:paraId="72B75B97" w14:textId="77777777" w:rsidR="00451A9B" w:rsidRPr="00451A9B" w:rsidRDefault="00451A9B" w:rsidP="00451A9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451A9B">
        <w:rPr>
          <w:rFonts w:asciiTheme="minorHAnsi" w:eastAsiaTheme="minorHAnsi" w:hAnsiTheme="minorHAnsi" w:cstheme="minorBidi"/>
          <w:sz w:val="22"/>
          <w:szCs w:val="22"/>
        </w:rPr>
        <w:t>pulsantiera di comando per le movimentazioni elettriche della salita e della discesa;</w:t>
      </w:r>
    </w:p>
    <w:p w14:paraId="7F41B1B4" w14:textId="77777777" w:rsidR="00451A9B" w:rsidRPr="00451A9B" w:rsidRDefault="00451A9B" w:rsidP="00451A9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451A9B">
        <w:rPr>
          <w:rFonts w:asciiTheme="minorHAnsi" w:eastAsiaTheme="minorHAnsi" w:hAnsiTheme="minorHAnsi" w:cstheme="minorBidi"/>
          <w:sz w:val="22"/>
          <w:szCs w:val="22"/>
        </w:rPr>
        <w:t>pedana conformata in modo tale da garantire un agevole accesso alla sedia a rotelle;</w:t>
      </w:r>
    </w:p>
    <w:p w14:paraId="164B3E5B" w14:textId="77777777" w:rsidR="00451A9B" w:rsidRPr="00451A9B" w:rsidRDefault="00451A9B" w:rsidP="00451A9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451A9B">
        <w:rPr>
          <w:rFonts w:asciiTheme="minorHAnsi" w:eastAsiaTheme="minorHAnsi" w:hAnsiTheme="minorHAnsi" w:cstheme="minorBidi"/>
          <w:sz w:val="22"/>
          <w:szCs w:val="22"/>
        </w:rPr>
        <w:t xml:space="preserve">ferma-talloni regolabili sia </w:t>
      </w:r>
      <w:proofErr w:type="spellStart"/>
      <w:r w:rsidRPr="00451A9B">
        <w:rPr>
          <w:rFonts w:asciiTheme="minorHAnsi" w:eastAsiaTheme="minorHAnsi" w:hAnsiTheme="minorHAnsi" w:cstheme="minorBidi"/>
          <w:sz w:val="22"/>
          <w:szCs w:val="22"/>
        </w:rPr>
        <w:t>antero</w:t>
      </w:r>
      <w:proofErr w:type="spellEnd"/>
      <w:r w:rsidRPr="00451A9B">
        <w:rPr>
          <w:rFonts w:asciiTheme="minorHAnsi" w:eastAsiaTheme="minorHAnsi" w:hAnsiTheme="minorHAnsi" w:cstheme="minorBidi"/>
          <w:sz w:val="22"/>
          <w:szCs w:val="22"/>
        </w:rPr>
        <w:t>-posteriormente sia lateralmente;</w:t>
      </w:r>
    </w:p>
    <w:p w14:paraId="5FA3D531" w14:textId="77777777" w:rsidR="00451A9B" w:rsidRPr="00451A9B" w:rsidRDefault="00451A9B" w:rsidP="00451A9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451A9B">
        <w:rPr>
          <w:rFonts w:asciiTheme="minorHAnsi" w:eastAsiaTheme="minorHAnsi" w:hAnsiTheme="minorHAnsi" w:cstheme="minorBidi"/>
          <w:sz w:val="22"/>
          <w:szCs w:val="22"/>
        </w:rPr>
        <w:t>fascia di sollevamento ergonomica ed antiscivolo con ganci per la trazione in salita del paziente;</w:t>
      </w:r>
    </w:p>
    <w:p w14:paraId="2B36921E" w14:textId="77777777" w:rsidR="00451A9B" w:rsidRPr="00451A9B" w:rsidRDefault="00451A9B" w:rsidP="00451A9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451A9B">
        <w:rPr>
          <w:rFonts w:asciiTheme="minorHAnsi" w:eastAsiaTheme="minorHAnsi" w:hAnsiTheme="minorHAnsi" w:cstheme="minorBidi"/>
          <w:sz w:val="22"/>
          <w:szCs w:val="22"/>
        </w:rPr>
        <w:t xml:space="preserve">tavolo regolabile in altezza, scorrevole sia anteriormente sia posteriormente ed inclinabile; </w:t>
      </w:r>
    </w:p>
    <w:p w14:paraId="67905027" w14:textId="77777777" w:rsidR="00451A9B" w:rsidRPr="00451A9B" w:rsidRDefault="00451A9B" w:rsidP="00451A9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451A9B">
        <w:rPr>
          <w:rFonts w:asciiTheme="minorHAnsi" w:eastAsiaTheme="minorHAnsi" w:hAnsiTheme="minorHAnsi" w:cstheme="minorBidi"/>
          <w:sz w:val="22"/>
          <w:szCs w:val="22"/>
        </w:rPr>
        <w:t>sostegni per le ginocchia imbottiti regolabili in altezza, profondità e abduzione.</w:t>
      </w:r>
    </w:p>
    <w:p w14:paraId="265FDE68" w14:textId="77777777" w:rsidR="00402B9F" w:rsidRPr="00DD1C9E" w:rsidRDefault="00402B9F"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DD1C9E">
        <w:rPr>
          <w:rFonts w:asciiTheme="minorHAnsi" w:eastAsiaTheme="minorHAnsi" w:hAnsiTheme="minorHAnsi" w:cstheme="minorBidi"/>
          <w:sz w:val="22"/>
          <w:szCs w:val="22"/>
        </w:rPr>
        <w:t>Classificata come Dispositivo Medico ai sensi delle vigenti normative in materia di DM</w:t>
      </w:r>
      <w:r w:rsidR="00296449">
        <w:rPr>
          <w:rFonts w:asciiTheme="minorHAnsi" w:eastAsiaTheme="minorHAnsi" w:hAnsiTheme="minorHAnsi" w:cstheme="minorBidi"/>
          <w:sz w:val="22"/>
          <w:szCs w:val="22"/>
        </w:rPr>
        <w:t>;</w:t>
      </w:r>
    </w:p>
    <w:p w14:paraId="46E40762" w14:textId="77777777" w:rsidR="00B73E77" w:rsidRPr="00B73E77" w:rsidRDefault="00402B9F" w:rsidP="00B73E77">
      <w:pPr>
        <w:numPr>
          <w:ilvl w:val="0"/>
          <w:numId w:val="23"/>
        </w:numPr>
        <w:autoSpaceDE w:val="0"/>
        <w:autoSpaceDN w:val="0"/>
        <w:adjustRightInd w:val="0"/>
        <w:spacing w:after="160" w:line="360" w:lineRule="auto"/>
        <w:ind w:left="426"/>
        <w:contextualSpacing/>
        <w:jc w:val="both"/>
        <w:rPr>
          <w:rFonts w:asciiTheme="minorHAnsi" w:hAnsiTheme="minorHAnsi" w:cstheme="minorHAnsi"/>
          <w:bCs/>
          <w:sz w:val="20"/>
          <w:szCs w:val="20"/>
        </w:rPr>
      </w:pPr>
      <w:r w:rsidRPr="00DD1C9E">
        <w:rPr>
          <w:rFonts w:asciiTheme="minorHAnsi" w:eastAsiaTheme="minorHAnsi" w:hAnsiTheme="minorHAnsi" w:cstheme="minorBidi"/>
          <w:sz w:val="22"/>
          <w:szCs w:val="22"/>
        </w:rPr>
        <w:t>Garanzia 24 mesi dalla data del collaudo con esito positivo</w:t>
      </w:r>
      <w:bookmarkEnd w:id="0"/>
      <w:r w:rsidR="00296449">
        <w:rPr>
          <w:rFonts w:asciiTheme="minorHAnsi" w:eastAsiaTheme="minorHAnsi" w:hAnsiTheme="minorHAnsi" w:cstheme="minorBidi"/>
          <w:sz w:val="22"/>
          <w:szCs w:val="22"/>
        </w:rPr>
        <w:t>.</w:t>
      </w:r>
    </w:p>
    <w:p w14:paraId="34FC1F02" w14:textId="77777777" w:rsidR="00B73E77" w:rsidRDefault="00B73E77" w:rsidP="00B73E77">
      <w:pPr>
        <w:autoSpaceDE w:val="0"/>
        <w:autoSpaceDN w:val="0"/>
        <w:adjustRightInd w:val="0"/>
        <w:spacing w:after="160" w:line="360" w:lineRule="auto"/>
        <w:ind w:left="426"/>
        <w:contextualSpacing/>
        <w:jc w:val="both"/>
        <w:rPr>
          <w:rFonts w:asciiTheme="minorHAnsi" w:eastAsiaTheme="minorHAnsi" w:hAnsiTheme="minorHAnsi" w:cstheme="minorBidi"/>
          <w:sz w:val="22"/>
          <w:szCs w:val="22"/>
        </w:rPr>
      </w:pPr>
    </w:p>
    <w:p w14:paraId="473E527D" w14:textId="77777777" w:rsidR="00B73E77" w:rsidRDefault="00B73E77"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r w:rsidRPr="00B73E77">
        <w:rPr>
          <w:rFonts w:asciiTheme="minorHAnsi" w:hAnsiTheme="minorHAnsi" w:cstheme="minorHAnsi"/>
          <w:b/>
          <w:bCs/>
          <w:sz w:val="20"/>
          <w:szCs w:val="20"/>
        </w:rPr>
        <w:t>Dovranno essere depositati listini e cataloghi di tutti i prodotti</w:t>
      </w:r>
      <w:r w:rsidR="0074457B">
        <w:rPr>
          <w:rFonts w:asciiTheme="minorHAnsi" w:hAnsiTheme="minorHAnsi" w:cstheme="minorHAnsi"/>
          <w:b/>
          <w:bCs/>
          <w:sz w:val="20"/>
          <w:szCs w:val="20"/>
        </w:rPr>
        <w:t xml:space="preserve"> e accessori</w:t>
      </w:r>
      <w:r w:rsidRPr="00B73E77">
        <w:rPr>
          <w:rFonts w:asciiTheme="minorHAnsi" w:hAnsiTheme="minorHAnsi" w:cstheme="minorHAnsi"/>
          <w:b/>
          <w:bCs/>
          <w:sz w:val="20"/>
          <w:szCs w:val="20"/>
        </w:rPr>
        <w:t xml:space="preserve"> disponibili ulteriori rispetto al minimo richiesto, in quanto resta salva la facoltà delle Aziende Sanitarie di acquistare dalla Ditta Aggiudicataria prodotti non richiesti in sede di offerta ma riferibili alla categoria merceologica/tipologia aggiudicata, usufruendo del listino depositato e applicando la percentuale di sconto offerto in sede di gara.</w:t>
      </w:r>
    </w:p>
    <w:p w14:paraId="3CEF592E" w14:textId="77777777" w:rsidR="008E78EE" w:rsidRDefault="008E78EE"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p>
    <w:p w14:paraId="453D1666"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MATERIALE DI CONSUMO</w:t>
      </w:r>
    </w:p>
    <w:p w14:paraId="539114FB" w14:textId="77777777" w:rsidR="008E78EE" w:rsidRDefault="008E78EE" w:rsidP="008E78EE">
      <w:pPr>
        <w:pStyle w:val="Corpodeltesto21"/>
        <w:rPr>
          <w:rFonts w:ascii="Calibri" w:hAnsi="Calibri" w:cs="Calibri"/>
          <w:sz w:val="22"/>
          <w:szCs w:val="22"/>
        </w:rPr>
      </w:pPr>
      <w:r w:rsidRPr="00EB2FF1">
        <w:rPr>
          <w:rFonts w:asciiTheme="minorHAnsi" w:hAnsiTheme="minorHAnsi" w:cstheme="minorHAnsi"/>
          <w:bCs/>
          <w:sz w:val="20"/>
          <w:lang w:eastAsia="it-IT"/>
        </w:rPr>
        <w:t>La ditta dovrà indicare chiaramente se e quale materiale di consumo sia necessario e se questo sia dedicato. L’offerta economica dovrà essere comprensiva della quotazione di tutto il materiale di consumo dedicato/esclusivo e non dedicato</w:t>
      </w:r>
      <w:r w:rsidRPr="00392583">
        <w:rPr>
          <w:rFonts w:ascii="Calibri" w:hAnsi="Calibri" w:cs="Calibri"/>
          <w:sz w:val="22"/>
          <w:szCs w:val="22"/>
        </w:rPr>
        <w:t>.</w:t>
      </w:r>
    </w:p>
    <w:p w14:paraId="7FDEB76C" w14:textId="77777777" w:rsid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1E2FAD10" w14:textId="77777777" w:rsidR="0043640B" w:rsidRP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43640B">
        <w:rPr>
          <w:rFonts w:asciiTheme="minorHAnsi" w:hAnsiTheme="minorHAnsi" w:cstheme="minorHAnsi"/>
          <w:b/>
          <w:bCs/>
          <w:i/>
          <w:sz w:val="20"/>
          <w:szCs w:val="20"/>
        </w:rPr>
        <w:t xml:space="preserve">GARANZIA </w:t>
      </w:r>
    </w:p>
    <w:p w14:paraId="260EF7FC" w14:textId="77777777" w:rsidR="0043640B" w:rsidRPr="0043640B" w:rsidRDefault="0043640B" w:rsidP="0043640B">
      <w:pPr>
        <w:pStyle w:val="Corpodeltesto21"/>
        <w:rPr>
          <w:rFonts w:asciiTheme="minorHAnsi" w:hAnsiTheme="minorHAnsi" w:cstheme="minorHAnsi"/>
          <w:bCs/>
          <w:sz w:val="20"/>
          <w:lang w:eastAsia="it-IT"/>
        </w:rPr>
      </w:pPr>
      <w:r w:rsidRPr="0043640B">
        <w:rPr>
          <w:rFonts w:asciiTheme="minorHAnsi" w:hAnsiTheme="minorHAnsi" w:cstheme="minorHAnsi"/>
          <w:bCs/>
          <w:sz w:val="20"/>
          <w:lang w:eastAsia="it-IT"/>
        </w:rPr>
        <w:t>La garanzia deve essere di almeno 24 mesi omnicomprensiva con la sola esclusione del dolo, deve comprendere anche le manutenzioni preventive programmate previste dal fabbricante e i controlli previsti dalle vigenti normative</w:t>
      </w:r>
      <w:r>
        <w:rPr>
          <w:rFonts w:asciiTheme="minorHAnsi" w:hAnsiTheme="minorHAnsi" w:cstheme="minorHAnsi"/>
          <w:bCs/>
          <w:sz w:val="20"/>
          <w:lang w:eastAsia="it-IT"/>
        </w:rPr>
        <w:t>.</w:t>
      </w:r>
    </w:p>
    <w:p w14:paraId="274C48BA" w14:textId="77777777" w:rsid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348EDAAB" w14:textId="77777777" w:rsidR="0043640B" w:rsidRP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43640B">
        <w:rPr>
          <w:rFonts w:asciiTheme="minorHAnsi" w:hAnsiTheme="minorHAnsi" w:cstheme="minorHAnsi"/>
          <w:b/>
          <w:bCs/>
          <w:i/>
          <w:sz w:val="20"/>
          <w:szCs w:val="20"/>
        </w:rPr>
        <w:t>REQUISITI NORMATIVI</w:t>
      </w:r>
    </w:p>
    <w:p w14:paraId="67679674" w14:textId="77777777" w:rsidR="0043640B" w:rsidRPr="0043640B" w:rsidRDefault="0043640B" w:rsidP="0043640B">
      <w:pPr>
        <w:pStyle w:val="Corpodeltesto21"/>
        <w:rPr>
          <w:rFonts w:asciiTheme="minorHAnsi" w:hAnsiTheme="minorHAnsi" w:cstheme="minorHAnsi"/>
          <w:bCs/>
          <w:sz w:val="20"/>
          <w:lang w:eastAsia="it-IT"/>
        </w:rPr>
      </w:pPr>
      <w:r w:rsidRPr="0043640B">
        <w:rPr>
          <w:rFonts w:asciiTheme="minorHAnsi" w:hAnsiTheme="minorHAnsi" w:cstheme="minorHAnsi"/>
          <w:bCs/>
          <w:sz w:val="20"/>
          <w:lang w:eastAsia="it-IT"/>
        </w:rPr>
        <w:t>Dovranno inoltre essere forniti:</w:t>
      </w:r>
    </w:p>
    <w:p w14:paraId="0C03D329"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copia della dichiarazione di conformità alle Direttive/Regolamenti applicabili</w:t>
      </w:r>
    </w:p>
    <w:p w14:paraId="09C87868"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copia della dichiarazione e certificazione di conformità alla norma EN 60601-1 e relative particolari, ove applicabile</w:t>
      </w:r>
    </w:p>
    <w:p w14:paraId="6ABFDD35"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 xml:space="preserve">dichiarazione che tutti i materiali forniti sono privi di lattice </w:t>
      </w:r>
    </w:p>
    <w:p w14:paraId="5D9639A1" w14:textId="77777777" w:rsidR="0043640B" w:rsidRPr="0043640B" w:rsidRDefault="0043640B" w:rsidP="008E78EE">
      <w:pPr>
        <w:pStyle w:val="Corpodeltesto21"/>
        <w:rPr>
          <w:rFonts w:asciiTheme="minorHAnsi" w:hAnsiTheme="minorHAnsi" w:cstheme="minorHAnsi"/>
          <w:bCs/>
          <w:sz w:val="20"/>
          <w:lang w:eastAsia="it-IT"/>
        </w:rPr>
      </w:pPr>
    </w:p>
    <w:p w14:paraId="672DCD99" w14:textId="77777777" w:rsidR="008E78EE" w:rsidRDefault="008E78EE" w:rsidP="008E78EE">
      <w:pPr>
        <w:pStyle w:val="Corpodeltesto21"/>
        <w:rPr>
          <w:rFonts w:ascii="Calibri" w:hAnsi="Calibri" w:cs="Calibri"/>
          <w:sz w:val="22"/>
          <w:szCs w:val="22"/>
        </w:rPr>
      </w:pPr>
    </w:p>
    <w:p w14:paraId="633546F0"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lastRenderedPageBreak/>
        <w:t>CONSEGNA, INSTALLAZIONE E COLLAUDO</w:t>
      </w:r>
    </w:p>
    <w:p w14:paraId="0DEF55A9"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consegna e l’installazione delle apparecchiature dovrà essere effettuata a cura e spese (trasporto, imballo, spese doganali) della Ditta Aggiudicataria entro 30 giorni solari dalla data dell’ordine, a meno di diversa indicazione da parte dei referenti Aziendali. Gli oneri di introduzione di posizionamento e di installazione delle apparecchiature nei locali saranno a carico della Ditta Aggiudicataria.</w:t>
      </w:r>
    </w:p>
    <w:p w14:paraId="31B5DA29"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Ditta Aggiudicataria dovrà, inoltre, fornire a proprie spese tutto il materiale di consumo necessario all’installazione e messa in funzione dei sistemi e dovrà inoltre provvedere al ritiro e smaltimento di tutti gli imballi e/o contenitori resisi necessari per la consegna e l’installazione dei dispositivi.</w:t>
      </w:r>
    </w:p>
    <w:p w14:paraId="287F1F5A"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L’installazione dovrà essere effettuata da personale tecnico specializzato nel pieno rispetto delle norme tecniche applicabili e della vigente normativa in materia di igiene e sicurezza sul lavoro. Sarà obbligo della Ditta Aggiudicataria adottare tutte le cautele necessarie a garantire l’incolumità degli addetti ai lavori, nonché di terzi ed evitare danni a beni pubblici e privati. Sono a carico della Ditta Aggiudicataria le verifiche di sicurezza (secondo la norma CEI-EN 62353 ed altre norme tecniche eventualmente applicabili).</w:t>
      </w:r>
    </w:p>
    <w:p w14:paraId="2FE28BF9"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Il Verbale di installazione, controfirmato dal referente clinico consegnatario dei beni e tutta la documentazione relativa dovrà essere consegnato all’Ingegneria Clinica per le verifiche di competenza e dovrà essere accompagnato da:</w:t>
      </w:r>
    </w:p>
    <w:p w14:paraId="2120A5DA"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una copia del manuale d'uso in lingua italiana per ogni tipologia di apparecchiatura installata</w:t>
      </w:r>
    </w:p>
    <w:p w14:paraId="7C87603A"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una copia verifiche di sicurezza e controlli di qualità prestazionali e funzionali</w:t>
      </w:r>
    </w:p>
    <w:p w14:paraId="70838E93"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programma e calendario di formazione definito e firmato congiuntamente da un rappresentante della Ditta Aggiudicataria e dal referente clinico consegnatario dei beni</w:t>
      </w:r>
    </w:p>
    <w:p w14:paraId="020180D6"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 Ingegneria Clinica si riserva la facoltà di effettuare in sede di collaudo ogni verifica ritenuta opportuna per valutare tutti gli aspetti necessari ad attestare la rispondenza della fornitura a quanto richiesto nel Capitolato ed alle eventuali condizioni migliorative offerte dalla Ditta Aggiudicataria, nonché tutti gli aspetti relativi alla sicurezza.</w:t>
      </w:r>
    </w:p>
    <w:p w14:paraId="0EB846B8"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Le apparecchiature installate secondo le modalità sopra indicate potranno essere inserite in uso clinico, qualora non vengano evidenziate condizioni di rischio. L’utilizzo è comunque subordinato ad una adeguata formazione, che verrà gestita direttamente dalla UO utilizzatrice insieme al referente indicato dalla Ditta Aggiudicataria.</w:t>
      </w:r>
    </w:p>
    <w:p w14:paraId="4E7DC46E"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Le verifiche potranno essere effettuate in collaborazione con il Servizio Prevenzione e Protezione Aziendale e/o con altre figure/servizi aziendali competenti, in presenza della Ditta Aggiudicataria qualora l’Ingegneria Clinica lo ritenesse opportuno, con ogni mezzo e con le più ampie facoltà.</w:t>
      </w:r>
    </w:p>
    <w:p w14:paraId="49E59AA9"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L’Ingegneria Clinica, in assenza di irregolarità e previa verifica della presenza delle evidenze prodotte dai clinici interessati circa l’idoneità funzionale e del completamento dell’addestramento, dichiarerà concluso positivamente il collaudo.</w:t>
      </w:r>
    </w:p>
    <w:p w14:paraId="086B120D"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invece, si riscontrassero carenze documentali o di qualsiasi altra natura, l’Ingegneria Clinica si impegna a comunicarle per iscritto alla Ditta Aggiudicataria, sospendendo il collaudo fino al completamento di quanto richiesto, che dovrà avvenire entro non oltre 15 giorni solari dalla trasmissione della richiesta salvo differenti tempistiche indicate.</w:t>
      </w:r>
    </w:p>
    <w:p w14:paraId="0EA0293C"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la Ditta Aggiudicataria non ottemperasse ancora entro il termine sopraindicato a completare quanto richiesto, l’Ingegneria Clinica si riserva la facoltà di dichiarare il collaudo:</w:t>
      </w:r>
    </w:p>
    <w:p w14:paraId="315A923A" w14:textId="77777777" w:rsidR="008E78EE" w:rsidRDefault="008E78EE" w:rsidP="008E78EE">
      <w:pPr>
        <w:pStyle w:val="Paragrafoelenco"/>
        <w:numPr>
          <w:ilvl w:val="0"/>
          <w:numId w:val="31"/>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 xml:space="preserve">Positivo con riserva: e resterà tale fino a quando la Ditta Aggiudicataria non provvederà al completamento di quanto richiesto. </w:t>
      </w:r>
    </w:p>
    <w:p w14:paraId="7AA89415" w14:textId="77777777" w:rsidR="008E78EE" w:rsidRDefault="008E78EE" w:rsidP="008E78EE">
      <w:pPr>
        <w:pStyle w:val="Paragrafoelenco"/>
        <w:numPr>
          <w:ilvl w:val="0"/>
          <w:numId w:val="31"/>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Negativo.</w:t>
      </w:r>
    </w:p>
    <w:p w14:paraId="3045E1BE"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In caso di esito negativo del collaudo, la Stazione Appaltante si riserva di annullare l’aggiudicazione della fornitura alla Ditta Aggiudicataria e di procedere con l’aggiudicazione alla Ditta Partecipante seconda in graduatoria o di bandire una nuova gara.</w:t>
      </w:r>
    </w:p>
    <w:p w14:paraId="03F1F019"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lastRenderedPageBreak/>
        <w:t>Sulla base delle risultanze delle verifiche effettuate dall’Ingegneria Clinica, la Stazione Appaltante provvederà a trasmettere alla Ditta Aggiudicataria l’esito del collaudo di accettazione (Positivo, Negativo o Positivo con riserva). Quanto comunicato si riterrà accolto dalla Ditta Aggiudicataria stessa qualora non pervengano richieste scritte di chiarimenti entro 15 giorni solari dalla data di trasmissione del collaudo.</w:t>
      </w:r>
    </w:p>
    <w:p w14:paraId="739499CA"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Saranno altresì a carico della Ditta tutte le spese prevedibili, imprevedibili ed oneri della responsabilità civile verso terzi, inerenti alla fornitura stessa.</w:t>
      </w:r>
    </w:p>
    <w:p w14:paraId="26DCC8C1" w14:textId="77777777" w:rsidR="008E78EE" w:rsidRDefault="008E78EE" w:rsidP="008E78EE">
      <w:pPr>
        <w:jc w:val="both"/>
        <w:rPr>
          <w:rFonts w:ascii="Calibri" w:hAnsi="Calibri" w:cs="Calibri"/>
          <w:sz w:val="18"/>
          <w:szCs w:val="18"/>
        </w:rPr>
      </w:pPr>
    </w:p>
    <w:p w14:paraId="7F0E5D04"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FORMAZIONE</w:t>
      </w:r>
    </w:p>
    <w:p w14:paraId="6513588A"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Ditta Aggiudicataria dovrà garantire un’adeguata formazione gratuita del personale, per quanto concerne il corretto utilizzo dei dispositivi, le avvertenze all’uso e la manutenzione ordinaria.</w:t>
      </w:r>
    </w:p>
    <w:p w14:paraId="32388A2A"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durante il periodo del contratto, si rilevassero carenze formative o si verificasse la necessità di formare all’uso personale aggiuntivo, la Ditta Aggiudicataria dovrà provvedere gratuitamente ad eseguire nuovi corsi di formazione.</w:t>
      </w:r>
    </w:p>
    <w:p w14:paraId="3E19338A"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67DB1D81"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DISPOSITIVO VIGILANZA</w:t>
      </w:r>
    </w:p>
    <w:p w14:paraId="5C07DF0A"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In caso di azioni collegate all’attività di Vigilanza sui Dispositivi Medici definite dal MDR 745/2017 e l’IVDR 746/2017 legate a:</w:t>
      </w:r>
    </w:p>
    <w:p w14:paraId="3504622B"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Incidente:</w:t>
      </w:r>
    </w:p>
    <w:p w14:paraId="0436D5CE"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         per i DM: qualsiasi malfunzionamento o alterazione delle caratteristiche o delle prestazioni di un dispositivo messo a disposizione sul mercato, compreso l'errore d'uso determinato dalle caratteristiche ergonomiche, come pure qualsiasi inadeguatezza nelle informazioni fornite dal fabbricante e qualsiasi effetto collaterale indesiderato (Art. 2 </w:t>
      </w:r>
      <w:proofErr w:type="spellStart"/>
      <w:r w:rsidRPr="00B72B48">
        <w:rPr>
          <w:rFonts w:asciiTheme="minorHAnsi" w:hAnsiTheme="minorHAnsi" w:cstheme="minorHAnsi"/>
          <w:bCs/>
          <w:sz w:val="20"/>
          <w:szCs w:val="20"/>
        </w:rPr>
        <w:t>def</w:t>
      </w:r>
      <w:proofErr w:type="spellEnd"/>
      <w:r w:rsidRPr="00B72B48">
        <w:rPr>
          <w:rFonts w:asciiTheme="minorHAnsi" w:hAnsiTheme="minorHAnsi" w:cstheme="minorHAnsi"/>
          <w:bCs/>
          <w:sz w:val="20"/>
          <w:szCs w:val="20"/>
        </w:rPr>
        <w:t>. 64 MDR);</w:t>
      </w:r>
    </w:p>
    <w:p w14:paraId="46B4EC91"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per gli IVD: qualsiasi malfunzionamento o alterazione delle caratteristiche o delle prestazioni di un dispositivo messo a disposizione sul mercato, compreso l'errore d'uso determinato dalle caratteristiche ergonomiche, nonché qualsiasi danno derivante dalla decisione medica, azione od omissione basata sulle informazioni o sui risultati forniti dal dispositivo (Art. 2 def.67 IVDR).</w:t>
      </w:r>
    </w:p>
    <w:p w14:paraId="25E46160"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Incidente grave: si intende qualsiasi incidente che, direttamente o indirettamente, ha causato, può aver causato o può causare una delle seguenti conseguenze (Art. 2 </w:t>
      </w:r>
      <w:proofErr w:type="spellStart"/>
      <w:r w:rsidRPr="00B72B48">
        <w:rPr>
          <w:rFonts w:asciiTheme="minorHAnsi" w:hAnsiTheme="minorHAnsi" w:cstheme="minorHAnsi"/>
          <w:bCs/>
          <w:sz w:val="20"/>
          <w:szCs w:val="20"/>
        </w:rPr>
        <w:t>def</w:t>
      </w:r>
      <w:proofErr w:type="spellEnd"/>
      <w:r w:rsidRPr="00B72B48">
        <w:rPr>
          <w:rFonts w:asciiTheme="minorHAnsi" w:hAnsiTheme="minorHAnsi" w:cstheme="minorHAnsi"/>
          <w:bCs/>
          <w:sz w:val="20"/>
          <w:szCs w:val="20"/>
        </w:rPr>
        <w:t>. 65 MDR 745/2017):</w:t>
      </w:r>
    </w:p>
    <w:p w14:paraId="45786C8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Il decesso di un paziente, di un utilizzatore o di un'altra persona;</w:t>
      </w:r>
    </w:p>
    <w:p w14:paraId="37E849EA"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Il grave deterioramento, temporaneo o permanente, delle condizioni di salute del paziente, dell'utilizzatore o di un'altra persona;</w:t>
      </w:r>
    </w:p>
    <w:p w14:paraId="65686BCC"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         Una grave minaccia per la salute pubblica (per grave minaccia per la salute pubblica si intende qualsiasi evento che potrebbe comportare un imminente rischio di decesso, un grave deterioramento delle condizioni di salute di una persona o una malattia grave che possa richiedere una tempestiva azione correttiva e che possa provocare un tasso significativo di morbilità o di mortalità umane o che è inusuale o inaspettata per quel dato luogo o momento (Art. 2 </w:t>
      </w:r>
      <w:proofErr w:type="spellStart"/>
      <w:r w:rsidRPr="00B72B48">
        <w:rPr>
          <w:rFonts w:asciiTheme="minorHAnsi" w:hAnsiTheme="minorHAnsi" w:cstheme="minorHAnsi"/>
          <w:bCs/>
          <w:sz w:val="20"/>
          <w:szCs w:val="20"/>
        </w:rPr>
        <w:t>def</w:t>
      </w:r>
      <w:proofErr w:type="spellEnd"/>
      <w:r w:rsidRPr="00B72B48">
        <w:rPr>
          <w:rFonts w:asciiTheme="minorHAnsi" w:hAnsiTheme="minorHAnsi" w:cstheme="minorHAnsi"/>
          <w:bCs/>
          <w:sz w:val="20"/>
          <w:szCs w:val="20"/>
        </w:rPr>
        <w:t>. 66 MDR 745/2017).</w:t>
      </w:r>
    </w:p>
    <w:p w14:paraId="71FC707C"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w:t>
      </w:r>
    </w:p>
    <w:p w14:paraId="7C743D2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lastRenderedPageBreak/>
        <w:t xml:space="preserve">Avviso di sicurezza (Field </w:t>
      </w:r>
      <w:proofErr w:type="spellStart"/>
      <w:r w:rsidRPr="00B72B48">
        <w:rPr>
          <w:rFonts w:asciiTheme="minorHAnsi" w:hAnsiTheme="minorHAnsi" w:cstheme="minorHAnsi"/>
          <w:bCs/>
          <w:sz w:val="20"/>
          <w:szCs w:val="20"/>
        </w:rPr>
        <w:t>Safety</w:t>
      </w:r>
      <w:proofErr w:type="spellEnd"/>
      <w:r w:rsidRPr="00B72B48">
        <w:rPr>
          <w:rFonts w:asciiTheme="minorHAnsi" w:hAnsiTheme="minorHAnsi" w:cstheme="minorHAnsi"/>
          <w:bCs/>
          <w:sz w:val="20"/>
          <w:szCs w:val="20"/>
        </w:rPr>
        <w:t xml:space="preserve"> </w:t>
      </w:r>
      <w:proofErr w:type="spellStart"/>
      <w:r w:rsidRPr="00B72B48">
        <w:rPr>
          <w:rFonts w:asciiTheme="minorHAnsi" w:hAnsiTheme="minorHAnsi" w:cstheme="minorHAnsi"/>
          <w:bCs/>
          <w:sz w:val="20"/>
          <w:szCs w:val="20"/>
        </w:rPr>
        <w:t>Notice</w:t>
      </w:r>
      <w:proofErr w:type="spellEnd"/>
      <w:r w:rsidRPr="00B72B48">
        <w:rPr>
          <w:rFonts w:asciiTheme="minorHAnsi" w:hAnsiTheme="minorHAnsi" w:cstheme="minorHAnsi"/>
          <w:bCs/>
          <w:sz w:val="20"/>
          <w:szCs w:val="20"/>
        </w:rPr>
        <w:t xml:space="preserve"> - FSN): una comunicazione inviata da un fabbricante agli utilizzatori o ai clienti in relazione a un'azione correttiva di sicurezza.</w:t>
      </w:r>
    </w:p>
    <w:p w14:paraId="125B07F8"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Azione correttive di sicurezza (Field </w:t>
      </w:r>
      <w:proofErr w:type="spellStart"/>
      <w:r w:rsidRPr="00B72B48">
        <w:rPr>
          <w:rFonts w:asciiTheme="minorHAnsi" w:hAnsiTheme="minorHAnsi" w:cstheme="minorHAnsi"/>
          <w:bCs/>
          <w:sz w:val="20"/>
          <w:szCs w:val="20"/>
        </w:rPr>
        <w:t>Safety</w:t>
      </w:r>
      <w:proofErr w:type="spellEnd"/>
      <w:r w:rsidRPr="00B72B48">
        <w:rPr>
          <w:rFonts w:asciiTheme="minorHAnsi" w:hAnsiTheme="minorHAnsi" w:cstheme="minorHAnsi"/>
          <w:bCs/>
          <w:sz w:val="20"/>
          <w:szCs w:val="20"/>
        </w:rPr>
        <w:t xml:space="preserve"> </w:t>
      </w:r>
      <w:proofErr w:type="spellStart"/>
      <w:r w:rsidRPr="00B72B48">
        <w:rPr>
          <w:rFonts w:asciiTheme="minorHAnsi" w:hAnsiTheme="minorHAnsi" w:cstheme="minorHAnsi"/>
          <w:bCs/>
          <w:sz w:val="20"/>
          <w:szCs w:val="20"/>
        </w:rPr>
        <w:t>Corrective</w:t>
      </w:r>
      <w:proofErr w:type="spellEnd"/>
      <w:r w:rsidRPr="00B72B48">
        <w:rPr>
          <w:rFonts w:asciiTheme="minorHAnsi" w:hAnsiTheme="minorHAnsi" w:cstheme="minorHAnsi"/>
          <w:bCs/>
          <w:sz w:val="20"/>
          <w:szCs w:val="20"/>
        </w:rPr>
        <w:t xml:space="preserve"> Action - FSCA): un'azione correttiva adottata da un fabbricante per motivi di ordine tecnico o medico al fine di prevenire o ridurre il rischio di incidenti gravi in relazione a un dispositivo messo a disposizione sul mercato.</w:t>
      </w:r>
    </w:p>
    <w:p w14:paraId="494D5FE1"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Richiamo: qualsiasi provvedimento volto a ottenere la restituzione di un dispositivo che è già stato reso disponibile all'utilizzatore finale.</w:t>
      </w:r>
    </w:p>
    <w:p w14:paraId="386409B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Il Fornitore dovrà individuare in sede di stipula della convenzione/contratto il Referente del Fornitore per la gestione degli aspetti di vigilanza sui dispositivi medici, con capacità di rappresentare ad ogni effetto il Fornitore, il quale sarà Referente nei confronti dell’Agenzia e delle Aziende Sanitarie aderenti alla Convenzione.</w:t>
      </w:r>
    </w:p>
    <w:p w14:paraId="70D57630"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Nel caso in cui i prodotti oggetto della presente Convenzione/Contratto risultino coinvolti in un’azione di vigilanza si prevede quanto segue:</w:t>
      </w:r>
    </w:p>
    <w:p w14:paraId="4823FEEE"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In caso di avvisi di sicurezza FSN il Fornitore si impegna a notificare gli avvisi, in lingua italiana, anche all’Agenzia/Stazione appaltante. Tali avvisi dovranno contenere: il codice di repertorio/banca dati Ministero, l’indicazione dell’eventuale lotto ritirato e tutte le altre informazioni in possesso del fornitore, utili all’identificazione di tutti i dispositivi coinvolti nell’avviso, con il dettaglio dei punti di consegna degli stessi sul territorio regionale. In caso di apparecchiature, dovrà essere indicato anche il numero di serie. Tali avvisi verranno trasmessi dall’Agenzia/Stazione appaltante ai Responsabili della Vigilanza dei dispositivi della struttura sanitaria coinvolta. In caso di eventuali azioni correttive (FSCA) previste a seguito degli avvisi di sicurezza emanati, il Fornitore si impegna a fornire all’Agenzia/Stazione appaltante, a cadenza periodica da concordare, report informativi sugli sviluppi delle azioni correttive intraprese. Tali azioni correttive dovranno essere svolte in maniera quanto più celere possibile e con l’adozione di soluzioni che non arrechino pregiudizio allo svolgimento delle attività.</w:t>
      </w:r>
    </w:p>
    <w:p w14:paraId="27F7D51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In caso di Avvisi di Sicurezza consistenti in aggiornamenti delle istruzioni d'uso, Informazioni di sicurezza, raccomandazioni circa il corretto utilizzo, precauzioni ecc., il Fornitore si impegna a fornire la necessaria collaborazione per la corretta comprensione dell’avviso e delle sue implicazioni, al fine di ottenere, nel termine massimo definito nell’avviso stesso, il consapevole riscontro mediante restituzione del Modulo di Risposta/Conferma.</w:t>
      </w:r>
    </w:p>
    <w:p w14:paraId="69B6AB05"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o   In caso di richiamo il Fornitore si impegna a ricercare prodotti da offrire in sostituzione di quelli oggetto di Recall con caratteristiche minime (e/o migliorative) almeno pari a quelle del prodotto da sostituire. La documentazione relativa al prodotto offerto in sostituzione, e la relativa campionatura, dovrà essere inviata all’Agenzia/Stazione appaltante (schede tecniche, manuali e altra documentazione). L’Agenzia/Stazione appaltante introdurrà formalmente nella fornitura i prodotti offerti in sostituzione solo previo pare tecnico favorevole. Nelle more di inserimento, del nuovo prodotto, le Aziende sanitarie contraenti potranno procedere all’acquisto sul libero mercato, delle quantità di prodotti necessari, addebitando l’eventuale differenza di prezzo al fornitore aggiudicatario (acquisto in danno).</w:t>
      </w:r>
    </w:p>
    <w:p w14:paraId="1FCBCC9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lastRenderedPageBreak/>
        <w:t>o   In caso di recall di DM impiantabili, il Fornitore si impegna a mettere a disposizione i principali elementi identificativi che interfacciati con i dati delle Aziende sanitarie contraenti, permettano di rintracciare in modo semplice e rapido i pazienti ai quali sia stato impiantato il Dispositivo oggetto di recall.</w:t>
      </w:r>
    </w:p>
    <w:p w14:paraId="6874744D"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Nel caso in cui Fornitore non disponga al momento di alcun prodotto sostitutivo, ma si dichiari disponibile a ricercarlo, nelle more di inserimento nell’Accordo quadro/Convenzione/Contratto, del nuovo prodotto, le Amministrazioni Contraenti potranno procedere direttamente all’acquisto sul libero mercato, delle quantità di prodotti necessari, addebitando l’eventuale differenza di prezzo al fornitore aggiudicatario. Sarà a carico del fornitore altresì la rifusione di ogni altra spesa e/o danno e fatte salve le penali previste nell’Accordo quadro/Convenzione/Contratto.</w:t>
      </w:r>
    </w:p>
    <w:p w14:paraId="569E97B2"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Nel caso di incidenti gravi simili, il fabbricante/fornitore è tenuto a fornire all’Agenzia/Stazione appaltante, il PSR Form (</w:t>
      </w:r>
      <w:proofErr w:type="spellStart"/>
      <w:r w:rsidRPr="00B72B48">
        <w:rPr>
          <w:rFonts w:asciiTheme="minorHAnsi" w:hAnsiTheme="minorHAnsi" w:cstheme="minorHAnsi"/>
          <w:bCs/>
          <w:sz w:val="20"/>
          <w:szCs w:val="20"/>
        </w:rPr>
        <w:t>Periodic</w:t>
      </w:r>
      <w:proofErr w:type="spellEnd"/>
      <w:r w:rsidRPr="00B72B48">
        <w:rPr>
          <w:rFonts w:asciiTheme="minorHAnsi" w:hAnsiTheme="minorHAnsi" w:cstheme="minorHAnsi"/>
          <w:bCs/>
          <w:sz w:val="20"/>
          <w:szCs w:val="20"/>
        </w:rPr>
        <w:t xml:space="preserve"> </w:t>
      </w:r>
      <w:proofErr w:type="spellStart"/>
      <w:r w:rsidRPr="00B72B48">
        <w:rPr>
          <w:rFonts w:asciiTheme="minorHAnsi" w:hAnsiTheme="minorHAnsi" w:cstheme="minorHAnsi"/>
          <w:bCs/>
          <w:sz w:val="20"/>
          <w:szCs w:val="20"/>
        </w:rPr>
        <w:t>Summary</w:t>
      </w:r>
      <w:proofErr w:type="spellEnd"/>
      <w:r w:rsidRPr="00B72B48">
        <w:rPr>
          <w:rFonts w:asciiTheme="minorHAnsi" w:hAnsiTheme="minorHAnsi" w:cstheme="minorHAnsi"/>
          <w:bCs/>
          <w:sz w:val="20"/>
          <w:szCs w:val="20"/>
        </w:rPr>
        <w:t xml:space="preserve"> Report Form) o relazioni di sintesi periodica, già inviato/e all’Autorità competente.</w:t>
      </w:r>
    </w:p>
    <w:p w14:paraId="1D2E6CD2" w14:textId="77777777" w:rsidR="008E78EE" w:rsidRPr="00B73E77" w:rsidRDefault="008E78EE"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p>
    <w:p w14:paraId="19117002" w14:textId="77777777" w:rsidR="00B73E77" w:rsidRPr="008C7B6F" w:rsidRDefault="00B73E77" w:rsidP="00B73E77">
      <w:pPr>
        <w:autoSpaceDE w:val="0"/>
        <w:autoSpaceDN w:val="0"/>
        <w:adjustRightInd w:val="0"/>
        <w:spacing w:after="160" w:line="360" w:lineRule="auto"/>
        <w:ind w:left="426"/>
        <w:contextualSpacing/>
        <w:jc w:val="both"/>
        <w:rPr>
          <w:rFonts w:asciiTheme="minorHAnsi" w:hAnsiTheme="minorHAnsi" w:cstheme="minorHAnsi"/>
          <w:bCs/>
          <w:sz w:val="20"/>
          <w:szCs w:val="20"/>
        </w:rPr>
      </w:pPr>
    </w:p>
    <w:sectPr w:rsidR="00B73E77" w:rsidRPr="008C7B6F" w:rsidSect="001574E1">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CF29" w14:textId="77777777" w:rsidR="00586D9C" w:rsidRDefault="00586D9C" w:rsidP="00586D9C">
      <w:r>
        <w:separator/>
      </w:r>
    </w:p>
  </w:endnote>
  <w:endnote w:type="continuationSeparator" w:id="0">
    <w:p w14:paraId="35DAD331" w14:textId="77777777" w:rsidR="00586D9C" w:rsidRDefault="00586D9C" w:rsidP="00586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A32BD" w14:textId="77777777" w:rsidR="00586D9C" w:rsidRDefault="00586D9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4D59F" w14:textId="77777777" w:rsidR="00586D9C" w:rsidRDefault="00586D9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FA805" w14:textId="77777777" w:rsidR="00586D9C" w:rsidRDefault="00586D9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39BC" w14:textId="77777777" w:rsidR="00586D9C" w:rsidRDefault="00586D9C" w:rsidP="00586D9C">
      <w:r>
        <w:separator/>
      </w:r>
    </w:p>
  </w:footnote>
  <w:footnote w:type="continuationSeparator" w:id="0">
    <w:p w14:paraId="2BE66C74" w14:textId="77777777" w:rsidR="00586D9C" w:rsidRDefault="00586D9C" w:rsidP="00586D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FA537" w14:textId="77777777" w:rsidR="00586D9C" w:rsidRDefault="00586D9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13"/>
      <w:gridCol w:w="5010"/>
    </w:tblGrid>
    <w:tr w:rsidR="00586D9C" w14:paraId="15AC0AF9" w14:textId="77777777" w:rsidTr="004D597D">
      <w:tc>
        <w:tcPr>
          <w:tcW w:w="4013" w:type="dxa"/>
        </w:tcPr>
        <w:p w14:paraId="1707D785" w14:textId="77777777" w:rsidR="00586D9C" w:rsidRDefault="00586D9C" w:rsidP="00586D9C">
          <w:pPr>
            <w:pStyle w:val="Intestazione"/>
            <w:rPr>
              <w:rFonts w:ascii="Arial" w:hAnsi="Arial" w:cs="Arial"/>
              <w:sz w:val="12"/>
            </w:rPr>
          </w:pPr>
          <w:bookmarkStart w:id="1" w:name="OLE_LINK2"/>
          <w:r w:rsidRPr="00235BE6">
            <w:rPr>
              <w:rFonts w:ascii="Arial" w:hAnsi="Arial" w:cs="Arial"/>
              <w:noProof/>
              <w:sz w:val="12"/>
            </w:rPr>
            <w:drawing>
              <wp:inline distT="0" distB="0" distL="0" distR="0" wp14:anchorId="2FAE1680" wp14:editId="62FA7DE1">
                <wp:extent cx="2352675" cy="781050"/>
                <wp:effectExtent l="0" t="0" r="9525" b="0"/>
                <wp:docPr id="2" name="Immagine 2" descr="Immagine che contiene testo, Carattere, schermata, Blu elettr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Carattere, schermata, Blu elettrico&#10;&#10;Il contenuto generato dall'IA potrebbe non essere corret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781050"/>
                        </a:xfrm>
                        <a:prstGeom prst="rect">
                          <a:avLst/>
                        </a:prstGeom>
                        <a:noFill/>
                        <a:ln>
                          <a:noFill/>
                        </a:ln>
                      </pic:spPr>
                    </pic:pic>
                  </a:graphicData>
                </a:graphic>
              </wp:inline>
            </w:drawing>
          </w:r>
        </w:p>
      </w:tc>
      <w:tc>
        <w:tcPr>
          <w:tcW w:w="5010" w:type="dxa"/>
        </w:tcPr>
        <w:p w14:paraId="22E3BBE5" w14:textId="77777777" w:rsidR="00586D9C" w:rsidRDefault="00586D9C" w:rsidP="00586D9C">
          <w:pPr>
            <w:pStyle w:val="Intestazione"/>
            <w:rPr>
              <w:rFonts w:ascii="Arial" w:hAnsi="Arial" w:cs="Arial"/>
              <w:sz w:val="12"/>
            </w:rPr>
          </w:pPr>
          <w:r>
            <w:rPr>
              <w:rFonts w:ascii="Arial" w:hAnsi="Arial" w:cs="Arial"/>
              <w:noProof/>
              <w:sz w:val="16"/>
            </w:rPr>
            <w:drawing>
              <wp:inline distT="0" distB="0" distL="0" distR="0" wp14:anchorId="132B33B3" wp14:editId="3EBBFDA7">
                <wp:extent cx="2952750" cy="666750"/>
                <wp:effectExtent l="0" t="0" r="0" b="0"/>
                <wp:docPr id="1" name="Immagine 1" descr="Immagine che contiene testo, Carattere, schermata,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 logo&#10;&#10;Il contenuto generato dall'IA potrebbe non essere corretto."/>
                        <pic:cNvPicPr>
                          <a:picLocks noChangeAspect="1" noChangeArrowheads="1"/>
                        </pic:cNvPicPr>
                      </pic:nvPicPr>
                      <pic:blipFill>
                        <a:blip r:embed="rId2">
                          <a:extLst>
                            <a:ext uri="{28A0092B-C50C-407E-A947-70E740481C1C}">
                              <a14:useLocalDpi xmlns:a14="http://schemas.microsoft.com/office/drawing/2010/main" val="0"/>
                            </a:ext>
                          </a:extLst>
                        </a:blip>
                        <a:srcRect l="39481"/>
                        <a:stretch>
                          <a:fillRect/>
                        </a:stretch>
                      </pic:blipFill>
                      <pic:spPr bwMode="auto">
                        <a:xfrm>
                          <a:off x="0" y="0"/>
                          <a:ext cx="2952750" cy="666750"/>
                        </a:xfrm>
                        <a:prstGeom prst="rect">
                          <a:avLst/>
                        </a:prstGeom>
                        <a:noFill/>
                        <a:ln>
                          <a:noFill/>
                        </a:ln>
                      </pic:spPr>
                    </pic:pic>
                  </a:graphicData>
                </a:graphic>
              </wp:inline>
            </w:drawing>
          </w:r>
        </w:p>
      </w:tc>
    </w:tr>
    <w:tr w:rsidR="00586D9C" w14:paraId="7654D64C" w14:textId="77777777" w:rsidTr="004D597D">
      <w:tc>
        <w:tcPr>
          <w:tcW w:w="9023" w:type="dxa"/>
          <w:gridSpan w:val="2"/>
        </w:tcPr>
        <w:p w14:paraId="042DB094" w14:textId="77777777" w:rsidR="00586D9C" w:rsidRDefault="00586D9C" w:rsidP="00586D9C">
          <w:pPr>
            <w:pStyle w:val="Intestazione"/>
            <w:rPr>
              <w:rFonts w:ascii="Arial" w:hAnsi="Arial" w:cs="Arial"/>
              <w:sz w:val="12"/>
            </w:rPr>
          </w:pPr>
          <w:r>
            <w:rPr>
              <w:noProof/>
            </w:rPr>
            <w:drawing>
              <wp:anchor distT="0" distB="0" distL="114300" distR="114300" simplePos="0" relativeHeight="251659264" behindDoc="0" locked="0" layoutInCell="1" allowOverlap="0" wp14:anchorId="563990CA" wp14:editId="79748BB1">
                <wp:simplePos x="0" y="0"/>
                <wp:positionH relativeFrom="column">
                  <wp:posOffset>44450</wp:posOffset>
                </wp:positionH>
                <wp:positionV relativeFrom="paragraph">
                  <wp:posOffset>45720</wp:posOffset>
                </wp:positionV>
                <wp:extent cx="5049520" cy="390525"/>
                <wp:effectExtent l="0" t="0" r="0" b="952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4952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DBC121" w14:textId="77777777" w:rsidR="00586D9C" w:rsidRDefault="00586D9C" w:rsidP="00586D9C">
          <w:pPr>
            <w:pStyle w:val="Intestazione"/>
            <w:rPr>
              <w:rFonts w:ascii="Arial" w:hAnsi="Arial" w:cs="Arial"/>
              <w:sz w:val="12"/>
            </w:rPr>
          </w:pPr>
        </w:p>
        <w:p w14:paraId="748D04FF" w14:textId="77777777" w:rsidR="00586D9C" w:rsidRDefault="00586D9C" w:rsidP="00586D9C">
          <w:pPr>
            <w:pStyle w:val="Intestazione"/>
            <w:rPr>
              <w:rFonts w:ascii="Arial" w:hAnsi="Arial" w:cs="Arial"/>
              <w:sz w:val="12"/>
            </w:rPr>
          </w:pPr>
        </w:p>
        <w:p w14:paraId="6105AE0F" w14:textId="77777777" w:rsidR="00586D9C" w:rsidRDefault="00586D9C" w:rsidP="00586D9C">
          <w:pPr>
            <w:pStyle w:val="Intestazione"/>
            <w:rPr>
              <w:rFonts w:ascii="Arial" w:hAnsi="Arial" w:cs="Arial"/>
              <w:sz w:val="12"/>
            </w:rPr>
          </w:pPr>
        </w:p>
        <w:p w14:paraId="31F3665E" w14:textId="77777777" w:rsidR="00586D9C" w:rsidRDefault="00586D9C" w:rsidP="00586D9C">
          <w:pPr>
            <w:pStyle w:val="Intestazione"/>
            <w:rPr>
              <w:rFonts w:ascii="Arial" w:hAnsi="Arial" w:cs="Arial"/>
              <w:sz w:val="12"/>
            </w:rPr>
          </w:pPr>
        </w:p>
        <w:p w14:paraId="61AAF3B8" w14:textId="77777777" w:rsidR="00586D9C" w:rsidRDefault="00586D9C" w:rsidP="00586D9C">
          <w:pPr>
            <w:pStyle w:val="Intestazione"/>
            <w:rPr>
              <w:rFonts w:ascii="Arial" w:hAnsi="Arial" w:cs="Arial"/>
              <w:sz w:val="12"/>
            </w:rPr>
          </w:pPr>
        </w:p>
      </w:tc>
    </w:tr>
    <w:bookmarkEnd w:id="1"/>
  </w:tbl>
  <w:p w14:paraId="25F4C826" w14:textId="77777777" w:rsidR="00586D9C" w:rsidRDefault="00586D9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ADDB" w14:textId="77777777" w:rsidR="00586D9C" w:rsidRDefault="00586D9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752"/>
        </w:tabs>
        <w:ind w:left="4752" w:hanging="432"/>
      </w:pPr>
    </w:lvl>
    <w:lvl w:ilvl="1">
      <w:start w:val="1"/>
      <w:numFmt w:val="none"/>
      <w:suff w:val="nothing"/>
      <w:lvlText w:val=""/>
      <w:lvlJc w:val="left"/>
      <w:pPr>
        <w:tabs>
          <w:tab w:val="num" w:pos="4896"/>
        </w:tabs>
        <w:ind w:left="4896" w:hanging="576"/>
      </w:pPr>
    </w:lvl>
    <w:lvl w:ilvl="2">
      <w:start w:val="1"/>
      <w:numFmt w:val="none"/>
      <w:pStyle w:val="Titolo3"/>
      <w:suff w:val="nothing"/>
      <w:lvlText w:val=""/>
      <w:lvlJc w:val="left"/>
      <w:pPr>
        <w:tabs>
          <w:tab w:val="num" w:pos="5040"/>
        </w:tabs>
        <w:ind w:left="5040" w:hanging="720"/>
      </w:pPr>
    </w:lvl>
    <w:lvl w:ilvl="3">
      <w:start w:val="1"/>
      <w:numFmt w:val="none"/>
      <w:suff w:val="nothing"/>
      <w:lvlText w:val=""/>
      <w:lvlJc w:val="left"/>
      <w:pPr>
        <w:tabs>
          <w:tab w:val="num" w:pos="5184"/>
        </w:tabs>
        <w:ind w:left="5184" w:hanging="864"/>
      </w:pPr>
    </w:lvl>
    <w:lvl w:ilvl="4">
      <w:start w:val="1"/>
      <w:numFmt w:val="none"/>
      <w:suff w:val="nothing"/>
      <w:lvlText w:val=""/>
      <w:lvlJc w:val="left"/>
      <w:pPr>
        <w:tabs>
          <w:tab w:val="num" w:pos="5328"/>
        </w:tabs>
        <w:ind w:left="5328" w:hanging="1008"/>
      </w:pPr>
    </w:lvl>
    <w:lvl w:ilvl="5">
      <w:start w:val="1"/>
      <w:numFmt w:val="none"/>
      <w:suff w:val="nothing"/>
      <w:lvlText w:val=""/>
      <w:lvlJc w:val="left"/>
      <w:pPr>
        <w:tabs>
          <w:tab w:val="num" w:pos="5472"/>
        </w:tabs>
        <w:ind w:left="5472" w:hanging="1152"/>
      </w:pPr>
    </w:lvl>
    <w:lvl w:ilvl="6">
      <w:start w:val="1"/>
      <w:numFmt w:val="none"/>
      <w:pStyle w:val="Titolo7"/>
      <w:suff w:val="nothing"/>
      <w:lvlText w:val=""/>
      <w:lvlJc w:val="left"/>
      <w:pPr>
        <w:tabs>
          <w:tab w:val="num" w:pos="5616"/>
        </w:tabs>
        <w:ind w:left="5616" w:hanging="1296"/>
      </w:pPr>
    </w:lvl>
    <w:lvl w:ilvl="7">
      <w:start w:val="1"/>
      <w:numFmt w:val="none"/>
      <w:suff w:val="nothing"/>
      <w:lvlText w:val=""/>
      <w:lvlJc w:val="left"/>
      <w:pPr>
        <w:tabs>
          <w:tab w:val="num" w:pos="5760"/>
        </w:tabs>
        <w:ind w:left="5760" w:hanging="1440"/>
      </w:pPr>
    </w:lvl>
    <w:lvl w:ilvl="8">
      <w:start w:val="1"/>
      <w:numFmt w:val="none"/>
      <w:suff w:val="nothing"/>
      <w:lvlText w:val=""/>
      <w:lvlJc w:val="left"/>
      <w:pPr>
        <w:tabs>
          <w:tab w:val="num" w:pos="5904"/>
        </w:tabs>
        <w:ind w:left="5904" w:hanging="1584"/>
      </w:pPr>
    </w:lvl>
  </w:abstractNum>
  <w:abstractNum w:abstractNumId="1" w15:restartNumberingAfterBreak="0">
    <w:nsid w:val="0000000B"/>
    <w:multiLevelType w:val="multilevel"/>
    <w:tmpl w:val="0A42EB92"/>
    <w:name w:val="WW8Num11"/>
    <w:lvl w:ilvl="0">
      <w:numFmt w:val="bullet"/>
      <w:lvlText w:val="-"/>
      <w:lvlJc w:val="left"/>
      <w:pPr>
        <w:tabs>
          <w:tab w:val="num" w:pos="720"/>
        </w:tabs>
        <w:ind w:left="720" w:hanging="360"/>
      </w:pPr>
      <w:rPr>
        <w:rFonts w:ascii="Calibri" w:eastAsia="SimSun" w:hAnsi="Calibri" w:cs="Calibri" w:hint="default"/>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8072C99"/>
    <w:multiLevelType w:val="hybridMultilevel"/>
    <w:tmpl w:val="347272BC"/>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3" w15:restartNumberingAfterBreak="0">
    <w:nsid w:val="089739A0"/>
    <w:multiLevelType w:val="hybridMultilevel"/>
    <w:tmpl w:val="C994E6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9BA6411"/>
    <w:multiLevelType w:val="hybridMultilevel"/>
    <w:tmpl w:val="355C734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233C4B"/>
    <w:multiLevelType w:val="hybridMultilevel"/>
    <w:tmpl w:val="A1829766"/>
    <w:lvl w:ilvl="0" w:tplc="04100003">
      <w:start w:val="1"/>
      <w:numFmt w:val="bullet"/>
      <w:lvlText w:val="o"/>
      <w:lvlJc w:val="left"/>
      <w:pPr>
        <w:ind w:left="186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181B0BBD"/>
    <w:multiLevelType w:val="hybridMultilevel"/>
    <w:tmpl w:val="0E78724C"/>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182619B2"/>
    <w:multiLevelType w:val="hybridMultilevel"/>
    <w:tmpl w:val="A0B6FE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BD024A9"/>
    <w:multiLevelType w:val="hybridMultilevel"/>
    <w:tmpl w:val="3D80D4F8"/>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9" w15:restartNumberingAfterBreak="0">
    <w:nsid w:val="21573DC5"/>
    <w:multiLevelType w:val="hybridMultilevel"/>
    <w:tmpl w:val="DC80B844"/>
    <w:lvl w:ilvl="0" w:tplc="00000012">
      <w:start w:val="1"/>
      <w:numFmt w:val="bullet"/>
      <w:lvlText w:val=""/>
      <w:lvlJc w:val="left"/>
      <w:pPr>
        <w:tabs>
          <w:tab w:val="num" w:pos="926"/>
        </w:tabs>
        <w:ind w:left="926" w:hanging="360"/>
      </w:pPr>
      <w:rPr>
        <w:rFonts w:ascii="Symbol" w:hAnsi="Symbol" w:cs="Symbol"/>
      </w:rPr>
    </w:lvl>
    <w:lvl w:ilvl="1" w:tplc="04100003">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10" w15:restartNumberingAfterBreak="0">
    <w:nsid w:val="22D75D3C"/>
    <w:multiLevelType w:val="hybridMultilevel"/>
    <w:tmpl w:val="4412B3A0"/>
    <w:lvl w:ilvl="0" w:tplc="536E27DC">
      <w:numFmt w:val="bullet"/>
      <w:lvlText w:val="-"/>
      <w:lvlJc w:val="left"/>
      <w:pPr>
        <w:ind w:left="786" w:hanging="360"/>
      </w:pPr>
      <w:rPr>
        <w:rFonts w:ascii="Arial" w:eastAsia="Times New Roman" w:hAnsi="Arial" w:cs="Arial" w:hint="default"/>
        <w:color w:val="auto"/>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1" w15:restartNumberingAfterBreak="0">
    <w:nsid w:val="2E7571D0"/>
    <w:multiLevelType w:val="hybridMultilevel"/>
    <w:tmpl w:val="30B053FA"/>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3AE948F7"/>
    <w:multiLevelType w:val="hybridMultilevel"/>
    <w:tmpl w:val="E2D0C5C6"/>
    <w:lvl w:ilvl="0" w:tplc="925E8F0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BA74014"/>
    <w:multiLevelType w:val="hybridMultilevel"/>
    <w:tmpl w:val="FEA47C18"/>
    <w:lvl w:ilvl="0" w:tplc="31947F74">
      <w:numFmt w:val="bullet"/>
      <w:lvlText w:val="-"/>
      <w:lvlJc w:val="left"/>
      <w:pPr>
        <w:tabs>
          <w:tab w:val="num" w:pos="720"/>
        </w:tabs>
        <w:ind w:left="720" w:hanging="360"/>
      </w:pPr>
      <w:rPr>
        <w:rFonts w:ascii="Times New Roman" w:eastAsia="Times New Roman" w:hAnsi="Times New Roman" w:cs="Times New Roman" w:hint="default"/>
        <w:b/>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1572A9"/>
    <w:multiLevelType w:val="hybridMultilevel"/>
    <w:tmpl w:val="174C2AA2"/>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5" w15:restartNumberingAfterBreak="0">
    <w:nsid w:val="3F735402"/>
    <w:multiLevelType w:val="hybridMultilevel"/>
    <w:tmpl w:val="9168E698"/>
    <w:lvl w:ilvl="0" w:tplc="04100003">
      <w:start w:val="1"/>
      <w:numFmt w:val="bullet"/>
      <w:lvlText w:val="o"/>
      <w:lvlJc w:val="left"/>
      <w:pPr>
        <w:ind w:left="144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0803AB6"/>
    <w:multiLevelType w:val="hybridMultilevel"/>
    <w:tmpl w:val="14AA3A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2E801E1"/>
    <w:multiLevelType w:val="hybridMultilevel"/>
    <w:tmpl w:val="9CA26E9C"/>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4BF1E39"/>
    <w:multiLevelType w:val="hybridMultilevel"/>
    <w:tmpl w:val="72DAB1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5D82AE2"/>
    <w:multiLevelType w:val="hybridMultilevel"/>
    <w:tmpl w:val="B4DCC872"/>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0" w15:restartNumberingAfterBreak="0">
    <w:nsid w:val="46E457A3"/>
    <w:multiLevelType w:val="hybridMultilevel"/>
    <w:tmpl w:val="EF5644A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49E35971"/>
    <w:multiLevelType w:val="hybridMultilevel"/>
    <w:tmpl w:val="4BAC8B2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53523046"/>
    <w:multiLevelType w:val="hybridMultilevel"/>
    <w:tmpl w:val="A648942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42844C9"/>
    <w:multiLevelType w:val="hybridMultilevel"/>
    <w:tmpl w:val="26643852"/>
    <w:lvl w:ilvl="0" w:tplc="536E27DC">
      <w:numFmt w:val="bullet"/>
      <w:lvlText w:val="-"/>
      <w:lvlJc w:val="left"/>
      <w:pPr>
        <w:ind w:left="862" w:hanging="360"/>
      </w:pPr>
      <w:rPr>
        <w:rFonts w:ascii="Arial" w:eastAsia="Times New Roman" w:hAnsi="Arial" w:cs="Arial" w:hint="default"/>
        <w:color w:val="auto"/>
      </w:rPr>
    </w:lvl>
    <w:lvl w:ilvl="1" w:tplc="04100003">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4" w15:restartNumberingAfterBreak="0">
    <w:nsid w:val="556D0B52"/>
    <w:multiLevelType w:val="hybridMultilevel"/>
    <w:tmpl w:val="DA9419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5FD0403"/>
    <w:multiLevelType w:val="hybridMultilevel"/>
    <w:tmpl w:val="3594DA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D0B445C"/>
    <w:multiLevelType w:val="hybridMultilevel"/>
    <w:tmpl w:val="995AB96A"/>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27" w15:restartNumberingAfterBreak="0">
    <w:nsid w:val="5D30392E"/>
    <w:multiLevelType w:val="hybridMultilevel"/>
    <w:tmpl w:val="C07A80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5053018"/>
    <w:multiLevelType w:val="hybridMultilevel"/>
    <w:tmpl w:val="1346DB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DF635C8"/>
    <w:multiLevelType w:val="hybridMultilevel"/>
    <w:tmpl w:val="04F8F1FE"/>
    <w:lvl w:ilvl="0" w:tplc="04100001">
      <w:start w:val="1"/>
      <w:numFmt w:val="bullet"/>
      <w:lvlText w:val=""/>
      <w:lvlJc w:val="left"/>
      <w:pPr>
        <w:ind w:left="1800" w:hanging="360"/>
      </w:pPr>
      <w:rPr>
        <w:rFonts w:ascii="Symbol" w:hAnsi="Symbol"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30" w15:restartNumberingAfterBreak="0">
    <w:nsid w:val="6E8C41DE"/>
    <w:multiLevelType w:val="hybridMultilevel"/>
    <w:tmpl w:val="33F6DD64"/>
    <w:lvl w:ilvl="0" w:tplc="4B36CE1C">
      <w:numFmt w:val="bullet"/>
      <w:lvlText w:val="-"/>
      <w:lvlJc w:val="left"/>
      <w:pPr>
        <w:tabs>
          <w:tab w:val="num" w:pos="1570"/>
        </w:tabs>
        <w:ind w:left="1570" w:hanging="360"/>
      </w:pPr>
      <w:rPr>
        <w:rFonts w:ascii="Times New Roman" w:eastAsia="Times New Roman" w:hAnsi="Times New Roman" w:hint="default"/>
      </w:rPr>
    </w:lvl>
    <w:lvl w:ilvl="1" w:tplc="04100003">
      <w:start w:val="1"/>
      <w:numFmt w:val="bullet"/>
      <w:lvlText w:val="o"/>
      <w:lvlJc w:val="left"/>
      <w:pPr>
        <w:tabs>
          <w:tab w:val="num" w:pos="2290"/>
        </w:tabs>
        <w:ind w:left="2290" w:hanging="360"/>
      </w:pPr>
      <w:rPr>
        <w:rFonts w:ascii="Courier New" w:hAnsi="Courier New" w:hint="default"/>
      </w:rPr>
    </w:lvl>
    <w:lvl w:ilvl="2" w:tplc="04100005">
      <w:start w:val="1"/>
      <w:numFmt w:val="bullet"/>
      <w:lvlText w:val=""/>
      <w:lvlJc w:val="left"/>
      <w:pPr>
        <w:tabs>
          <w:tab w:val="num" w:pos="3010"/>
        </w:tabs>
        <w:ind w:left="3010" w:hanging="360"/>
      </w:pPr>
      <w:rPr>
        <w:rFonts w:ascii="Wingdings" w:hAnsi="Wingdings" w:hint="default"/>
      </w:rPr>
    </w:lvl>
    <w:lvl w:ilvl="3" w:tplc="04100001">
      <w:start w:val="1"/>
      <w:numFmt w:val="decimal"/>
      <w:lvlText w:val="%4."/>
      <w:lvlJc w:val="left"/>
      <w:pPr>
        <w:tabs>
          <w:tab w:val="num" w:pos="3730"/>
        </w:tabs>
        <w:ind w:left="3730" w:hanging="360"/>
      </w:pPr>
      <w:rPr>
        <w:rFonts w:cs="Times New Roman"/>
      </w:rPr>
    </w:lvl>
    <w:lvl w:ilvl="4" w:tplc="04100003">
      <w:start w:val="1"/>
      <w:numFmt w:val="decimal"/>
      <w:lvlText w:val="%5."/>
      <w:lvlJc w:val="left"/>
      <w:pPr>
        <w:tabs>
          <w:tab w:val="num" w:pos="4450"/>
        </w:tabs>
        <w:ind w:left="4450" w:hanging="360"/>
      </w:pPr>
      <w:rPr>
        <w:rFonts w:cs="Times New Roman"/>
      </w:rPr>
    </w:lvl>
    <w:lvl w:ilvl="5" w:tplc="04100005">
      <w:start w:val="1"/>
      <w:numFmt w:val="decimal"/>
      <w:lvlText w:val="%6."/>
      <w:lvlJc w:val="left"/>
      <w:pPr>
        <w:tabs>
          <w:tab w:val="num" w:pos="5170"/>
        </w:tabs>
        <w:ind w:left="5170" w:hanging="360"/>
      </w:pPr>
      <w:rPr>
        <w:rFonts w:cs="Times New Roman"/>
      </w:rPr>
    </w:lvl>
    <w:lvl w:ilvl="6" w:tplc="04100001">
      <w:start w:val="1"/>
      <w:numFmt w:val="decimal"/>
      <w:lvlText w:val="%7."/>
      <w:lvlJc w:val="left"/>
      <w:pPr>
        <w:tabs>
          <w:tab w:val="num" w:pos="5890"/>
        </w:tabs>
        <w:ind w:left="5890" w:hanging="360"/>
      </w:pPr>
      <w:rPr>
        <w:rFonts w:cs="Times New Roman"/>
      </w:rPr>
    </w:lvl>
    <w:lvl w:ilvl="7" w:tplc="04100003">
      <w:start w:val="1"/>
      <w:numFmt w:val="decimal"/>
      <w:lvlText w:val="%8."/>
      <w:lvlJc w:val="left"/>
      <w:pPr>
        <w:tabs>
          <w:tab w:val="num" w:pos="6610"/>
        </w:tabs>
        <w:ind w:left="6610" w:hanging="360"/>
      </w:pPr>
      <w:rPr>
        <w:rFonts w:cs="Times New Roman"/>
      </w:rPr>
    </w:lvl>
    <w:lvl w:ilvl="8" w:tplc="04100005">
      <w:start w:val="1"/>
      <w:numFmt w:val="decimal"/>
      <w:lvlText w:val="%9."/>
      <w:lvlJc w:val="left"/>
      <w:pPr>
        <w:tabs>
          <w:tab w:val="num" w:pos="7330"/>
        </w:tabs>
        <w:ind w:left="7330" w:hanging="360"/>
      </w:pPr>
      <w:rPr>
        <w:rFonts w:cs="Times New Roman"/>
      </w:rPr>
    </w:lvl>
  </w:abstractNum>
  <w:abstractNum w:abstractNumId="31" w15:restartNumberingAfterBreak="0">
    <w:nsid w:val="71AB046A"/>
    <w:multiLevelType w:val="multilevel"/>
    <w:tmpl w:val="F4FC09EC"/>
    <w:lvl w:ilvl="0">
      <w:numFmt w:val="bullet"/>
      <w:lvlText w:val="-"/>
      <w:lvlJc w:val="left"/>
      <w:pPr>
        <w:tabs>
          <w:tab w:val="num" w:pos="0"/>
        </w:tabs>
        <w:ind w:left="405" w:hanging="360"/>
      </w:pPr>
      <w:rPr>
        <w:rFonts w:ascii="Calibri" w:hAnsi="Calibri" w:cs="Calibri"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32" w15:restartNumberingAfterBreak="0">
    <w:nsid w:val="75977D53"/>
    <w:multiLevelType w:val="hybridMultilevel"/>
    <w:tmpl w:val="7F6E1E1E"/>
    <w:lvl w:ilvl="0" w:tplc="536E27DC">
      <w:numFmt w:val="bullet"/>
      <w:lvlText w:val="-"/>
      <w:lvlJc w:val="left"/>
      <w:pPr>
        <w:ind w:left="720" w:hanging="360"/>
      </w:pPr>
      <w:rPr>
        <w:rFonts w:ascii="Arial" w:eastAsia="Times New Roman" w:hAnsi="Arial" w:cs="Aria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9544B7D"/>
    <w:multiLevelType w:val="hybridMultilevel"/>
    <w:tmpl w:val="737A92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BBC3439"/>
    <w:multiLevelType w:val="hybridMultilevel"/>
    <w:tmpl w:val="3970FE52"/>
    <w:lvl w:ilvl="0" w:tplc="04100001">
      <w:start w:val="1"/>
      <w:numFmt w:val="bullet"/>
      <w:lvlText w:val=""/>
      <w:lvlJc w:val="left"/>
      <w:pPr>
        <w:ind w:left="21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C290F1C"/>
    <w:multiLevelType w:val="hybridMultilevel"/>
    <w:tmpl w:val="BB8C949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4757522">
    <w:abstractNumId w:val="22"/>
  </w:num>
  <w:num w:numId="2" w16cid:durableId="1711414948">
    <w:abstractNumId w:val="3"/>
  </w:num>
  <w:num w:numId="3" w16cid:durableId="1386568551">
    <w:abstractNumId w:val="6"/>
  </w:num>
  <w:num w:numId="4" w16cid:durableId="1528903867">
    <w:abstractNumId w:val="35"/>
  </w:num>
  <w:num w:numId="5" w16cid:durableId="1167868584">
    <w:abstractNumId w:val="17"/>
  </w:num>
  <w:num w:numId="6" w16cid:durableId="440534216">
    <w:abstractNumId w:val="4"/>
  </w:num>
  <w:num w:numId="7" w16cid:durableId="160703099">
    <w:abstractNumId w:val="15"/>
  </w:num>
  <w:num w:numId="8" w16cid:durableId="1803427194">
    <w:abstractNumId w:val="5"/>
  </w:num>
  <w:num w:numId="9" w16cid:durableId="1549415024">
    <w:abstractNumId w:val="21"/>
  </w:num>
  <w:num w:numId="10" w16cid:durableId="2037003036">
    <w:abstractNumId w:val="16"/>
  </w:num>
  <w:num w:numId="11" w16cid:durableId="1369255653">
    <w:abstractNumId w:val="18"/>
  </w:num>
  <w:num w:numId="12" w16cid:durableId="2028211660">
    <w:abstractNumId w:val="11"/>
  </w:num>
  <w:num w:numId="13" w16cid:durableId="1781727949">
    <w:abstractNumId w:val="34"/>
  </w:num>
  <w:num w:numId="14" w16cid:durableId="1021249922">
    <w:abstractNumId w:val="19"/>
  </w:num>
  <w:num w:numId="15" w16cid:durableId="1636637962">
    <w:abstractNumId w:val="7"/>
  </w:num>
  <w:num w:numId="16" w16cid:durableId="1426682660">
    <w:abstractNumId w:val="28"/>
  </w:num>
  <w:num w:numId="17" w16cid:durableId="253364442">
    <w:abstractNumId w:val="20"/>
  </w:num>
  <w:num w:numId="18" w16cid:durableId="1640113489">
    <w:abstractNumId w:val="29"/>
  </w:num>
  <w:num w:numId="19" w16cid:durableId="2048288375">
    <w:abstractNumId w:val="33"/>
  </w:num>
  <w:num w:numId="20" w16cid:durableId="2132043591">
    <w:abstractNumId w:val="25"/>
  </w:num>
  <w:num w:numId="21" w16cid:durableId="1905993313">
    <w:abstractNumId w:val="26"/>
  </w:num>
  <w:num w:numId="22" w16cid:durableId="753013616">
    <w:abstractNumId w:val="2"/>
  </w:num>
  <w:num w:numId="23" w16cid:durableId="1616327990">
    <w:abstractNumId w:val="24"/>
  </w:num>
  <w:num w:numId="24" w16cid:durableId="1732340089">
    <w:abstractNumId w:val="12"/>
  </w:num>
  <w:num w:numId="25" w16cid:durableId="1102914787">
    <w:abstractNumId w:val="0"/>
  </w:num>
  <w:num w:numId="26" w16cid:durableId="1121463108">
    <w:abstractNumId w:val="9"/>
  </w:num>
  <w:num w:numId="27" w16cid:durableId="1621262260">
    <w:abstractNumId w:val="13"/>
  </w:num>
  <w:num w:numId="28" w16cid:durableId="115757618">
    <w:abstractNumId w:val="3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5013422">
    <w:abstractNumId w:val="31"/>
  </w:num>
  <w:num w:numId="30" w16cid:durableId="132207777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576474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1454086">
    <w:abstractNumId w:val="27"/>
  </w:num>
  <w:num w:numId="33" w16cid:durableId="445123409">
    <w:abstractNumId w:val="10"/>
  </w:num>
  <w:num w:numId="34" w16cid:durableId="2104373462">
    <w:abstractNumId w:val="1"/>
  </w:num>
  <w:num w:numId="35" w16cid:durableId="870386810">
    <w:abstractNumId w:val="32"/>
  </w:num>
  <w:num w:numId="36" w16cid:durableId="7555927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it-IT"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671A"/>
    <w:rsid w:val="00007EBF"/>
    <w:rsid w:val="000173DF"/>
    <w:rsid w:val="00017656"/>
    <w:rsid w:val="00022A46"/>
    <w:rsid w:val="0003004D"/>
    <w:rsid w:val="00035227"/>
    <w:rsid w:val="000416B2"/>
    <w:rsid w:val="0005267D"/>
    <w:rsid w:val="00052A38"/>
    <w:rsid w:val="0005331C"/>
    <w:rsid w:val="00053FF5"/>
    <w:rsid w:val="000547E9"/>
    <w:rsid w:val="0007367C"/>
    <w:rsid w:val="000738A2"/>
    <w:rsid w:val="000839D6"/>
    <w:rsid w:val="00092CEC"/>
    <w:rsid w:val="000952BD"/>
    <w:rsid w:val="000A47FC"/>
    <w:rsid w:val="000C67F7"/>
    <w:rsid w:val="000D0846"/>
    <w:rsid w:val="000E50B2"/>
    <w:rsid w:val="000F4421"/>
    <w:rsid w:val="000F7239"/>
    <w:rsid w:val="00110351"/>
    <w:rsid w:val="00114C75"/>
    <w:rsid w:val="0012428B"/>
    <w:rsid w:val="00126A48"/>
    <w:rsid w:val="001334FA"/>
    <w:rsid w:val="001468DD"/>
    <w:rsid w:val="00146ED9"/>
    <w:rsid w:val="00154134"/>
    <w:rsid w:val="001574E1"/>
    <w:rsid w:val="0016001A"/>
    <w:rsid w:val="001649B2"/>
    <w:rsid w:val="00167D8A"/>
    <w:rsid w:val="001727A8"/>
    <w:rsid w:val="0017326F"/>
    <w:rsid w:val="0017724B"/>
    <w:rsid w:val="00177461"/>
    <w:rsid w:val="00182B5B"/>
    <w:rsid w:val="00184349"/>
    <w:rsid w:val="00184AB3"/>
    <w:rsid w:val="00185495"/>
    <w:rsid w:val="00187A89"/>
    <w:rsid w:val="001969A8"/>
    <w:rsid w:val="001A0BB4"/>
    <w:rsid w:val="001A1F71"/>
    <w:rsid w:val="001B6E07"/>
    <w:rsid w:val="001C0143"/>
    <w:rsid w:val="001D7153"/>
    <w:rsid w:val="001D76DF"/>
    <w:rsid w:val="001E2C48"/>
    <w:rsid w:val="001E6655"/>
    <w:rsid w:val="001E7B49"/>
    <w:rsid w:val="001F212B"/>
    <w:rsid w:val="00201E22"/>
    <w:rsid w:val="00202F95"/>
    <w:rsid w:val="0020372A"/>
    <w:rsid w:val="00203B66"/>
    <w:rsid w:val="002139E0"/>
    <w:rsid w:val="002165E8"/>
    <w:rsid w:val="00217F04"/>
    <w:rsid w:val="002217EF"/>
    <w:rsid w:val="00221A88"/>
    <w:rsid w:val="00224BAD"/>
    <w:rsid w:val="00226511"/>
    <w:rsid w:val="00232350"/>
    <w:rsid w:val="00237DAA"/>
    <w:rsid w:val="002407A7"/>
    <w:rsid w:val="002408DE"/>
    <w:rsid w:val="002508AB"/>
    <w:rsid w:val="00252CC0"/>
    <w:rsid w:val="0025518F"/>
    <w:rsid w:val="002770B3"/>
    <w:rsid w:val="00282010"/>
    <w:rsid w:val="002902B4"/>
    <w:rsid w:val="00293407"/>
    <w:rsid w:val="00296449"/>
    <w:rsid w:val="002A7BE9"/>
    <w:rsid w:val="002B1979"/>
    <w:rsid w:val="002B4335"/>
    <w:rsid w:val="002B67CC"/>
    <w:rsid w:val="002C0416"/>
    <w:rsid w:val="002C7362"/>
    <w:rsid w:val="002D67B3"/>
    <w:rsid w:val="002F135D"/>
    <w:rsid w:val="00302871"/>
    <w:rsid w:val="00312638"/>
    <w:rsid w:val="0032315D"/>
    <w:rsid w:val="00327B2D"/>
    <w:rsid w:val="0033161E"/>
    <w:rsid w:val="00341C5C"/>
    <w:rsid w:val="00341F83"/>
    <w:rsid w:val="003422CA"/>
    <w:rsid w:val="003462FF"/>
    <w:rsid w:val="003470E0"/>
    <w:rsid w:val="0036190C"/>
    <w:rsid w:val="00365F8C"/>
    <w:rsid w:val="00387D9D"/>
    <w:rsid w:val="0039132A"/>
    <w:rsid w:val="00394F4B"/>
    <w:rsid w:val="003A3B75"/>
    <w:rsid w:val="003A4D3B"/>
    <w:rsid w:val="003B1309"/>
    <w:rsid w:val="003B1E32"/>
    <w:rsid w:val="003B3486"/>
    <w:rsid w:val="003C2D46"/>
    <w:rsid w:val="003C5252"/>
    <w:rsid w:val="003D0D33"/>
    <w:rsid w:val="003D1C1E"/>
    <w:rsid w:val="003D3A7A"/>
    <w:rsid w:val="003D7B9A"/>
    <w:rsid w:val="003E6272"/>
    <w:rsid w:val="003F2048"/>
    <w:rsid w:val="00402973"/>
    <w:rsid w:val="00402B9F"/>
    <w:rsid w:val="004143BA"/>
    <w:rsid w:val="00414E1D"/>
    <w:rsid w:val="00417BF5"/>
    <w:rsid w:val="004227B5"/>
    <w:rsid w:val="0043258E"/>
    <w:rsid w:val="0043640B"/>
    <w:rsid w:val="00441C9F"/>
    <w:rsid w:val="00444429"/>
    <w:rsid w:val="00446529"/>
    <w:rsid w:val="00451A9B"/>
    <w:rsid w:val="004551DB"/>
    <w:rsid w:val="0045540D"/>
    <w:rsid w:val="00495CAE"/>
    <w:rsid w:val="004B7C57"/>
    <w:rsid w:val="004C099D"/>
    <w:rsid w:val="004C17DE"/>
    <w:rsid w:val="004C6EF6"/>
    <w:rsid w:val="004D16A0"/>
    <w:rsid w:val="004F6227"/>
    <w:rsid w:val="00502A01"/>
    <w:rsid w:val="00505197"/>
    <w:rsid w:val="00507CC0"/>
    <w:rsid w:val="00511B9E"/>
    <w:rsid w:val="00513AF2"/>
    <w:rsid w:val="00521FAB"/>
    <w:rsid w:val="0052450F"/>
    <w:rsid w:val="00524741"/>
    <w:rsid w:val="00524A39"/>
    <w:rsid w:val="00531438"/>
    <w:rsid w:val="00537B21"/>
    <w:rsid w:val="00552C27"/>
    <w:rsid w:val="0055621B"/>
    <w:rsid w:val="005575E9"/>
    <w:rsid w:val="00562575"/>
    <w:rsid w:val="0056665C"/>
    <w:rsid w:val="00577278"/>
    <w:rsid w:val="0058096F"/>
    <w:rsid w:val="005816BF"/>
    <w:rsid w:val="00582DCC"/>
    <w:rsid w:val="00583CBF"/>
    <w:rsid w:val="005850BD"/>
    <w:rsid w:val="00586D9C"/>
    <w:rsid w:val="005926B8"/>
    <w:rsid w:val="005962CA"/>
    <w:rsid w:val="00597DE2"/>
    <w:rsid w:val="005A19C9"/>
    <w:rsid w:val="005A6AEB"/>
    <w:rsid w:val="005C135C"/>
    <w:rsid w:val="005C6676"/>
    <w:rsid w:val="005C6FA7"/>
    <w:rsid w:val="005D3B2A"/>
    <w:rsid w:val="005F4A56"/>
    <w:rsid w:val="006047FD"/>
    <w:rsid w:val="0060595E"/>
    <w:rsid w:val="0061108F"/>
    <w:rsid w:val="006308A8"/>
    <w:rsid w:val="0063443C"/>
    <w:rsid w:val="006436A9"/>
    <w:rsid w:val="00647975"/>
    <w:rsid w:val="00650CA2"/>
    <w:rsid w:val="00657B84"/>
    <w:rsid w:val="00670DF9"/>
    <w:rsid w:val="006A3A38"/>
    <w:rsid w:val="006A67DD"/>
    <w:rsid w:val="006B4CC0"/>
    <w:rsid w:val="006D6C4F"/>
    <w:rsid w:val="006E017B"/>
    <w:rsid w:val="006E0A80"/>
    <w:rsid w:val="006E407B"/>
    <w:rsid w:val="006F014F"/>
    <w:rsid w:val="006F3890"/>
    <w:rsid w:val="006F5909"/>
    <w:rsid w:val="006F6F49"/>
    <w:rsid w:val="006F738D"/>
    <w:rsid w:val="00706842"/>
    <w:rsid w:val="00712E5F"/>
    <w:rsid w:val="00713C55"/>
    <w:rsid w:val="007177C8"/>
    <w:rsid w:val="00722DE7"/>
    <w:rsid w:val="007263F9"/>
    <w:rsid w:val="00734249"/>
    <w:rsid w:val="00735A91"/>
    <w:rsid w:val="00737224"/>
    <w:rsid w:val="0074457B"/>
    <w:rsid w:val="00767717"/>
    <w:rsid w:val="00781B8F"/>
    <w:rsid w:val="00784421"/>
    <w:rsid w:val="00787944"/>
    <w:rsid w:val="00790A1A"/>
    <w:rsid w:val="007A1515"/>
    <w:rsid w:val="007A6AC8"/>
    <w:rsid w:val="007A6C44"/>
    <w:rsid w:val="007A759D"/>
    <w:rsid w:val="007C2200"/>
    <w:rsid w:val="007C2CCE"/>
    <w:rsid w:val="007C321A"/>
    <w:rsid w:val="007D22D3"/>
    <w:rsid w:val="007D2D6B"/>
    <w:rsid w:val="007E2464"/>
    <w:rsid w:val="007E40E0"/>
    <w:rsid w:val="007E49DE"/>
    <w:rsid w:val="007F1ED9"/>
    <w:rsid w:val="007F774D"/>
    <w:rsid w:val="008114D0"/>
    <w:rsid w:val="00824830"/>
    <w:rsid w:val="0082559D"/>
    <w:rsid w:val="008260CC"/>
    <w:rsid w:val="00831744"/>
    <w:rsid w:val="0083541B"/>
    <w:rsid w:val="008454F2"/>
    <w:rsid w:val="008502BC"/>
    <w:rsid w:val="00854F48"/>
    <w:rsid w:val="00855209"/>
    <w:rsid w:val="008602BD"/>
    <w:rsid w:val="00862606"/>
    <w:rsid w:val="00871D08"/>
    <w:rsid w:val="00876925"/>
    <w:rsid w:val="00880F2A"/>
    <w:rsid w:val="008954CC"/>
    <w:rsid w:val="008A0A02"/>
    <w:rsid w:val="008A125F"/>
    <w:rsid w:val="008A52C8"/>
    <w:rsid w:val="008A7966"/>
    <w:rsid w:val="008B0D58"/>
    <w:rsid w:val="008B69CC"/>
    <w:rsid w:val="008C1218"/>
    <w:rsid w:val="008C3FB0"/>
    <w:rsid w:val="008C7B6F"/>
    <w:rsid w:val="008D03CE"/>
    <w:rsid w:val="008D1A41"/>
    <w:rsid w:val="008E78EE"/>
    <w:rsid w:val="00904D8C"/>
    <w:rsid w:val="00914ABD"/>
    <w:rsid w:val="00922381"/>
    <w:rsid w:val="00923624"/>
    <w:rsid w:val="00923657"/>
    <w:rsid w:val="009315A5"/>
    <w:rsid w:val="0093296C"/>
    <w:rsid w:val="0093671A"/>
    <w:rsid w:val="00945502"/>
    <w:rsid w:val="0096146F"/>
    <w:rsid w:val="00962FE1"/>
    <w:rsid w:val="00972904"/>
    <w:rsid w:val="009812A2"/>
    <w:rsid w:val="0099356C"/>
    <w:rsid w:val="00996660"/>
    <w:rsid w:val="009B14B2"/>
    <w:rsid w:val="009C08DD"/>
    <w:rsid w:val="009C415F"/>
    <w:rsid w:val="009C4C5A"/>
    <w:rsid w:val="009D5393"/>
    <w:rsid w:val="009E3511"/>
    <w:rsid w:val="009F6950"/>
    <w:rsid w:val="00A06F77"/>
    <w:rsid w:val="00A15B3F"/>
    <w:rsid w:val="00A174BD"/>
    <w:rsid w:val="00A32D56"/>
    <w:rsid w:val="00A33B25"/>
    <w:rsid w:val="00A811B1"/>
    <w:rsid w:val="00A817B0"/>
    <w:rsid w:val="00A84FA6"/>
    <w:rsid w:val="00A86144"/>
    <w:rsid w:val="00A87DC8"/>
    <w:rsid w:val="00A90CC9"/>
    <w:rsid w:val="00A91418"/>
    <w:rsid w:val="00A976A3"/>
    <w:rsid w:val="00AA689A"/>
    <w:rsid w:val="00AC2771"/>
    <w:rsid w:val="00AC3E58"/>
    <w:rsid w:val="00AC6FE1"/>
    <w:rsid w:val="00AD26EF"/>
    <w:rsid w:val="00AE0E7D"/>
    <w:rsid w:val="00AE27BD"/>
    <w:rsid w:val="00AF16C5"/>
    <w:rsid w:val="00AF1BC0"/>
    <w:rsid w:val="00AF3052"/>
    <w:rsid w:val="00AF4E73"/>
    <w:rsid w:val="00AF5856"/>
    <w:rsid w:val="00AF66EA"/>
    <w:rsid w:val="00B03DFA"/>
    <w:rsid w:val="00B05A08"/>
    <w:rsid w:val="00B13AB9"/>
    <w:rsid w:val="00B14762"/>
    <w:rsid w:val="00B15605"/>
    <w:rsid w:val="00B159B3"/>
    <w:rsid w:val="00B22930"/>
    <w:rsid w:val="00B26B37"/>
    <w:rsid w:val="00B32588"/>
    <w:rsid w:val="00B357F0"/>
    <w:rsid w:val="00B3627C"/>
    <w:rsid w:val="00B421AB"/>
    <w:rsid w:val="00B462A7"/>
    <w:rsid w:val="00B64A18"/>
    <w:rsid w:val="00B714C7"/>
    <w:rsid w:val="00B72B48"/>
    <w:rsid w:val="00B73E77"/>
    <w:rsid w:val="00B83763"/>
    <w:rsid w:val="00B929F0"/>
    <w:rsid w:val="00BA6254"/>
    <w:rsid w:val="00BB1514"/>
    <w:rsid w:val="00BB6E60"/>
    <w:rsid w:val="00BC56C2"/>
    <w:rsid w:val="00BD4E1D"/>
    <w:rsid w:val="00BD5CAA"/>
    <w:rsid w:val="00BE5D0E"/>
    <w:rsid w:val="00BF5C83"/>
    <w:rsid w:val="00C02017"/>
    <w:rsid w:val="00C061AA"/>
    <w:rsid w:val="00C145AC"/>
    <w:rsid w:val="00C27F0D"/>
    <w:rsid w:val="00C31880"/>
    <w:rsid w:val="00C36D3A"/>
    <w:rsid w:val="00C370EA"/>
    <w:rsid w:val="00C43012"/>
    <w:rsid w:val="00C43425"/>
    <w:rsid w:val="00C44A04"/>
    <w:rsid w:val="00C45847"/>
    <w:rsid w:val="00C5163D"/>
    <w:rsid w:val="00CA2B33"/>
    <w:rsid w:val="00CB0453"/>
    <w:rsid w:val="00CB0CBF"/>
    <w:rsid w:val="00CB16F1"/>
    <w:rsid w:val="00CB280C"/>
    <w:rsid w:val="00CB31ED"/>
    <w:rsid w:val="00CB7863"/>
    <w:rsid w:val="00CC303F"/>
    <w:rsid w:val="00CC47BC"/>
    <w:rsid w:val="00CD0FF0"/>
    <w:rsid w:val="00CD2693"/>
    <w:rsid w:val="00CE0E81"/>
    <w:rsid w:val="00CF261A"/>
    <w:rsid w:val="00CF3E3D"/>
    <w:rsid w:val="00D004C3"/>
    <w:rsid w:val="00D045EA"/>
    <w:rsid w:val="00D06116"/>
    <w:rsid w:val="00D10E0A"/>
    <w:rsid w:val="00D114BE"/>
    <w:rsid w:val="00D13677"/>
    <w:rsid w:val="00D31022"/>
    <w:rsid w:val="00D31ED1"/>
    <w:rsid w:val="00D32C5E"/>
    <w:rsid w:val="00D37EF6"/>
    <w:rsid w:val="00D461FC"/>
    <w:rsid w:val="00D47E67"/>
    <w:rsid w:val="00D57E19"/>
    <w:rsid w:val="00D63794"/>
    <w:rsid w:val="00D6423D"/>
    <w:rsid w:val="00D678F1"/>
    <w:rsid w:val="00D75C2F"/>
    <w:rsid w:val="00D806A1"/>
    <w:rsid w:val="00D81E98"/>
    <w:rsid w:val="00D96FD3"/>
    <w:rsid w:val="00DB2CA9"/>
    <w:rsid w:val="00DB37F3"/>
    <w:rsid w:val="00DC0A67"/>
    <w:rsid w:val="00DC1BFF"/>
    <w:rsid w:val="00DC7F91"/>
    <w:rsid w:val="00DD1C9E"/>
    <w:rsid w:val="00DE288F"/>
    <w:rsid w:val="00DF130A"/>
    <w:rsid w:val="00DF513E"/>
    <w:rsid w:val="00E01351"/>
    <w:rsid w:val="00E042C0"/>
    <w:rsid w:val="00E16E27"/>
    <w:rsid w:val="00E22984"/>
    <w:rsid w:val="00E23E65"/>
    <w:rsid w:val="00E26C94"/>
    <w:rsid w:val="00E42DEF"/>
    <w:rsid w:val="00E475C9"/>
    <w:rsid w:val="00E5147A"/>
    <w:rsid w:val="00E51C65"/>
    <w:rsid w:val="00E62F36"/>
    <w:rsid w:val="00E73540"/>
    <w:rsid w:val="00E80068"/>
    <w:rsid w:val="00E80A15"/>
    <w:rsid w:val="00E81CE7"/>
    <w:rsid w:val="00E90F8F"/>
    <w:rsid w:val="00EA0F88"/>
    <w:rsid w:val="00EA6CE6"/>
    <w:rsid w:val="00EC74EB"/>
    <w:rsid w:val="00ED54CD"/>
    <w:rsid w:val="00EE107E"/>
    <w:rsid w:val="00EE5079"/>
    <w:rsid w:val="00F028EB"/>
    <w:rsid w:val="00F157BD"/>
    <w:rsid w:val="00F2363F"/>
    <w:rsid w:val="00F23E1C"/>
    <w:rsid w:val="00F25B6A"/>
    <w:rsid w:val="00F263FB"/>
    <w:rsid w:val="00F43B2B"/>
    <w:rsid w:val="00F46B60"/>
    <w:rsid w:val="00F51B12"/>
    <w:rsid w:val="00F52110"/>
    <w:rsid w:val="00F647BE"/>
    <w:rsid w:val="00F7218A"/>
    <w:rsid w:val="00F75F27"/>
    <w:rsid w:val="00F90150"/>
    <w:rsid w:val="00F91D15"/>
    <w:rsid w:val="00F9267E"/>
    <w:rsid w:val="00F94E8A"/>
    <w:rsid w:val="00F96601"/>
    <w:rsid w:val="00F96C14"/>
    <w:rsid w:val="00FB41D7"/>
    <w:rsid w:val="00FB4E3C"/>
    <w:rsid w:val="00FC21FE"/>
    <w:rsid w:val="00FC313A"/>
    <w:rsid w:val="00FC5439"/>
    <w:rsid w:val="00FE073C"/>
    <w:rsid w:val="00FF4C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358"/>
  <w15:docId w15:val="{9E870B49-E5B7-44C2-9EFD-07F3E48CA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671A"/>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qFormat/>
    <w:rsid w:val="00CB0CBF"/>
    <w:pPr>
      <w:keepNext/>
      <w:numPr>
        <w:ilvl w:val="2"/>
        <w:numId w:val="25"/>
      </w:numPr>
      <w:suppressAutoHyphens/>
      <w:outlineLvl w:val="2"/>
    </w:pPr>
    <w:rPr>
      <w:b/>
      <w:smallCaps/>
      <w:sz w:val="16"/>
      <w:szCs w:val="20"/>
      <w:lang w:eastAsia="ar-SA"/>
    </w:rPr>
  </w:style>
  <w:style w:type="paragraph" w:styleId="Titolo7">
    <w:name w:val="heading 7"/>
    <w:basedOn w:val="Normale"/>
    <w:next w:val="Normale"/>
    <w:link w:val="Titolo7Carattere"/>
    <w:qFormat/>
    <w:rsid w:val="00CB0CBF"/>
    <w:pPr>
      <w:keepNext/>
      <w:numPr>
        <w:ilvl w:val="6"/>
        <w:numId w:val="25"/>
      </w:numPr>
      <w:tabs>
        <w:tab w:val="left" w:pos="3402"/>
      </w:tabs>
      <w:suppressAutoHyphens/>
      <w:ind w:right="6236"/>
      <w:jc w:val="center"/>
      <w:outlineLvl w:val="6"/>
    </w:pPr>
    <w:rPr>
      <w:rFonts w:ascii="Arial" w:hAnsi="Arial" w:cs="Arial"/>
      <w:b/>
      <w:i/>
      <w:sz w:val="20"/>
      <w:szCs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A3B75"/>
    <w:pPr>
      <w:ind w:left="720"/>
      <w:contextualSpacing/>
    </w:pPr>
  </w:style>
  <w:style w:type="paragraph" w:styleId="Testofumetto">
    <w:name w:val="Balloon Text"/>
    <w:basedOn w:val="Normale"/>
    <w:link w:val="TestofumettoCarattere"/>
    <w:uiPriority w:val="99"/>
    <w:semiHidden/>
    <w:unhideWhenUsed/>
    <w:rsid w:val="001E2C4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E2C48"/>
    <w:rPr>
      <w:rFonts w:ascii="Segoe UI" w:eastAsia="Times New Roman" w:hAnsi="Segoe UI" w:cs="Segoe UI"/>
      <w:sz w:val="18"/>
      <w:szCs w:val="18"/>
      <w:lang w:eastAsia="it-IT"/>
    </w:rPr>
  </w:style>
  <w:style w:type="character" w:customStyle="1" w:styleId="Titolo3Carattere">
    <w:name w:val="Titolo 3 Carattere"/>
    <w:basedOn w:val="Carpredefinitoparagrafo"/>
    <w:link w:val="Titolo3"/>
    <w:rsid w:val="00CB0CBF"/>
    <w:rPr>
      <w:rFonts w:ascii="Times New Roman" w:eastAsia="Times New Roman" w:hAnsi="Times New Roman" w:cs="Times New Roman"/>
      <w:b/>
      <w:smallCaps/>
      <w:sz w:val="16"/>
      <w:szCs w:val="20"/>
      <w:lang w:eastAsia="ar-SA"/>
    </w:rPr>
  </w:style>
  <w:style w:type="character" w:customStyle="1" w:styleId="Titolo7Carattere">
    <w:name w:val="Titolo 7 Carattere"/>
    <w:basedOn w:val="Carpredefinitoparagrafo"/>
    <w:link w:val="Titolo7"/>
    <w:rsid w:val="00CB0CBF"/>
    <w:rPr>
      <w:rFonts w:ascii="Arial" w:eastAsia="Times New Roman" w:hAnsi="Arial" w:cs="Arial"/>
      <w:b/>
      <w:i/>
      <w:sz w:val="20"/>
      <w:szCs w:val="20"/>
      <w:lang w:eastAsia="ar-SA"/>
    </w:rPr>
  </w:style>
  <w:style w:type="paragraph" w:customStyle="1" w:styleId="Corpodeltesto21">
    <w:name w:val="Corpo del testo 21"/>
    <w:basedOn w:val="Normale"/>
    <w:rsid w:val="008E78EE"/>
    <w:pPr>
      <w:tabs>
        <w:tab w:val="left" w:pos="5670"/>
      </w:tabs>
      <w:suppressAutoHyphens/>
      <w:jc w:val="both"/>
    </w:pPr>
    <w:rPr>
      <w:szCs w:val="20"/>
      <w:lang w:eastAsia="ar-SA"/>
    </w:rPr>
  </w:style>
  <w:style w:type="paragraph" w:styleId="Nessunaspaziatura">
    <w:name w:val="No Spacing"/>
    <w:uiPriority w:val="1"/>
    <w:qFormat/>
    <w:rsid w:val="0043640B"/>
    <w:pPr>
      <w:widowControl w:val="0"/>
      <w:suppressAutoHyphens/>
      <w:spacing w:after="0" w:line="240" w:lineRule="auto"/>
    </w:pPr>
    <w:rPr>
      <w:rFonts w:ascii="Liberation Serif" w:eastAsia="SimSun" w:hAnsi="Liberation Serif" w:cs="Mangal"/>
      <w:kern w:val="1"/>
      <w:sz w:val="24"/>
      <w:szCs w:val="21"/>
      <w:lang w:eastAsia="zh-CN" w:bidi="hi-IN"/>
    </w:rPr>
  </w:style>
  <w:style w:type="paragraph" w:styleId="Intestazione">
    <w:name w:val="header"/>
    <w:basedOn w:val="Normale"/>
    <w:link w:val="IntestazioneCarattere"/>
    <w:uiPriority w:val="99"/>
    <w:unhideWhenUsed/>
    <w:rsid w:val="00586D9C"/>
    <w:pPr>
      <w:tabs>
        <w:tab w:val="center" w:pos="4819"/>
        <w:tab w:val="right" w:pos="9638"/>
      </w:tabs>
    </w:pPr>
  </w:style>
  <w:style w:type="character" w:customStyle="1" w:styleId="IntestazioneCarattere">
    <w:name w:val="Intestazione Carattere"/>
    <w:basedOn w:val="Carpredefinitoparagrafo"/>
    <w:link w:val="Intestazione"/>
    <w:uiPriority w:val="99"/>
    <w:qFormat/>
    <w:rsid w:val="00586D9C"/>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586D9C"/>
    <w:pPr>
      <w:tabs>
        <w:tab w:val="center" w:pos="4819"/>
        <w:tab w:val="right" w:pos="9638"/>
      </w:tabs>
    </w:pPr>
  </w:style>
  <w:style w:type="character" w:customStyle="1" w:styleId="PidipaginaCarattere">
    <w:name w:val="Piè di pagina Carattere"/>
    <w:basedOn w:val="Carpredefinitoparagrafo"/>
    <w:link w:val="Pidipagina"/>
    <w:uiPriority w:val="99"/>
    <w:rsid w:val="00586D9C"/>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48246">
      <w:bodyDiv w:val="1"/>
      <w:marLeft w:val="0"/>
      <w:marRight w:val="0"/>
      <w:marTop w:val="0"/>
      <w:marBottom w:val="0"/>
      <w:divBdr>
        <w:top w:val="none" w:sz="0" w:space="0" w:color="auto"/>
        <w:left w:val="none" w:sz="0" w:space="0" w:color="auto"/>
        <w:bottom w:val="none" w:sz="0" w:space="0" w:color="auto"/>
        <w:right w:val="none" w:sz="0" w:space="0" w:color="auto"/>
      </w:divBdr>
    </w:div>
    <w:div w:id="536940414">
      <w:bodyDiv w:val="1"/>
      <w:marLeft w:val="0"/>
      <w:marRight w:val="0"/>
      <w:marTop w:val="0"/>
      <w:marBottom w:val="0"/>
      <w:divBdr>
        <w:top w:val="none" w:sz="0" w:space="0" w:color="auto"/>
        <w:left w:val="none" w:sz="0" w:space="0" w:color="auto"/>
        <w:bottom w:val="none" w:sz="0" w:space="0" w:color="auto"/>
        <w:right w:val="none" w:sz="0" w:space="0" w:color="auto"/>
      </w:divBdr>
    </w:div>
    <w:div w:id="868177530">
      <w:bodyDiv w:val="1"/>
      <w:marLeft w:val="0"/>
      <w:marRight w:val="0"/>
      <w:marTop w:val="0"/>
      <w:marBottom w:val="0"/>
      <w:divBdr>
        <w:top w:val="none" w:sz="0" w:space="0" w:color="auto"/>
        <w:left w:val="none" w:sz="0" w:space="0" w:color="auto"/>
        <w:bottom w:val="none" w:sz="0" w:space="0" w:color="auto"/>
        <w:right w:val="none" w:sz="0" w:space="0" w:color="auto"/>
      </w:divBdr>
      <w:divsChild>
        <w:div w:id="786436376">
          <w:marLeft w:val="0"/>
          <w:marRight w:val="0"/>
          <w:marTop w:val="0"/>
          <w:marBottom w:val="0"/>
          <w:divBdr>
            <w:top w:val="none" w:sz="0" w:space="0" w:color="auto"/>
            <w:left w:val="none" w:sz="0" w:space="0" w:color="auto"/>
            <w:bottom w:val="none" w:sz="0" w:space="0" w:color="auto"/>
            <w:right w:val="none" w:sz="0" w:space="0" w:color="auto"/>
          </w:divBdr>
          <w:divsChild>
            <w:div w:id="1852253728">
              <w:marLeft w:val="0"/>
              <w:marRight w:val="0"/>
              <w:marTop w:val="0"/>
              <w:marBottom w:val="0"/>
              <w:divBdr>
                <w:top w:val="none" w:sz="0" w:space="0" w:color="auto"/>
                <w:left w:val="none" w:sz="0" w:space="0" w:color="auto"/>
                <w:bottom w:val="none" w:sz="0" w:space="0" w:color="auto"/>
                <w:right w:val="none" w:sz="0" w:space="0" w:color="auto"/>
              </w:divBdr>
            </w:div>
          </w:divsChild>
        </w:div>
        <w:div w:id="1537427281">
          <w:marLeft w:val="0"/>
          <w:marRight w:val="0"/>
          <w:marTop w:val="0"/>
          <w:marBottom w:val="0"/>
          <w:divBdr>
            <w:top w:val="none" w:sz="0" w:space="0" w:color="auto"/>
            <w:left w:val="none" w:sz="0" w:space="0" w:color="auto"/>
            <w:bottom w:val="none" w:sz="0" w:space="0" w:color="auto"/>
            <w:right w:val="none" w:sz="0" w:space="0" w:color="auto"/>
          </w:divBdr>
        </w:div>
        <w:div w:id="422074213">
          <w:marLeft w:val="0"/>
          <w:marRight w:val="0"/>
          <w:marTop w:val="0"/>
          <w:marBottom w:val="0"/>
          <w:divBdr>
            <w:top w:val="none" w:sz="0" w:space="0" w:color="auto"/>
            <w:left w:val="none" w:sz="0" w:space="0" w:color="auto"/>
            <w:bottom w:val="none" w:sz="0" w:space="0" w:color="auto"/>
            <w:right w:val="none" w:sz="0" w:space="0" w:color="auto"/>
          </w:divBdr>
        </w:div>
        <w:div w:id="1734307310">
          <w:marLeft w:val="0"/>
          <w:marRight w:val="0"/>
          <w:marTop w:val="0"/>
          <w:marBottom w:val="0"/>
          <w:divBdr>
            <w:top w:val="none" w:sz="0" w:space="0" w:color="auto"/>
            <w:left w:val="none" w:sz="0" w:space="0" w:color="auto"/>
            <w:bottom w:val="none" w:sz="0" w:space="0" w:color="auto"/>
            <w:right w:val="none" w:sz="0" w:space="0" w:color="auto"/>
          </w:divBdr>
        </w:div>
        <w:div w:id="1784612802">
          <w:marLeft w:val="0"/>
          <w:marRight w:val="0"/>
          <w:marTop w:val="0"/>
          <w:marBottom w:val="0"/>
          <w:divBdr>
            <w:top w:val="none" w:sz="0" w:space="0" w:color="auto"/>
            <w:left w:val="none" w:sz="0" w:space="0" w:color="auto"/>
            <w:bottom w:val="none" w:sz="0" w:space="0" w:color="auto"/>
            <w:right w:val="none" w:sz="0" w:space="0" w:color="auto"/>
          </w:divBdr>
        </w:div>
        <w:div w:id="731470443">
          <w:marLeft w:val="0"/>
          <w:marRight w:val="0"/>
          <w:marTop w:val="0"/>
          <w:marBottom w:val="0"/>
          <w:divBdr>
            <w:top w:val="none" w:sz="0" w:space="0" w:color="auto"/>
            <w:left w:val="none" w:sz="0" w:space="0" w:color="auto"/>
            <w:bottom w:val="none" w:sz="0" w:space="0" w:color="auto"/>
            <w:right w:val="none" w:sz="0" w:space="0" w:color="auto"/>
          </w:divBdr>
        </w:div>
        <w:div w:id="1279022782">
          <w:marLeft w:val="0"/>
          <w:marRight w:val="0"/>
          <w:marTop w:val="0"/>
          <w:marBottom w:val="0"/>
          <w:divBdr>
            <w:top w:val="none" w:sz="0" w:space="0" w:color="auto"/>
            <w:left w:val="none" w:sz="0" w:space="0" w:color="auto"/>
            <w:bottom w:val="none" w:sz="0" w:space="0" w:color="auto"/>
            <w:right w:val="none" w:sz="0" w:space="0" w:color="auto"/>
          </w:divBdr>
        </w:div>
        <w:div w:id="1171871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C46B4-DF65-4609-86B3-AEE1A8C7D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4161</TotalTime>
  <Pages>5</Pages>
  <Words>2080</Words>
  <Characters>11862</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Policlinico S.Orsola-Malpighi</Company>
  <LinksUpToDate>false</LinksUpToDate>
  <CharactersWithSpaces>13915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De Meis</dc:creator>
  <cp:keywords/>
  <dc:description/>
  <cp:lastModifiedBy>Giorgi Giuseppe</cp:lastModifiedBy>
  <cp:revision>408</cp:revision>
  <cp:lastPrinted>2022-12-06T16:17:00Z</cp:lastPrinted>
  <dcterms:created xsi:type="dcterms:W3CDTF">2019-03-22T11:26:00Z</dcterms:created>
  <dcterms:modified xsi:type="dcterms:W3CDTF">2025-12-23T09:26:00Z</dcterms:modified>
</cp:coreProperties>
</file>