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29B3F" w14:textId="77777777" w:rsidR="00784421" w:rsidRDefault="00505197" w:rsidP="008A125F">
      <w:pPr>
        <w:tabs>
          <w:tab w:val="left" w:pos="426"/>
          <w:tab w:val="left" w:pos="567"/>
        </w:tabs>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 xml:space="preserve">Allegato A - </w:t>
      </w:r>
      <w:r w:rsidR="00B3627C">
        <w:rPr>
          <w:rFonts w:asciiTheme="minorHAnsi" w:hAnsiTheme="minorHAnsi" w:cstheme="minorHAnsi"/>
          <w:b/>
          <w:bCs/>
          <w:sz w:val="22"/>
          <w:szCs w:val="22"/>
        </w:rPr>
        <w:t>Caratteristiche T</w:t>
      </w:r>
      <w:r w:rsidR="00784421">
        <w:rPr>
          <w:rFonts w:asciiTheme="minorHAnsi" w:hAnsiTheme="minorHAnsi" w:cstheme="minorHAnsi"/>
          <w:b/>
          <w:bCs/>
          <w:sz w:val="22"/>
          <w:szCs w:val="22"/>
        </w:rPr>
        <w:t>ecniche</w:t>
      </w:r>
    </w:p>
    <w:p w14:paraId="498AB107" w14:textId="77777777" w:rsidR="008A125F" w:rsidRDefault="008A125F" w:rsidP="008A125F">
      <w:pPr>
        <w:tabs>
          <w:tab w:val="left" w:pos="426"/>
          <w:tab w:val="left" w:pos="567"/>
        </w:tabs>
        <w:autoSpaceDE w:val="0"/>
        <w:autoSpaceDN w:val="0"/>
        <w:adjustRightInd w:val="0"/>
        <w:jc w:val="center"/>
        <w:rPr>
          <w:rFonts w:asciiTheme="minorHAnsi" w:hAnsiTheme="minorHAnsi" w:cstheme="minorHAnsi"/>
          <w:b/>
          <w:bCs/>
          <w:sz w:val="22"/>
          <w:szCs w:val="22"/>
        </w:rPr>
      </w:pPr>
    </w:p>
    <w:p w14:paraId="68B63E05" w14:textId="77777777" w:rsidR="00BB6E60" w:rsidRPr="006E407B" w:rsidRDefault="002408DE" w:rsidP="00296449">
      <w:pPr>
        <w:tabs>
          <w:tab w:val="left" w:pos="426"/>
          <w:tab w:val="left" w:pos="567"/>
        </w:tabs>
        <w:autoSpaceDE w:val="0"/>
        <w:autoSpaceDN w:val="0"/>
        <w:adjustRightInd w:val="0"/>
        <w:spacing w:line="360" w:lineRule="auto"/>
        <w:jc w:val="both"/>
        <w:rPr>
          <w:rFonts w:asciiTheme="minorHAnsi" w:hAnsiTheme="minorHAnsi" w:cstheme="minorHAnsi"/>
          <w:b/>
          <w:bCs/>
          <w:color w:val="FF0000"/>
          <w:sz w:val="20"/>
          <w:szCs w:val="20"/>
        </w:rPr>
      </w:pPr>
      <w:r w:rsidRPr="006E407B">
        <w:rPr>
          <w:rFonts w:asciiTheme="minorHAnsi" w:hAnsiTheme="minorHAnsi" w:cstheme="minorHAnsi"/>
          <w:b/>
          <w:bCs/>
          <w:sz w:val="22"/>
          <w:szCs w:val="22"/>
        </w:rPr>
        <w:t xml:space="preserve"> </w:t>
      </w:r>
      <w:r w:rsidR="003B1309" w:rsidRPr="006E407B">
        <w:rPr>
          <w:rFonts w:asciiTheme="minorHAnsi" w:hAnsiTheme="minorHAnsi" w:cstheme="minorHAnsi"/>
          <w:b/>
          <w:bCs/>
          <w:sz w:val="20"/>
          <w:szCs w:val="20"/>
        </w:rPr>
        <w:t xml:space="preserve">LOTTO </w:t>
      </w:r>
      <w:r w:rsidR="00671DFB">
        <w:rPr>
          <w:rFonts w:asciiTheme="minorHAnsi" w:hAnsiTheme="minorHAnsi" w:cstheme="minorHAnsi"/>
          <w:b/>
          <w:bCs/>
          <w:sz w:val="20"/>
          <w:szCs w:val="20"/>
        </w:rPr>
        <w:t>2</w:t>
      </w:r>
      <w:r w:rsidR="003B1309" w:rsidRPr="006E407B">
        <w:rPr>
          <w:rFonts w:asciiTheme="minorHAnsi" w:hAnsiTheme="minorHAnsi" w:cstheme="minorHAnsi"/>
          <w:b/>
          <w:bCs/>
          <w:sz w:val="20"/>
          <w:szCs w:val="20"/>
        </w:rPr>
        <w:t xml:space="preserve"> </w:t>
      </w:r>
      <w:proofErr w:type="gramStart"/>
      <w:r w:rsidR="003B1309" w:rsidRPr="006E407B">
        <w:rPr>
          <w:rFonts w:asciiTheme="minorHAnsi" w:hAnsiTheme="minorHAnsi" w:cstheme="minorHAnsi"/>
          <w:b/>
          <w:bCs/>
          <w:sz w:val="20"/>
          <w:szCs w:val="20"/>
        </w:rPr>
        <w:t xml:space="preserve">– </w:t>
      </w:r>
      <w:r w:rsidR="00296449" w:rsidRPr="006E407B">
        <w:rPr>
          <w:rFonts w:asciiTheme="minorHAnsi" w:hAnsiTheme="minorHAnsi" w:cstheme="minorHAnsi"/>
          <w:b/>
          <w:bCs/>
          <w:sz w:val="20"/>
          <w:szCs w:val="20"/>
        </w:rPr>
        <w:t xml:space="preserve"> </w:t>
      </w:r>
      <w:r w:rsidR="00330C56">
        <w:rPr>
          <w:rFonts w:asciiTheme="minorHAnsi" w:hAnsiTheme="minorHAnsi" w:cstheme="minorHAnsi"/>
          <w:b/>
          <w:bCs/>
          <w:sz w:val="20"/>
          <w:szCs w:val="20"/>
        </w:rPr>
        <w:t>CICLOERGOMETR</w:t>
      </w:r>
      <w:r w:rsidR="00E562A8">
        <w:rPr>
          <w:rFonts w:asciiTheme="minorHAnsi" w:hAnsiTheme="minorHAnsi" w:cstheme="minorHAnsi"/>
          <w:b/>
          <w:bCs/>
          <w:sz w:val="20"/>
          <w:szCs w:val="20"/>
        </w:rPr>
        <w:t>I</w:t>
      </w:r>
      <w:proofErr w:type="gramEnd"/>
    </w:p>
    <w:p w14:paraId="327635E9" w14:textId="77777777" w:rsidR="003B1309" w:rsidRPr="00CA30A8" w:rsidRDefault="003B1309" w:rsidP="003B1309">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CA30A8">
        <w:rPr>
          <w:rFonts w:asciiTheme="minorHAnsi" w:hAnsiTheme="minorHAnsi" w:cstheme="minorHAnsi"/>
          <w:b/>
          <w:bCs/>
          <w:i/>
          <w:sz w:val="20"/>
          <w:szCs w:val="20"/>
        </w:rPr>
        <w:t>DESCRIZIONE DELLA FORNITURA E DESTINAZIONE D’USO</w:t>
      </w:r>
    </w:p>
    <w:p w14:paraId="7BFEFB4A" w14:textId="77777777" w:rsidR="003B1309" w:rsidRPr="00296449" w:rsidRDefault="00330C56" w:rsidP="003B1309">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Pr>
          <w:rFonts w:asciiTheme="minorHAnsi" w:hAnsiTheme="minorHAnsi" w:cstheme="minorHAnsi"/>
          <w:bCs/>
          <w:sz w:val="20"/>
          <w:szCs w:val="20"/>
        </w:rPr>
        <w:t>Cicloergometro per</w:t>
      </w:r>
      <w:r w:rsidR="008015A0">
        <w:rPr>
          <w:rFonts w:asciiTheme="minorHAnsi" w:hAnsiTheme="minorHAnsi" w:cstheme="minorHAnsi"/>
          <w:bCs/>
          <w:sz w:val="20"/>
          <w:szCs w:val="20"/>
        </w:rPr>
        <w:t xml:space="preserve"> allenamento</w:t>
      </w:r>
      <w:r>
        <w:rPr>
          <w:rFonts w:asciiTheme="minorHAnsi" w:hAnsiTheme="minorHAnsi" w:cstheme="minorHAnsi"/>
          <w:bCs/>
          <w:sz w:val="20"/>
          <w:szCs w:val="20"/>
        </w:rPr>
        <w:t xml:space="preserve"> arti superiori</w:t>
      </w:r>
      <w:r w:rsidR="008E78EE">
        <w:rPr>
          <w:rFonts w:asciiTheme="minorHAnsi" w:hAnsiTheme="minorHAnsi" w:cstheme="minorHAnsi"/>
          <w:bCs/>
          <w:sz w:val="20"/>
          <w:szCs w:val="20"/>
        </w:rPr>
        <w:t xml:space="preserve"> </w:t>
      </w:r>
      <w:r w:rsidR="00E562A8">
        <w:rPr>
          <w:rFonts w:asciiTheme="minorHAnsi" w:hAnsiTheme="minorHAnsi" w:cstheme="minorHAnsi"/>
          <w:bCs/>
          <w:sz w:val="20"/>
          <w:szCs w:val="20"/>
        </w:rPr>
        <w:t xml:space="preserve">e inferiori </w:t>
      </w:r>
      <w:r w:rsidR="008015A0">
        <w:rPr>
          <w:rFonts w:asciiTheme="minorHAnsi" w:hAnsiTheme="minorHAnsi" w:cstheme="minorHAnsi"/>
          <w:bCs/>
          <w:sz w:val="20"/>
          <w:szCs w:val="20"/>
        </w:rPr>
        <w:t xml:space="preserve">in modalità attiva, passiva e assistita </w:t>
      </w:r>
      <w:r w:rsidR="003B1309">
        <w:rPr>
          <w:rFonts w:asciiTheme="minorHAnsi" w:hAnsiTheme="minorHAnsi" w:cstheme="minorHAnsi"/>
          <w:bCs/>
          <w:sz w:val="20"/>
          <w:szCs w:val="20"/>
        </w:rPr>
        <w:t xml:space="preserve">da </w:t>
      </w:r>
      <w:r w:rsidR="0012428B">
        <w:rPr>
          <w:rFonts w:asciiTheme="minorHAnsi" w:hAnsiTheme="minorHAnsi" w:cstheme="minorHAnsi"/>
          <w:bCs/>
          <w:sz w:val="20"/>
          <w:szCs w:val="20"/>
        </w:rPr>
        <w:t>collocare</w:t>
      </w:r>
      <w:r w:rsidR="003B1309">
        <w:rPr>
          <w:rFonts w:asciiTheme="minorHAnsi" w:hAnsiTheme="minorHAnsi" w:cstheme="minorHAnsi"/>
          <w:bCs/>
          <w:sz w:val="20"/>
          <w:szCs w:val="20"/>
        </w:rPr>
        <w:t xml:space="preserve"> presso gli ambulatori </w:t>
      </w:r>
      <w:r w:rsidR="00296449">
        <w:rPr>
          <w:rFonts w:asciiTheme="minorHAnsi" w:hAnsiTheme="minorHAnsi" w:cstheme="minorHAnsi"/>
          <w:bCs/>
          <w:sz w:val="20"/>
          <w:szCs w:val="20"/>
        </w:rPr>
        <w:t xml:space="preserve">di </w:t>
      </w:r>
      <w:r w:rsidR="001C0143">
        <w:rPr>
          <w:rFonts w:asciiTheme="minorHAnsi" w:hAnsiTheme="minorHAnsi" w:cstheme="minorHAnsi"/>
          <w:bCs/>
          <w:sz w:val="20"/>
          <w:szCs w:val="20"/>
        </w:rPr>
        <w:t>riabilitazione</w:t>
      </w:r>
      <w:r w:rsidR="00296449">
        <w:rPr>
          <w:rFonts w:asciiTheme="minorHAnsi" w:hAnsiTheme="minorHAnsi" w:cstheme="minorHAnsi"/>
          <w:bCs/>
          <w:sz w:val="20"/>
          <w:szCs w:val="20"/>
        </w:rPr>
        <w:t xml:space="preserve"> dei vari presidi</w:t>
      </w:r>
      <w:r w:rsidR="003B1309">
        <w:rPr>
          <w:rFonts w:asciiTheme="minorHAnsi" w:hAnsiTheme="minorHAnsi" w:cstheme="minorHAnsi"/>
          <w:bCs/>
          <w:sz w:val="20"/>
          <w:szCs w:val="20"/>
        </w:rPr>
        <w:t xml:space="preserve"> dell’Azienda </w:t>
      </w:r>
      <w:r w:rsidR="002408DE">
        <w:rPr>
          <w:rFonts w:asciiTheme="minorHAnsi" w:hAnsiTheme="minorHAnsi" w:cstheme="minorHAnsi"/>
          <w:bCs/>
          <w:sz w:val="20"/>
          <w:szCs w:val="20"/>
        </w:rPr>
        <w:t>USL di Bologna</w:t>
      </w:r>
      <w:r w:rsidR="009E21B9">
        <w:rPr>
          <w:rFonts w:asciiTheme="minorHAnsi" w:hAnsiTheme="minorHAnsi" w:cstheme="minorHAnsi"/>
          <w:bCs/>
          <w:sz w:val="20"/>
          <w:szCs w:val="20"/>
        </w:rPr>
        <w:t>.</w:t>
      </w:r>
    </w:p>
    <w:p w14:paraId="7FFB494E" w14:textId="77777777" w:rsidR="003B1309" w:rsidRPr="000F4421" w:rsidRDefault="003B1309" w:rsidP="003B1309">
      <w:pPr>
        <w:tabs>
          <w:tab w:val="left" w:pos="426"/>
          <w:tab w:val="left" w:pos="567"/>
        </w:tabs>
        <w:autoSpaceDE w:val="0"/>
        <w:autoSpaceDN w:val="0"/>
        <w:adjustRightInd w:val="0"/>
        <w:spacing w:line="360" w:lineRule="auto"/>
        <w:jc w:val="both"/>
        <w:rPr>
          <w:rFonts w:asciiTheme="minorHAnsi" w:hAnsiTheme="minorHAnsi" w:cstheme="minorHAnsi"/>
          <w:bCs/>
          <w:color w:val="FF0000"/>
          <w:sz w:val="20"/>
          <w:szCs w:val="20"/>
        </w:rPr>
      </w:pPr>
    </w:p>
    <w:p w14:paraId="66382640" w14:textId="77777777" w:rsidR="00E80A15" w:rsidRPr="007F1ED9" w:rsidRDefault="00E80A15" w:rsidP="006E017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7F1ED9">
        <w:rPr>
          <w:rFonts w:asciiTheme="minorHAnsi" w:hAnsiTheme="minorHAnsi" w:cstheme="minorHAnsi"/>
          <w:b/>
          <w:bCs/>
          <w:i/>
          <w:sz w:val="20"/>
          <w:szCs w:val="20"/>
        </w:rPr>
        <w:t xml:space="preserve">CARATTERISTICHE TECNICHE DI MINIMA </w:t>
      </w:r>
    </w:p>
    <w:p w14:paraId="13205B44" w14:textId="77777777" w:rsidR="00671DFB" w:rsidRPr="00E562A8" w:rsidRDefault="00671DFB" w:rsidP="00E562A8">
      <w:pPr>
        <w:spacing w:after="160" w:line="259" w:lineRule="auto"/>
        <w:contextualSpacing/>
        <w:jc w:val="both"/>
        <w:rPr>
          <w:rFonts w:asciiTheme="minorHAnsi" w:eastAsiaTheme="minorHAnsi" w:hAnsiTheme="minorHAnsi" w:cstheme="minorBidi"/>
          <w:b/>
          <w:sz w:val="22"/>
          <w:szCs w:val="22"/>
        </w:rPr>
      </w:pPr>
      <w:bookmarkStart w:id="0" w:name="OLE_LINK1"/>
      <w:r w:rsidRPr="00E562A8">
        <w:rPr>
          <w:rFonts w:asciiTheme="minorHAnsi" w:eastAsiaTheme="minorHAnsi" w:hAnsiTheme="minorHAnsi" w:cstheme="minorBidi"/>
          <w:b/>
          <w:sz w:val="22"/>
          <w:szCs w:val="22"/>
        </w:rPr>
        <w:t xml:space="preserve">Cicloergometro per </w:t>
      </w:r>
      <w:r w:rsidR="00E562A8" w:rsidRPr="00E562A8">
        <w:rPr>
          <w:rFonts w:asciiTheme="minorHAnsi" w:eastAsiaTheme="minorHAnsi" w:hAnsiTheme="minorHAnsi" w:cstheme="minorBidi"/>
          <w:b/>
          <w:sz w:val="22"/>
          <w:szCs w:val="22"/>
          <w:u w:val="single"/>
        </w:rPr>
        <w:t xml:space="preserve">soli </w:t>
      </w:r>
      <w:r w:rsidRPr="00E562A8">
        <w:rPr>
          <w:rFonts w:asciiTheme="minorHAnsi" w:eastAsiaTheme="minorHAnsi" w:hAnsiTheme="minorHAnsi" w:cstheme="minorBidi"/>
          <w:b/>
          <w:sz w:val="22"/>
          <w:szCs w:val="22"/>
          <w:u w:val="single"/>
        </w:rPr>
        <w:t>arti superiori;</w:t>
      </w:r>
    </w:p>
    <w:p w14:paraId="5B59F666" w14:textId="77777777" w:rsidR="00671DFB" w:rsidRPr="00671DFB" w:rsidRDefault="003A084B"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671DFB">
        <w:rPr>
          <w:rFonts w:asciiTheme="minorHAnsi" w:eastAsiaTheme="minorHAnsi" w:hAnsiTheme="minorHAnsi" w:cstheme="minorBidi"/>
          <w:sz w:val="22"/>
          <w:szCs w:val="22"/>
        </w:rPr>
        <w:t>Struttura robusta</w:t>
      </w:r>
      <w:r w:rsidR="008015A0" w:rsidRPr="00671DFB">
        <w:rPr>
          <w:rFonts w:asciiTheme="minorHAnsi" w:eastAsiaTheme="minorHAnsi" w:hAnsiTheme="minorHAnsi" w:cstheme="minorBidi"/>
          <w:sz w:val="22"/>
          <w:szCs w:val="22"/>
        </w:rPr>
        <w:t xml:space="preserve"> e regolabile in altezza</w:t>
      </w:r>
      <w:r w:rsidR="003C7908" w:rsidRPr="00671DFB">
        <w:rPr>
          <w:rFonts w:asciiTheme="minorHAnsi" w:eastAsiaTheme="minorHAnsi" w:hAnsiTheme="minorHAnsi" w:cstheme="minorBidi"/>
          <w:sz w:val="22"/>
          <w:szCs w:val="22"/>
        </w:rPr>
        <w:t>;</w:t>
      </w:r>
    </w:p>
    <w:p w14:paraId="254E97D3" w14:textId="77777777" w:rsidR="008015A0" w:rsidRDefault="008015A0"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Dotato di maniglia e ruote integrate per facilitarne lo spostamento</w:t>
      </w:r>
      <w:r w:rsidR="003C7908">
        <w:rPr>
          <w:rFonts w:asciiTheme="minorHAnsi" w:eastAsiaTheme="minorHAnsi" w:hAnsiTheme="minorHAnsi" w:cstheme="minorBidi"/>
          <w:sz w:val="22"/>
          <w:szCs w:val="22"/>
        </w:rPr>
        <w:t>;</w:t>
      </w:r>
    </w:p>
    <w:p w14:paraId="53233B4A" w14:textId="77777777" w:rsidR="003A084B" w:rsidRPr="003A084B" w:rsidRDefault="003A084B"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Idonea all’utilizzo anche con pazienti obesi. Peso garantito del paziente almeno 135 kg. Statura del paziente garantita comp</w:t>
      </w:r>
      <w:r w:rsidR="008015A0">
        <w:rPr>
          <w:rFonts w:asciiTheme="minorHAnsi" w:eastAsiaTheme="minorHAnsi" w:hAnsiTheme="minorHAnsi" w:cstheme="minorBidi"/>
          <w:sz w:val="22"/>
          <w:szCs w:val="22"/>
        </w:rPr>
        <w:t>resa almeno tra 140 cm e 200 cm</w:t>
      </w:r>
      <w:r w:rsidR="003C7908">
        <w:rPr>
          <w:rFonts w:asciiTheme="minorHAnsi" w:eastAsiaTheme="minorHAnsi" w:hAnsiTheme="minorHAnsi" w:cstheme="minorBidi"/>
          <w:sz w:val="22"/>
          <w:szCs w:val="22"/>
        </w:rPr>
        <w:t>;</w:t>
      </w:r>
    </w:p>
    <w:p w14:paraId="09A66439" w14:textId="77777777" w:rsidR="003A084B" w:rsidRPr="008015A0" w:rsidRDefault="008015A0"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8015A0">
        <w:rPr>
          <w:rFonts w:asciiTheme="minorHAnsi" w:eastAsiaTheme="minorHAnsi" w:hAnsiTheme="minorHAnsi" w:cstheme="minorBidi"/>
          <w:sz w:val="22"/>
          <w:szCs w:val="22"/>
        </w:rPr>
        <w:t>Display da</w:t>
      </w:r>
      <w:r w:rsidR="003A084B" w:rsidRPr="008015A0">
        <w:rPr>
          <w:rFonts w:asciiTheme="minorHAnsi" w:eastAsiaTheme="minorHAnsi" w:hAnsiTheme="minorHAnsi" w:cstheme="minorBidi"/>
          <w:sz w:val="22"/>
          <w:szCs w:val="22"/>
        </w:rPr>
        <w:t xml:space="preserve"> </w:t>
      </w:r>
      <w:r w:rsidR="00664616">
        <w:rPr>
          <w:rFonts w:asciiTheme="minorHAnsi" w:eastAsiaTheme="minorHAnsi" w:hAnsiTheme="minorHAnsi" w:cstheme="minorBidi"/>
          <w:sz w:val="22"/>
          <w:szCs w:val="22"/>
        </w:rPr>
        <w:t xml:space="preserve">circa </w:t>
      </w:r>
      <w:r w:rsidR="003A084B" w:rsidRPr="008015A0">
        <w:rPr>
          <w:rFonts w:asciiTheme="minorHAnsi" w:eastAsiaTheme="minorHAnsi" w:hAnsiTheme="minorHAnsi" w:cstheme="minorBidi"/>
          <w:sz w:val="22"/>
          <w:szCs w:val="22"/>
        </w:rPr>
        <w:t>7” per visualizzazio</w:t>
      </w:r>
      <w:r>
        <w:rPr>
          <w:rFonts w:asciiTheme="minorHAnsi" w:eastAsiaTheme="minorHAnsi" w:hAnsiTheme="minorHAnsi" w:cstheme="minorBidi"/>
          <w:sz w:val="22"/>
          <w:szCs w:val="22"/>
        </w:rPr>
        <w:t>ne e impostazione dei parametri</w:t>
      </w:r>
      <w:r w:rsidR="003C7908">
        <w:rPr>
          <w:rFonts w:asciiTheme="minorHAnsi" w:eastAsiaTheme="minorHAnsi" w:hAnsiTheme="minorHAnsi" w:cstheme="minorBidi"/>
          <w:sz w:val="22"/>
          <w:szCs w:val="22"/>
        </w:rPr>
        <w:t>;</w:t>
      </w:r>
    </w:p>
    <w:p w14:paraId="4F5F861E" w14:textId="77777777" w:rsidR="003A084B" w:rsidRPr="003A084B" w:rsidRDefault="003A084B"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Impostazione dei seguenti parametri: incremento numero di giri in modalità passiva, incremento della resistenza in modali</w:t>
      </w:r>
      <w:r w:rsidR="008015A0">
        <w:rPr>
          <w:rFonts w:asciiTheme="minorHAnsi" w:eastAsiaTheme="minorHAnsi" w:hAnsiTheme="minorHAnsi" w:cstheme="minorBidi"/>
          <w:sz w:val="22"/>
          <w:szCs w:val="22"/>
        </w:rPr>
        <w:t>tà attiva, inversione di marcia</w:t>
      </w:r>
      <w:r w:rsidR="003C7908">
        <w:rPr>
          <w:rFonts w:asciiTheme="minorHAnsi" w:eastAsiaTheme="minorHAnsi" w:hAnsiTheme="minorHAnsi" w:cstheme="minorBidi"/>
          <w:sz w:val="22"/>
          <w:szCs w:val="22"/>
        </w:rPr>
        <w:t>;</w:t>
      </w:r>
    </w:p>
    <w:p w14:paraId="1EA91B92" w14:textId="77777777" w:rsidR="003A084B" w:rsidRPr="003A084B" w:rsidRDefault="003A084B"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 xml:space="preserve">Velocità </w:t>
      </w:r>
      <w:r w:rsidR="008015A0">
        <w:rPr>
          <w:rFonts w:asciiTheme="minorHAnsi" w:eastAsiaTheme="minorHAnsi" w:hAnsiTheme="minorHAnsi" w:cstheme="minorBidi"/>
          <w:sz w:val="22"/>
          <w:szCs w:val="22"/>
        </w:rPr>
        <w:t>massima</w:t>
      </w:r>
      <w:r w:rsidRPr="003A084B">
        <w:rPr>
          <w:rFonts w:asciiTheme="minorHAnsi" w:eastAsiaTheme="minorHAnsi" w:hAnsiTheme="minorHAnsi" w:cstheme="minorBidi"/>
          <w:sz w:val="22"/>
          <w:szCs w:val="22"/>
        </w:rPr>
        <w:t xml:space="preserve"> fino a </w:t>
      </w:r>
      <w:r w:rsidR="008015A0">
        <w:rPr>
          <w:rFonts w:asciiTheme="minorHAnsi" w:eastAsiaTheme="minorHAnsi" w:hAnsiTheme="minorHAnsi" w:cstheme="minorBidi"/>
          <w:sz w:val="22"/>
          <w:szCs w:val="22"/>
        </w:rPr>
        <w:t>60 giri al minuto</w:t>
      </w:r>
      <w:r w:rsidR="003C7908">
        <w:rPr>
          <w:rFonts w:asciiTheme="minorHAnsi" w:eastAsiaTheme="minorHAnsi" w:hAnsiTheme="minorHAnsi" w:cstheme="minorBidi"/>
          <w:sz w:val="22"/>
          <w:szCs w:val="22"/>
        </w:rPr>
        <w:t>;</w:t>
      </w:r>
    </w:p>
    <w:p w14:paraId="58936E61" w14:textId="77777777" w:rsidR="003A084B" w:rsidRPr="003A084B" w:rsidRDefault="003A084B"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Disponibilità di protocolli liberi e impostabili</w:t>
      </w:r>
      <w:r w:rsidR="008015A0">
        <w:rPr>
          <w:rFonts w:asciiTheme="minorHAnsi" w:eastAsiaTheme="minorHAnsi" w:hAnsiTheme="minorHAnsi" w:cstheme="minorBidi"/>
          <w:sz w:val="22"/>
          <w:szCs w:val="22"/>
        </w:rPr>
        <w:t xml:space="preserve"> e di protocolli preconfigurati</w:t>
      </w:r>
      <w:r w:rsidR="003C7908">
        <w:rPr>
          <w:rFonts w:asciiTheme="minorHAnsi" w:eastAsiaTheme="minorHAnsi" w:hAnsiTheme="minorHAnsi" w:cstheme="minorBidi"/>
          <w:sz w:val="22"/>
          <w:szCs w:val="22"/>
        </w:rPr>
        <w:t>;</w:t>
      </w:r>
    </w:p>
    <w:p w14:paraId="2AFE5DE0" w14:textId="77777777" w:rsidR="003A084B" w:rsidRPr="003A084B" w:rsidRDefault="008015A0" w:rsidP="003A084B">
      <w:pPr>
        <w:numPr>
          <w:ilvl w:val="0"/>
          <w:numId w:val="23"/>
        </w:numPr>
        <w:spacing w:after="160" w:line="259" w:lineRule="auto"/>
        <w:ind w:left="426"/>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Completo dei seguenti accessori:</w:t>
      </w:r>
    </w:p>
    <w:p w14:paraId="7B641DA8" w14:textId="77777777" w:rsidR="003A084B" w:rsidRPr="003A084B" w:rsidRDefault="008015A0" w:rsidP="003A084B">
      <w:pPr>
        <w:numPr>
          <w:ilvl w:val="1"/>
          <w:numId w:val="23"/>
        </w:numPr>
        <w:spacing w:after="160" w:line="259" w:lineRule="auto"/>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manicotti contenimento mani</w:t>
      </w:r>
    </w:p>
    <w:p w14:paraId="4AD2BA94" w14:textId="77777777" w:rsidR="003A084B" w:rsidRDefault="003A084B" w:rsidP="003A084B">
      <w:pPr>
        <w:numPr>
          <w:ilvl w:val="1"/>
          <w:numId w:val="23"/>
        </w:numPr>
        <w:spacing w:after="160" w:line="259" w:lineRule="auto"/>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regolazione del raggio</w:t>
      </w:r>
    </w:p>
    <w:p w14:paraId="114CA60C" w14:textId="77777777" w:rsidR="008015A0" w:rsidRDefault="008015A0" w:rsidP="003A084B">
      <w:pPr>
        <w:numPr>
          <w:ilvl w:val="1"/>
          <w:numId w:val="23"/>
        </w:numPr>
        <w:spacing w:after="160" w:line="259" w:lineRule="auto"/>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pulsante stop di emergenza</w:t>
      </w:r>
    </w:p>
    <w:p w14:paraId="448ACB83" w14:textId="77777777" w:rsidR="00E562A8" w:rsidRDefault="00E562A8" w:rsidP="00E562A8">
      <w:pPr>
        <w:spacing w:after="160" w:line="259" w:lineRule="auto"/>
        <w:contextualSpacing/>
        <w:jc w:val="both"/>
        <w:rPr>
          <w:rFonts w:asciiTheme="minorHAnsi" w:eastAsiaTheme="minorHAnsi" w:hAnsiTheme="minorHAnsi" w:cstheme="minorBidi"/>
          <w:sz w:val="22"/>
          <w:szCs w:val="22"/>
        </w:rPr>
      </w:pPr>
    </w:p>
    <w:p w14:paraId="1BAE406D" w14:textId="77777777" w:rsidR="00E562A8" w:rsidRPr="00E562A8" w:rsidRDefault="00E562A8" w:rsidP="00E562A8">
      <w:pPr>
        <w:spacing w:after="160" w:line="259" w:lineRule="auto"/>
        <w:contextualSpacing/>
        <w:jc w:val="both"/>
        <w:rPr>
          <w:rFonts w:asciiTheme="minorHAnsi" w:eastAsiaTheme="minorHAnsi" w:hAnsiTheme="minorHAnsi" w:cstheme="minorBidi"/>
          <w:b/>
          <w:sz w:val="22"/>
          <w:szCs w:val="22"/>
        </w:rPr>
      </w:pPr>
      <w:r w:rsidRPr="00E562A8">
        <w:rPr>
          <w:rFonts w:asciiTheme="minorHAnsi" w:eastAsiaTheme="minorHAnsi" w:hAnsiTheme="minorHAnsi" w:cstheme="minorBidi"/>
          <w:b/>
          <w:sz w:val="22"/>
          <w:szCs w:val="22"/>
        </w:rPr>
        <w:t xml:space="preserve">Cicloergometro per </w:t>
      </w:r>
      <w:r w:rsidRPr="00E562A8">
        <w:rPr>
          <w:rFonts w:asciiTheme="minorHAnsi" w:eastAsiaTheme="minorHAnsi" w:hAnsiTheme="minorHAnsi" w:cstheme="minorBidi"/>
          <w:b/>
          <w:sz w:val="22"/>
          <w:szCs w:val="22"/>
          <w:u w:val="single"/>
        </w:rPr>
        <w:t>arti superiori e inferiori (in simultanea);</w:t>
      </w:r>
    </w:p>
    <w:p w14:paraId="06EA554A" w14:textId="77777777" w:rsidR="00E562A8" w:rsidRPr="00671DFB"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671DFB">
        <w:rPr>
          <w:rFonts w:asciiTheme="minorHAnsi" w:eastAsiaTheme="minorHAnsi" w:hAnsiTheme="minorHAnsi" w:cstheme="minorBidi"/>
          <w:sz w:val="22"/>
          <w:szCs w:val="22"/>
        </w:rPr>
        <w:t>Struttura robusta e regolabile in altezza;</w:t>
      </w:r>
    </w:p>
    <w:p w14:paraId="66D6BA7E" w14:textId="77777777" w:rsidR="00E562A8"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Dotato di maniglia e ruote integrate per facilitarne lo spostamento;</w:t>
      </w:r>
    </w:p>
    <w:p w14:paraId="56BD5FF8" w14:textId="77777777" w:rsidR="00E562A8" w:rsidRPr="00293834"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293834">
        <w:rPr>
          <w:rFonts w:asciiTheme="minorHAnsi" w:eastAsiaTheme="minorHAnsi" w:hAnsiTheme="minorHAnsi" w:cstheme="minorBidi"/>
          <w:sz w:val="22"/>
          <w:szCs w:val="22"/>
        </w:rPr>
        <w:t xml:space="preserve">Idonea all’utilizzo anche con pazienti obesi. Peso garantito del paziente almeno 135 kg. </w:t>
      </w:r>
    </w:p>
    <w:p w14:paraId="3A179206" w14:textId="77777777" w:rsidR="00E562A8" w:rsidRPr="008015A0"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8015A0">
        <w:rPr>
          <w:rFonts w:asciiTheme="minorHAnsi" w:eastAsiaTheme="minorHAnsi" w:hAnsiTheme="minorHAnsi" w:cstheme="minorBidi"/>
          <w:sz w:val="22"/>
          <w:szCs w:val="22"/>
        </w:rPr>
        <w:t xml:space="preserve">Display </w:t>
      </w:r>
      <w:r w:rsidR="00664616">
        <w:rPr>
          <w:rFonts w:asciiTheme="minorHAnsi" w:eastAsiaTheme="minorHAnsi" w:hAnsiTheme="minorHAnsi" w:cstheme="minorBidi"/>
          <w:sz w:val="22"/>
          <w:szCs w:val="22"/>
        </w:rPr>
        <w:t>da circa</w:t>
      </w:r>
      <w:r w:rsidRPr="008015A0">
        <w:rPr>
          <w:rFonts w:asciiTheme="minorHAnsi" w:eastAsiaTheme="minorHAnsi" w:hAnsiTheme="minorHAnsi" w:cstheme="minorBidi"/>
          <w:sz w:val="22"/>
          <w:szCs w:val="22"/>
        </w:rPr>
        <w:t xml:space="preserve"> 7” per visualizzazio</w:t>
      </w:r>
      <w:r>
        <w:rPr>
          <w:rFonts w:asciiTheme="minorHAnsi" w:eastAsiaTheme="minorHAnsi" w:hAnsiTheme="minorHAnsi" w:cstheme="minorBidi"/>
          <w:sz w:val="22"/>
          <w:szCs w:val="22"/>
        </w:rPr>
        <w:t>ne e impostazione dei parametri;</w:t>
      </w:r>
    </w:p>
    <w:p w14:paraId="3549BD5B" w14:textId="77777777" w:rsidR="00E562A8" w:rsidRPr="00040D09"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040D09">
        <w:rPr>
          <w:rFonts w:asciiTheme="minorHAnsi" w:eastAsiaTheme="minorHAnsi" w:hAnsiTheme="minorHAnsi" w:cstheme="minorBidi"/>
          <w:sz w:val="22"/>
          <w:szCs w:val="22"/>
        </w:rPr>
        <w:t>Impostazione dei seguenti parametri: incremento numero di giri in modalità passiva, incremento della resistenza in modalità attiva, inversione di marcia;</w:t>
      </w:r>
    </w:p>
    <w:p w14:paraId="68F22958" w14:textId="77777777" w:rsidR="00E562A8" w:rsidRPr="00040D09"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040D09">
        <w:rPr>
          <w:rFonts w:asciiTheme="minorHAnsi" w:eastAsiaTheme="minorHAnsi" w:hAnsiTheme="minorHAnsi" w:cstheme="minorBidi"/>
          <w:sz w:val="22"/>
          <w:szCs w:val="22"/>
        </w:rPr>
        <w:t>Velocità massima fino a 60 giri al minuto;</w:t>
      </w:r>
    </w:p>
    <w:p w14:paraId="2D28F447" w14:textId="77777777" w:rsidR="00E562A8" w:rsidRPr="003A084B"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Disponibilità di protocolli liberi e impostabili</w:t>
      </w:r>
      <w:r>
        <w:rPr>
          <w:rFonts w:asciiTheme="minorHAnsi" w:eastAsiaTheme="minorHAnsi" w:hAnsiTheme="minorHAnsi" w:cstheme="minorBidi"/>
          <w:sz w:val="22"/>
          <w:szCs w:val="22"/>
        </w:rPr>
        <w:t xml:space="preserve"> e di protocolli preconfigurati;</w:t>
      </w:r>
    </w:p>
    <w:p w14:paraId="1730236F" w14:textId="77777777" w:rsidR="00E562A8" w:rsidRDefault="00E562A8" w:rsidP="00E562A8">
      <w:pPr>
        <w:numPr>
          <w:ilvl w:val="0"/>
          <w:numId w:val="23"/>
        </w:numPr>
        <w:spacing w:after="160" w:line="259" w:lineRule="auto"/>
        <w:ind w:left="426"/>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Completo dei seguenti accessori:</w:t>
      </w:r>
    </w:p>
    <w:p w14:paraId="2CCC126C" w14:textId="77777777" w:rsidR="00040D09" w:rsidRDefault="00040D09" w:rsidP="00040D09">
      <w:pPr>
        <w:numPr>
          <w:ilvl w:val="1"/>
          <w:numId w:val="23"/>
        </w:numPr>
        <w:spacing w:after="160" w:line="259" w:lineRule="auto"/>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manicotti contenimento mani</w:t>
      </w:r>
    </w:p>
    <w:p w14:paraId="2BEB7C72" w14:textId="77777777" w:rsidR="00040D09" w:rsidRPr="003A084B" w:rsidRDefault="00040D09" w:rsidP="00040D09">
      <w:pPr>
        <w:numPr>
          <w:ilvl w:val="1"/>
          <w:numId w:val="23"/>
        </w:numPr>
        <w:spacing w:after="160" w:line="259" w:lineRule="auto"/>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ferma piedi</w:t>
      </w:r>
    </w:p>
    <w:p w14:paraId="0411F8A2" w14:textId="77777777" w:rsidR="00E562A8" w:rsidRDefault="00E562A8" w:rsidP="00E562A8">
      <w:pPr>
        <w:numPr>
          <w:ilvl w:val="1"/>
          <w:numId w:val="23"/>
        </w:numPr>
        <w:spacing w:after="160" w:line="259" w:lineRule="auto"/>
        <w:contextualSpacing/>
        <w:jc w:val="both"/>
        <w:rPr>
          <w:rFonts w:asciiTheme="minorHAnsi" w:eastAsiaTheme="minorHAnsi" w:hAnsiTheme="minorHAnsi" w:cstheme="minorBidi"/>
          <w:sz w:val="22"/>
          <w:szCs w:val="22"/>
        </w:rPr>
      </w:pPr>
      <w:r w:rsidRPr="003A084B">
        <w:rPr>
          <w:rFonts w:asciiTheme="minorHAnsi" w:eastAsiaTheme="minorHAnsi" w:hAnsiTheme="minorHAnsi" w:cstheme="minorBidi"/>
          <w:sz w:val="22"/>
          <w:szCs w:val="22"/>
        </w:rPr>
        <w:t>regolazione del raggio</w:t>
      </w:r>
    </w:p>
    <w:p w14:paraId="407C22D0" w14:textId="77777777" w:rsidR="00E562A8" w:rsidRPr="003A084B" w:rsidRDefault="00E562A8" w:rsidP="00E562A8">
      <w:pPr>
        <w:numPr>
          <w:ilvl w:val="1"/>
          <w:numId w:val="23"/>
        </w:numPr>
        <w:spacing w:after="160" w:line="259" w:lineRule="auto"/>
        <w:contextualSpacing/>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pulsante stop di emergenza</w:t>
      </w:r>
    </w:p>
    <w:p w14:paraId="755055BC" w14:textId="77777777" w:rsidR="00E562A8" w:rsidRPr="003A084B" w:rsidRDefault="00E562A8" w:rsidP="00E562A8">
      <w:pPr>
        <w:spacing w:after="160" w:line="259" w:lineRule="auto"/>
        <w:contextualSpacing/>
        <w:jc w:val="both"/>
        <w:rPr>
          <w:rFonts w:asciiTheme="minorHAnsi" w:eastAsiaTheme="minorHAnsi" w:hAnsiTheme="minorHAnsi" w:cstheme="minorBidi"/>
          <w:sz w:val="22"/>
          <w:szCs w:val="22"/>
        </w:rPr>
      </w:pPr>
    </w:p>
    <w:p w14:paraId="25F5F4C6" w14:textId="77777777" w:rsidR="00402B9F" w:rsidRPr="00DD1C9E" w:rsidRDefault="00402B9F" w:rsidP="001C0143">
      <w:pPr>
        <w:numPr>
          <w:ilvl w:val="0"/>
          <w:numId w:val="23"/>
        </w:numPr>
        <w:spacing w:after="160" w:line="259" w:lineRule="auto"/>
        <w:ind w:left="426"/>
        <w:contextualSpacing/>
        <w:jc w:val="both"/>
        <w:rPr>
          <w:rFonts w:asciiTheme="minorHAnsi" w:eastAsiaTheme="minorHAnsi" w:hAnsiTheme="minorHAnsi" w:cstheme="minorBidi"/>
          <w:sz w:val="22"/>
          <w:szCs w:val="22"/>
        </w:rPr>
      </w:pPr>
      <w:r w:rsidRPr="00DD1C9E">
        <w:rPr>
          <w:rFonts w:asciiTheme="minorHAnsi" w:eastAsiaTheme="minorHAnsi" w:hAnsiTheme="minorHAnsi" w:cstheme="minorBidi"/>
          <w:sz w:val="22"/>
          <w:szCs w:val="22"/>
        </w:rPr>
        <w:t>Classificata come Dispositivo Medico ai sensi delle vigenti normative in materia di DM</w:t>
      </w:r>
    </w:p>
    <w:p w14:paraId="67BC23EC" w14:textId="77777777" w:rsidR="00B73E77" w:rsidRPr="00B73E77" w:rsidRDefault="00402B9F" w:rsidP="00B73E77">
      <w:pPr>
        <w:numPr>
          <w:ilvl w:val="0"/>
          <w:numId w:val="23"/>
        </w:numPr>
        <w:autoSpaceDE w:val="0"/>
        <w:autoSpaceDN w:val="0"/>
        <w:adjustRightInd w:val="0"/>
        <w:spacing w:after="160" w:line="360" w:lineRule="auto"/>
        <w:ind w:left="426"/>
        <w:contextualSpacing/>
        <w:jc w:val="both"/>
        <w:rPr>
          <w:rFonts w:asciiTheme="minorHAnsi" w:hAnsiTheme="minorHAnsi" w:cstheme="minorHAnsi"/>
          <w:bCs/>
          <w:sz w:val="20"/>
          <w:szCs w:val="20"/>
        </w:rPr>
      </w:pPr>
      <w:r w:rsidRPr="00DD1C9E">
        <w:rPr>
          <w:rFonts w:asciiTheme="minorHAnsi" w:eastAsiaTheme="minorHAnsi" w:hAnsiTheme="minorHAnsi" w:cstheme="minorBidi"/>
          <w:sz w:val="22"/>
          <w:szCs w:val="22"/>
        </w:rPr>
        <w:t>Garanzia 24 mesi dalla data del collaudo con esito positivo</w:t>
      </w:r>
      <w:bookmarkEnd w:id="0"/>
      <w:r w:rsidR="00296449">
        <w:rPr>
          <w:rFonts w:asciiTheme="minorHAnsi" w:eastAsiaTheme="minorHAnsi" w:hAnsiTheme="minorHAnsi" w:cstheme="minorBidi"/>
          <w:sz w:val="22"/>
          <w:szCs w:val="22"/>
        </w:rPr>
        <w:t>.</w:t>
      </w:r>
    </w:p>
    <w:p w14:paraId="37BB0654" w14:textId="77777777" w:rsidR="00B73E77" w:rsidRDefault="00B73E77" w:rsidP="00B73E77">
      <w:pPr>
        <w:autoSpaceDE w:val="0"/>
        <w:autoSpaceDN w:val="0"/>
        <w:adjustRightInd w:val="0"/>
        <w:spacing w:after="160" w:line="360" w:lineRule="auto"/>
        <w:ind w:left="426"/>
        <w:contextualSpacing/>
        <w:jc w:val="both"/>
        <w:rPr>
          <w:rFonts w:asciiTheme="minorHAnsi" w:eastAsiaTheme="minorHAnsi" w:hAnsiTheme="minorHAnsi" w:cstheme="minorBidi"/>
          <w:sz w:val="22"/>
          <w:szCs w:val="22"/>
        </w:rPr>
      </w:pPr>
    </w:p>
    <w:p w14:paraId="1CEE8615" w14:textId="77777777" w:rsidR="00B73E77" w:rsidRDefault="00B73E77"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r w:rsidRPr="00B73E77">
        <w:rPr>
          <w:rFonts w:asciiTheme="minorHAnsi" w:hAnsiTheme="minorHAnsi" w:cstheme="minorHAnsi"/>
          <w:b/>
          <w:bCs/>
          <w:sz w:val="20"/>
          <w:szCs w:val="20"/>
        </w:rPr>
        <w:lastRenderedPageBreak/>
        <w:t>Dovranno essere depositati listini e cataloghi di tutti i prodotti disponibili ulteriori rispetto al minimo richiesto, in quanto resta salva la facoltà delle Aziende Sanitarie di acquistare dalla Ditta Aggiudicataria prodotti non richiesti in sede di offerta ma riferibili alla categoria merceologica/tipologia aggiudicata, usufruendo del listino depositato e applicando la percentuale di sconto offerto in sede di gara.</w:t>
      </w:r>
    </w:p>
    <w:p w14:paraId="059A84A3" w14:textId="77777777" w:rsidR="008E78EE"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13DF0CC0"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MATERIALE DI CONSUMO</w:t>
      </w:r>
    </w:p>
    <w:p w14:paraId="6EF8E9AE" w14:textId="77777777" w:rsidR="008E78EE" w:rsidRDefault="008E78EE" w:rsidP="008E78EE">
      <w:pPr>
        <w:pStyle w:val="Corpodeltesto21"/>
        <w:rPr>
          <w:rFonts w:ascii="Calibri" w:hAnsi="Calibri" w:cs="Calibri"/>
          <w:sz w:val="22"/>
          <w:szCs w:val="22"/>
        </w:rPr>
      </w:pPr>
      <w:r w:rsidRPr="00EB2FF1">
        <w:rPr>
          <w:rFonts w:asciiTheme="minorHAnsi" w:hAnsiTheme="minorHAnsi" w:cstheme="minorHAnsi"/>
          <w:bCs/>
          <w:sz w:val="20"/>
          <w:lang w:eastAsia="it-IT"/>
        </w:rPr>
        <w:t>La ditta dovrà indicare chiaramente se e quale materiale di consumo sia necessario e se questo sia dedicato. L’offerta economica dovrà essere comprensiva della quotazione di tutto il materiale di consumo dedicato/esclusivo e non dedicato</w:t>
      </w:r>
      <w:r w:rsidRPr="00392583">
        <w:rPr>
          <w:rFonts w:ascii="Calibri" w:hAnsi="Calibri" w:cs="Calibri"/>
          <w:sz w:val="22"/>
          <w:szCs w:val="22"/>
        </w:rPr>
        <w:t>.</w:t>
      </w:r>
    </w:p>
    <w:p w14:paraId="5E29A06F"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7DFCB5A3"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 xml:space="preserve">GARANZIA </w:t>
      </w:r>
    </w:p>
    <w:p w14:paraId="62D11CF5"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La garanzia deve essere di almeno 24 mesi omnicomprensiva con la sola esclusione del dolo, deve comprendere anche le manutenzioni preventive programmate previste dal fabbricante e i controlli previsti dalle vigenti normative</w:t>
      </w:r>
      <w:r>
        <w:rPr>
          <w:rFonts w:asciiTheme="minorHAnsi" w:hAnsiTheme="minorHAnsi" w:cstheme="minorHAnsi"/>
          <w:bCs/>
          <w:sz w:val="20"/>
          <w:lang w:eastAsia="it-IT"/>
        </w:rPr>
        <w:t>.</w:t>
      </w:r>
    </w:p>
    <w:p w14:paraId="0B50CED4" w14:textId="77777777" w:rsid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361B5D1A" w14:textId="77777777" w:rsidR="0043640B" w:rsidRPr="0043640B" w:rsidRDefault="0043640B" w:rsidP="0043640B">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sidRPr="0043640B">
        <w:rPr>
          <w:rFonts w:asciiTheme="minorHAnsi" w:hAnsiTheme="minorHAnsi" w:cstheme="minorHAnsi"/>
          <w:b/>
          <w:bCs/>
          <w:i/>
          <w:sz w:val="20"/>
          <w:szCs w:val="20"/>
        </w:rPr>
        <w:t>REQUISITI NORMATIVI</w:t>
      </w:r>
    </w:p>
    <w:p w14:paraId="52CF903A" w14:textId="77777777" w:rsidR="0043640B" w:rsidRPr="0043640B" w:rsidRDefault="0043640B" w:rsidP="0043640B">
      <w:pPr>
        <w:pStyle w:val="Corpodeltesto21"/>
        <w:rPr>
          <w:rFonts w:asciiTheme="minorHAnsi" w:hAnsiTheme="minorHAnsi" w:cstheme="minorHAnsi"/>
          <w:bCs/>
          <w:sz w:val="20"/>
          <w:lang w:eastAsia="it-IT"/>
        </w:rPr>
      </w:pPr>
      <w:r w:rsidRPr="0043640B">
        <w:rPr>
          <w:rFonts w:asciiTheme="minorHAnsi" w:hAnsiTheme="minorHAnsi" w:cstheme="minorHAnsi"/>
          <w:bCs/>
          <w:sz w:val="20"/>
          <w:lang w:eastAsia="it-IT"/>
        </w:rPr>
        <w:t>Dovranno inoltre essere forniti:</w:t>
      </w:r>
    </w:p>
    <w:p w14:paraId="7FDCDC7B"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di conformità alle Direttive/Regolamenti applicabili</w:t>
      </w:r>
    </w:p>
    <w:p w14:paraId="57034B99"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copia della dichiarazione e certificazione di conformità alla norma EN 60601-1 e relative particolari, ove applicabile</w:t>
      </w:r>
    </w:p>
    <w:p w14:paraId="34782298" w14:textId="77777777" w:rsidR="0043640B" w:rsidRPr="0043640B" w:rsidRDefault="0043640B" w:rsidP="0043640B">
      <w:pPr>
        <w:pStyle w:val="Corpodeltesto21"/>
        <w:numPr>
          <w:ilvl w:val="0"/>
          <w:numId w:val="35"/>
        </w:numPr>
        <w:rPr>
          <w:rFonts w:asciiTheme="minorHAnsi" w:hAnsiTheme="minorHAnsi" w:cstheme="minorHAnsi"/>
          <w:bCs/>
          <w:sz w:val="20"/>
          <w:lang w:eastAsia="it-IT"/>
        </w:rPr>
      </w:pPr>
      <w:r w:rsidRPr="0043640B">
        <w:rPr>
          <w:rFonts w:asciiTheme="minorHAnsi" w:hAnsiTheme="minorHAnsi" w:cstheme="minorHAnsi"/>
          <w:bCs/>
          <w:sz w:val="20"/>
          <w:lang w:eastAsia="it-IT"/>
        </w:rPr>
        <w:t xml:space="preserve">dichiarazione che tutti i materiali forniti sono privi di lattice </w:t>
      </w:r>
    </w:p>
    <w:p w14:paraId="7FD3FE47" w14:textId="77777777" w:rsidR="0043640B" w:rsidRPr="0043640B" w:rsidRDefault="0043640B" w:rsidP="008E78EE">
      <w:pPr>
        <w:pStyle w:val="Corpodeltesto21"/>
        <w:rPr>
          <w:rFonts w:asciiTheme="minorHAnsi" w:hAnsiTheme="minorHAnsi" w:cstheme="minorHAnsi"/>
          <w:bCs/>
          <w:sz w:val="20"/>
          <w:lang w:eastAsia="it-IT"/>
        </w:rPr>
      </w:pPr>
    </w:p>
    <w:p w14:paraId="02CEDA90" w14:textId="77777777" w:rsidR="008E78EE" w:rsidRDefault="008E78EE" w:rsidP="008E78EE">
      <w:pPr>
        <w:pStyle w:val="Corpodeltesto21"/>
        <w:rPr>
          <w:rFonts w:ascii="Calibri" w:hAnsi="Calibri" w:cs="Calibri"/>
          <w:sz w:val="22"/>
          <w:szCs w:val="22"/>
        </w:rPr>
      </w:pPr>
    </w:p>
    <w:p w14:paraId="54A38806"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CONSEGNA, INSTALLAZIONE E COLLAUDO</w:t>
      </w:r>
    </w:p>
    <w:p w14:paraId="20A6337D"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consegna e l’installazione delle apparecchiature dovrà essere effettuata a cura e spese (trasporto, imballo, spese doganali) della Ditta Aggiudicataria entro 30 giorni solari dalla data dell’ordine, a meno di diversa indicazione da parte dei referenti Aziendali. Gli oneri di introduzione di posizionamento e di installazione delle apparecchiature nei locali saranno a carico della Ditta Aggiudicataria.</w:t>
      </w:r>
    </w:p>
    <w:p w14:paraId="2311FCB5"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inoltre, fornire a proprie spese tutto il materiale di consumo necessario all’installazione e messa in funzione dei sistemi e dovrà inoltre provvedere al ritiro e smaltimento di tutti gli imballi e/o contenitori resisi necessari per la consegna e l’installazione dei dispositivi.</w:t>
      </w:r>
    </w:p>
    <w:p w14:paraId="04186B5F"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L’installazione dovrà essere effettuata da personale tecnico specializzato nel pieno rispetto delle norme tecniche applicabili e della vigente normativa in materia di igiene e sicurezza sul lavoro. Sarà obbligo della Ditta Aggiudicataria adottare tutte le cautele necessarie a garantire l’incolumità degli addetti ai lavori, nonché di terzi ed evitare danni a beni pubblici e privati. Sono a carico della Ditta Aggiudicataria le verifiche di sicurezza (secondo la norma CEI-EN 62353 ed altre norme tecniche eventualmente applicabili).</w:t>
      </w:r>
    </w:p>
    <w:p w14:paraId="37DBD728"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Il Verbale di installazione, controfirmato dal referente clinico consegnatario dei beni e tutta la documentazione relativa dovrà essere consegnato all’Ingegneria Clinica per le verifiche di competenza e dovrà essere accompagnato da:</w:t>
      </w:r>
    </w:p>
    <w:p w14:paraId="07D9E37D"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del manuale d'uso in lingua italiana per ogni tipologia di apparecchiatura installata</w:t>
      </w:r>
    </w:p>
    <w:p w14:paraId="4CF8F09A"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una copia verifiche di sicurezza e controlli di qualità prestazionali e funzionali</w:t>
      </w:r>
    </w:p>
    <w:p w14:paraId="053314A6" w14:textId="77777777" w:rsidR="008E78EE" w:rsidRDefault="008E78EE" w:rsidP="008E78EE">
      <w:pPr>
        <w:pStyle w:val="Paragrafoelenco"/>
        <w:numPr>
          <w:ilvl w:val="0"/>
          <w:numId w:val="30"/>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programma e calendario di formazione definito e firmato congiuntamente da un rappresentante della Ditta Aggiudicataria e dal referente clinico consegnatario dei beni</w:t>
      </w:r>
    </w:p>
    <w:p w14:paraId="13ABC979"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lastRenderedPageBreak/>
        <w:t>L’ Ingegneria Clinica si riserva la facoltà di effettuare in sede di collaudo ogni verifica ritenuta opportuna per valutare tutti gli aspetti necessari ad attestare la rispondenza della fornitura a quanto richiesto nel Capitolato ed alle eventuali condizioni migliorative offerte dalla Ditta Aggiudicataria, nonché tutti gli aspetti relativi alla sicurezza.</w:t>
      </w:r>
    </w:p>
    <w:p w14:paraId="405CDE08"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apparecchiature installate secondo le modalità sopra indicate potranno essere inserite in uso clinico, qualora non vengano evidenziate condizioni di rischio. L’utilizzo è comunque subordinato ad una adeguata formazione, che verrà gestita direttamente dalla UO utilizzatrice insieme al referente indicato dalla Ditta Aggiudicataria.</w:t>
      </w:r>
    </w:p>
    <w:p w14:paraId="45BE9FC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Le verifiche potranno essere effettuate in collaborazione con il Servizio Prevenzione e Protezione Aziendale e/o con altre figure/servizi aziendali competenti, in presenza della Ditta Aggiudicataria qualora l’Ingegneria Clinica lo ritenesse opportuno, con ogni mezzo e con le più ampie facoltà.</w:t>
      </w:r>
    </w:p>
    <w:p w14:paraId="3D04DBC7"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L’Ingegneria Clinica, in assenza di irregolarità e previa verifica della presenza delle evidenze prodotte dai clinici interessati circa l’idoneità funzionale e del completamento dell’addestramento, dichiarerà concluso positivamente il collaudo.</w:t>
      </w:r>
    </w:p>
    <w:p w14:paraId="7E70417F"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invece, si riscontrassero carenze documentali o di qualsiasi altra natura, l’Ingegneria Clinica si impegna a comunicarle per iscritto alla Ditta Aggiudicataria, sospendendo il collaudo fino al completamento di quanto richiesto, che dovrà avvenire entro non oltre 15 giorni solari dalla trasmissione della richiesta salvo differenti tempistiche indicate.</w:t>
      </w:r>
    </w:p>
    <w:p w14:paraId="338DAE08"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la Ditta Aggiudicataria non ottemperasse ancora entro il termine sopraindicato a completare quanto richiesto, l’Ingegneria Clinica si riserva la facoltà di dichiarare il collaudo:</w:t>
      </w:r>
    </w:p>
    <w:p w14:paraId="5D5A3D59"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 xml:space="preserve">Positivo con riserva: e resterà tale fino a quando la Ditta Aggiudicataria non provvederà al completamento di quanto richiesto. </w:t>
      </w:r>
    </w:p>
    <w:p w14:paraId="69F0745E" w14:textId="77777777" w:rsidR="008E78EE" w:rsidRDefault="008E78EE" w:rsidP="008E78EE">
      <w:pPr>
        <w:pStyle w:val="Paragrafoelenco"/>
        <w:numPr>
          <w:ilvl w:val="0"/>
          <w:numId w:val="31"/>
        </w:num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Negativo.</w:t>
      </w:r>
    </w:p>
    <w:p w14:paraId="48AD2FB6"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In caso di esito negativo del collaudo, la Stazione Appaltante si riserva di annullare l’aggiudicazione della fornitura alla Ditta Aggiudicataria e di procedere con l’aggiudicazione alla Ditta Partecipante seconda in graduatoria o di bandire una nuova gara.</w:t>
      </w:r>
    </w:p>
    <w:p w14:paraId="370C32BB"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Sulla base delle risultanze delle verifiche effettuate dall’Ingegneria Clinica, la Stazione Appaltante provvederà a trasmettere alla Ditta Aggiudicataria l’esito del collaudo di accettazione (Positivo, Negativo o Positivo con riserva). Quanto comunicato si riterrà accolto dalla Ditta Aggiudicataria stessa qualora non pervengano richieste scritte di chiarimenti entro 15 giorni solari dalla data di trasmissione del collaudo.</w:t>
      </w:r>
    </w:p>
    <w:p w14:paraId="6A031310"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Saranno altresì a carico della Ditta tutte le spese prevedibili, imprevedibili ed oneri della responsabilità civile verso terzi, inerenti alla fornitura stessa.</w:t>
      </w:r>
    </w:p>
    <w:p w14:paraId="12FF3291" w14:textId="77777777" w:rsidR="008E78EE" w:rsidRDefault="008E78EE" w:rsidP="008E78EE">
      <w:pPr>
        <w:jc w:val="both"/>
        <w:rPr>
          <w:rFonts w:ascii="Calibri" w:hAnsi="Calibri" w:cs="Calibri"/>
          <w:sz w:val="18"/>
          <w:szCs w:val="18"/>
        </w:rPr>
      </w:pPr>
    </w:p>
    <w:p w14:paraId="6343B1C6"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FORMAZIONE</w:t>
      </w:r>
    </w:p>
    <w:p w14:paraId="3707F59C"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La Ditta Aggiudicataria dovrà garantire un’adeguata formazione gratuita del personale, per quanto concerne il corretto utilizzo dei dispositivi, le avvertenze all’uso e la manutenzione ordinaria.</w:t>
      </w:r>
    </w:p>
    <w:p w14:paraId="4766451A" w14:textId="77777777" w:rsidR="008E78EE" w:rsidRDefault="008E78EE" w:rsidP="008E78EE">
      <w:pPr>
        <w:tabs>
          <w:tab w:val="left" w:pos="426"/>
          <w:tab w:val="left" w:pos="567"/>
        </w:tabs>
        <w:autoSpaceDE w:val="0"/>
        <w:autoSpaceDN w:val="0"/>
        <w:adjustRightInd w:val="0"/>
        <w:spacing w:line="276" w:lineRule="auto"/>
        <w:jc w:val="both"/>
        <w:rPr>
          <w:rFonts w:asciiTheme="minorHAnsi" w:hAnsiTheme="minorHAnsi" w:cstheme="minorHAnsi"/>
          <w:bCs/>
          <w:sz w:val="20"/>
          <w:szCs w:val="20"/>
        </w:rPr>
      </w:pPr>
      <w:r>
        <w:rPr>
          <w:rFonts w:asciiTheme="minorHAnsi" w:hAnsiTheme="minorHAnsi" w:cstheme="minorHAnsi"/>
          <w:bCs/>
          <w:sz w:val="20"/>
          <w:szCs w:val="20"/>
        </w:rPr>
        <w:t>Qualora, durante il periodo del contratto, si rilevassero carenze formative o si verificasse la necessità di formare all’uso personale aggiuntivo, la Ditta Aggiudicataria dovrà provvedere gratuitamente ad eseguire nuovi corsi di formazione.</w:t>
      </w:r>
    </w:p>
    <w:p w14:paraId="3975D1B5"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p>
    <w:p w14:paraId="77FAEFBB" w14:textId="77777777" w:rsidR="008E78EE" w:rsidRDefault="008E78EE" w:rsidP="008E78EE">
      <w:pPr>
        <w:tabs>
          <w:tab w:val="left" w:pos="426"/>
          <w:tab w:val="left" w:pos="567"/>
        </w:tabs>
        <w:autoSpaceDE w:val="0"/>
        <w:autoSpaceDN w:val="0"/>
        <w:adjustRightInd w:val="0"/>
        <w:spacing w:line="360" w:lineRule="auto"/>
        <w:jc w:val="both"/>
        <w:rPr>
          <w:rFonts w:asciiTheme="minorHAnsi" w:hAnsiTheme="minorHAnsi" w:cstheme="minorHAnsi"/>
          <w:b/>
          <w:bCs/>
          <w:i/>
          <w:sz w:val="20"/>
          <w:szCs w:val="20"/>
        </w:rPr>
      </w:pPr>
      <w:r>
        <w:rPr>
          <w:rFonts w:asciiTheme="minorHAnsi" w:hAnsiTheme="minorHAnsi" w:cstheme="minorHAnsi"/>
          <w:b/>
          <w:bCs/>
          <w:i/>
          <w:sz w:val="20"/>
          <w:szCs w:val="20"/>
        </w:rPr>
        <w:t>DISPOSITIVO VIGILANZA</w:t>
      </w:r>
    </w:p>
    <w:p w14:paraId="70CBD71C"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In caso di azioni collegate all’attività di Vigilanza sui Dispositivi Medici definite dal MDR 745/2017 e l’IVDR 746/2017 legate a:</w:t>
      </w:r>
    </w:p>
    <w:p w14:paraId="570848E1"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Incidente:</w:t>
      </w:r>
    </w:p>
    <w:p w14:paraId="73E0B561"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lastRenderedPageBreak/>
        <w:t xml:space="preserve">•         per i DM: qualsiasi malfunzionamento o alterazione delle caratteristiche o delle prestazioni di un dispositivo messo a disposizione sul mercato, compreso l'errore d'uso determinato dalle caratteristiche ergonomiche, come pure qualsiasi inadeguatezza nelle informazioni fornite dal fabbricante e qualsiasi effetto collaterale indesiderato (Art. 2 </w:t>
      </w:r>
      <w:proofErr w:type="spellStart"/>
      <w:r w:rsidRPr="002E41BD">
        <w:rPr>
          <w:rFonts w:asciiTheme="minorHAnsi" w:hAnsiTheme="minorHAnsi" w:cstheme="minorHAnsi"/>
          <w:bCs/>
          <w:sz w:val="20"/>
          <w:szCs w:val="20"/>
        </w:rPr>
        <w:t>def</w:t>
      </w:r>
      <w:proofErr w:type="spellEnd"/>
      <w:r w:rsidRPr="002E41BD">
        <w:rPr>
          <w:rFonts w:asciiTheme="minorHAnsi" w:hAnsiTheme="minorHAnsi" w:cstheme="minorHAnsi"/>
          <w:bCs/>
          <w:sz w:val="20"/>
          <w:szCs w:val="20"/>
        </w:rPr>
        <w:t>. 64 MDR);</w:t>
      </w:r>
    </w:p>
    <w:p w14:paraId="0E9B3BAF"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per gli IVD: qualsiasi malfunzionamento o alterazione delle caratteristiche o delle prestazioni di un dispositivo messo a disposizione sul mercato, compreso l'errore d'uso determinato dalle caratteristiche ergonomiche, nonché qualsiasi danno derivante dalla decisione medica, azione od omissione basata sulle informazioni o sui risultati forniti dal dispositivo (Art. 2 def.67 IVDR).</w:t>
      </w:r>
    </w:p>
    <w:p w14:paraId="744D5C59"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xml:space="preserve">Incidente grave: si intende qualsiasi incidente che, direttamente o indirettamente, ha causato, può aver causato o può causare una delle seguenti conseguenze (Art. 2 </w:t>
      </w:r>
      <w:proofErr w:type="spellStart"/>
      <w:r w:rsidRPr="002E41BD">
        <w:rPr>
          <w:rFonts w:asciiTheme="minorHAnsi" w:hAnsiTheme="minorHAnsi" w:cstheme="minorHAnsi"/>
          <w:bCs/>
          <w:sz w:val="20"/>
          <w:szCs w:val="20"/>
        </w:rPr>
        <w:t>def</w:t>
      </w:r>
      <w:proofErr w:type="spellEnd"/>
      <w:r w:rsidRPr="002E41BD">
        <w:rPr>
          <w:rFonts w:asciiTheme="minorHAnsi" w:hAnsiTheme="minorHAnsi" w:cstheme="minorHAnsi"/>
          <w:bCs/>
          <w:sz w:val="20"/>
          <w:szCs w:val="20"/>
        </w:rPr>
        <w:t>. 65 MDR 745/2017):</w:t>
      </w:r>
    </w:p>
    <w:p w14:paraId="56DCAFE0"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Il decesso di un paziente, di un utilizzatore o di un'altra persona;</w:t>
      </w:r>
    </w:p>
    <w:p w14:paraId="6B5413CB"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Il grave deterioramento, temporaneo o permanente, delle condizioni di salute del paziente, dell'utilizzatore o di un'altra persona;</w:t>
      </w:r>
    </w:p>
    <w:p w14:paraId="13883069"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xml:space="preserve">•         Una grave minaccia per la salute pubblica (per grave minaccia per la salute pubblica si intende qualsiasi evento che potrebbe comportare un imminente rischio di decesso, un grave deterioramento delle condizioni di salute di una persona o una malattia grave che possa richiedere una tempestiva azione correttiva e che possa provocare un tasso significativo di morbilità o di mortalità umane o che è inusuale o inaspettata per quel dato luogo o momento (Art. 2 </w:t>
      </w:r>
      <w:proofErr w:type="spellStart"/>
      <w:r w:rsidRPr="002E41BD">
        <w:rPr>
          <w:rFonts w:asciiTheme="minorHAnsi" w:hAnsiTheme="minorHAnsi" w:cstheme="minorHAnsi"/>
          <w:bCs/>
          <w:sz w:val="20"/>
          <w:szCs w:val="20"/>
        </w:rPr>
        <w:t>def</w:t>
      </w:r>
      <w:proofErr w:type="spellEnd"/>
      <w:r w:rsidRPr="002E41BD">
        <w:rPr>
          <w:rFonts w:asciiTheme="minorHAnsi" w:hAnsiTheme="minorHAnsi" w:cstheme="minorHAnsi"/>
          <w:bCs/>
          <w:sz w:val="20"/>
          <w:szCs w:val="20"/>
        </w:rPr>
        <w:t>. 66 MDR 745/2017).</w:t>
      </w:r>
    </w:p>
    <w:p w14:paraId="6AB5E1B7"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w:t>
      </w:r>
    </w:p>
    <w:p w14:paraId="5EA124D0"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xml:space="preserve">Avviso di sicurezza (Field </w:t>
      </w:r>
      <w:proofErr w:type="spellStart"/>
      <w:r w:rsidRPr="002E41BD">
        <w:rPr>
          <w:rFonts w:asciiTheme="minorHAnsi" w:hAnsiTheme="minorHAnsi" w:cstheme="minorHAnsi"/>
          <w:bCs/>
          <w:sz w:val="20"/>
          <w:szCs w:val="20"/>
        </w:rPr>
        <w:t>Safety</w:t>
      </w:r>
      <w:proofErr w:type="spellEnd"/>
      <w:r w:rsidRPr="002E41BD">
        <w:rPr>
          <w:rFonts w:asciiTheme="minorHAnsi" w:hAnsiTheme="minorHAnsi" w:cstheme="minorHAnsi"/>
          <w:bCs/>
          <w:sz w:val="20"/>
          <w:szCs w:val="20"/>
        </w:rPr>
        <w:t xml:space="preserve"> </w:t>
      </w:r>
      <w:proofErr w:type="spellStart"/>
      <w:r w:rsidRPr="002E41BD">
        <w:rPr>
          <w:rFonts w:asciiTheme="minorHAnsi" w:hAnsiTheme="minorHAnsi" w:cstheme="minorHAnsi"/>
          <w:bCs/>
          <w:sz w:val="20"/>
          <w:szCs w:val="20"/>
        </w:rPr>
        <w:t>Notice</w:t>
      </w:r>
      <w:proofErr w:type="spellEnd"/>
      <w:r w:rsidRPr="002E41BD">
        <w:rPr>
          <w:rFonts w:asciiTheme="minorHAnsi" w:hAnsiTheme="minorHAnsi" w:cstheme="minorHAnsi"/>
          <w:bCs/>
          <w:sz w:val="20"/>
          <w:szCs w:val="20"/>
        </w:rPr>
        <w:t xml:space="preserve"> - FSN): una comunicazione inviata da un fabbricante agli utilizzatori o ai clienti in relazione a un'azione correttiva di sicurezza.</w:t>
      </w:r>
    </w:p>
    <w:p w14:paraId="670E18A6"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xml:space="preserve">Azione correttive di sicurezza (Field </w:t>
      </w:r>
      <w:proofErr w:type="spellStart"/>
      <w:r w:rsidRPr="002E41BD">
        <w:rPr>
          <w:rFonts w:asciiTheme="minorHAnsi" w:hAnsiTheme="minorHAnsi" w:cstheme="minorHAnsi"/>
          <w:bCs/>
          <w:sz w:val="20"/>
          <w:szCs w:val="20"/>
        </w:rPr>
        <w:t>Safety</w:t>
      </w:r>
      <w:proofErr w:type="spellEnd"/>
      <w:r w:rsidRPr="002E41BD">
        <w:rPr>
          <w:rFonts w:asciiTheme="minorHAnsi" w:hAnsiTheme="minorHAnsi" w:cstheme="minorHAnsi"/>
          <w:bCs/>
          <w:sz w:val="20"/>
          <w:szCs w:val="20"/>
        </w:rPr>
        <w:t xml:space="preserve"> </w:t>
      </w:r>
      <w:proofErr w:type="spellStart"/>
      <w:r w:rsidRPr="002E41BD">
        <w:rPr>
          <w:rFonts w:asciiTheme="minorHAnsi" w:hAnsiTheme="minorHAnsi" w:cstheme="minorHAnsi"/>
          <w:bCs/>
          <w:sz w:val="20"/>
          <w:szCs w:val="20"/>
        </w:rPr>
        <w:t>Corrective</w:t>
      </w:r>
      <w:proofErr w:type="spellEnd"/>
      <w:r w:rsidRPr="002E41BD">
        <w:rPr>
          <w:rFonts w:asciiTheme="minorHAnsi" w:hAnsiTheme="minorHAnsi" w:cstheme="minorHAnsi"/>
          <w:bCs/>
          <w:sz w:val="20"/>
          <w:szCs w:val="20"/>
        </w:rPr>
        <w:t xml:space="preserve"> Action - FSCA): un'azione correttiva adottata da un fabbricante per motivi di ordine tecnico o medico al fine di prevenire o ridurre il rischio di incidenti gravi in relazione a un dispositivo messo a disposizione sul mercato.</w:t>
      </w:r>
    </w:p>
    <w:p w14:paraId="22D49763"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Richiamo: qualsiasi provvedimento volto a ottenere la restituzione di un dispositivo che è già stato reso disponibile all'utilizzatore finale.</w:t>
      </w:r>
    </w:p>
    <w:p w14:paraId="50C066D6"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Il Fornitore dovrà individuare in sede di stipula della convenzione/contratto il Referente del Fornitore per la gestione degli aspetti di vigilanza sui dispositivi medici, con capacità di rappresentare ad ogni effetto il Fornitore, il quale sarà Referente nei confronti dell’Agenzia e delle Aziende Sanitarie aderenti alla Convenzione.</w:t>
      </w:r>
    </w:p>
    <w:p w14:paraId="00361097"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Nel caso in cui i prodotti oggetto della presente Convenzione/Contratto risultino coinvolti in un’azione di vigilanza si prevede quanto segue:</w:t>
      </w:r>
    </w:p>
    <w:p w14:paraId="35271319"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xml:space="preserve">•         In caso di avvisi di sicurezza FSN il Fornitore si impegna a notificare gli avvisi, in lingua italiana, anche all’Agenzia/Stazione appaltante. Tali avvisi dovranno contenere: il codice di repertorio/banca dati Ministero, l’indicazione dell’eventuale lotto ritirato e tutte le altre informazioni in possesso del fornitore, utili all’identificazione </w:t>
      </w:r>
      <w:r w:rsidRPr="002E41BD">
        <w:rPr>
          <w:rFonts w:asciiTheme="minorHAnsi" w:hAnsiTheme="minorHAnsi" w:cstheme="minorHAnsi"/>
          <w:bCs/>
          <w:sz w:val="20"/>
          <w:szCs w:val="20"/>
        </w:rPr>
        <w:lastRenderedPageBreak/>
        <w:t>di tutti i dispositivi coinvolti nell’avviso, con il dettaglio dei punti di consegna degli stessi sul territorio regionale. In caso di apparecchiature, dovrà essere indicato anche il numero di serie. Tali avvisi verranno trasmessi dall’Agenzia/Stazione appaltante ai Responsabili della Vigilanza dei dispositivi della struttura sanitaria coinvolta. In caso di eventuali azioni correttive (FSCA) previste a seguito degli avvisi di sicurezza emanati, il Fornitore si impegna a fornire all’Agenzia/Stazione appaltante, a cadenza periodica da concordare, report informativi sugli sviluppi delle azioni correttive intraprese. Tali azioni correttive dovranno essere svolte in maniera quanto più celere possibile e con l’adozione di soluzioni che non arrechino pregiudizio allo svolgimento delle attività.</w:t>
      </w:r>
    </w:p>
    <w:p w14:paraId="3714804C"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In caso di Avvisi di Sicurezza consistenti in aggiornamenti delle istruzioni d'uso, Informazioni di sicurezza, raccomandazioni circa il corretto utilizzo, precauzioni ecc., il Fornitore si impegna a fornire la necessaria collaborazione per la corretta comprensione dell’avviso e delle sue implicazioni, al fine di ottenere, nel termine massimo definito nell’avviso stesso, il consapevole riscontro mediante restituzione del Modulo di Risposta/Conferma.</w:t>
      </w:r>
    </w:p>
    <w:p w14:paraId="288AC026"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o   In caso di richiamo il Fornitore si impegna a ricercare prodotti da offrire in sostituzione di quelli oggetto di Recall con caratteristiche minime (e/o migliorative) almeno pari a quelle del prodotto da sostituire. La documentazione relativa al prodotto offerto in sostituzione, e la relativa campionatura, dovrà essere inviata all’Agenzia/Stazione appaltante (schede tecniche, manuali e altra documentazione). L’Agenzia/Stazione appaltante introdurrà formalmente nella fornitura i prodotti offerti in sostituzione solo previo pare tecnico favorevole. Nelle more di inserimento, del nuovo prodotto, le Aziende sanitarie contraenti potranno procedere all’acquisto sul libero mercato, delle quantità di prodotti necessari, addebitando l’eventuale differenza di prezzo al fornitore aggiudicatario (acquisto in danno).</w:t>
      </w:r>
    </w:p>
    <w:p w14:paraId="6DFA31CA"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o   In caso di recall di DM impiantabili, il Fornitore si impegna a mettere a disposizione i principali elementi identificativi che interfacciati con i dati delle Aziende sanitarie contraenti, permettano di rintracciare in modo semplice e rapido i pazienti ai quali sia stato impiantato il Dispositivo oggetto di recall.</w:t>
      </w:r>
    </w:p>
    <w:p w14:paraId="3255173B"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Nel caso in cui Fornitore non disponga al momento di alcun prodotto sostitutivo, ma si dichiari disponibile a ricercarlo, nelle more di inserimento nell’Accordo quadro/Convenzione/Contratto, del nuovo prodotto, le Amministrazioni Contraenti potranno procedere direttamente all’acquisto sul libero mercato, delle quantità di prodotti necessari, addebitando l’eventuale differenza di prezzo al fornitore aggiudicatario. Sarà a carico del fornitore altresì la rifusione di ogni altra spesa e/o danno e fatte salve le penali previste nell’Accordo quadro/Convenzione/Contratto.</w:t>
      </w:r>
    </w:p>
    <w:p w14:paraId="05690E3A" w14:textId="77777777" w:rsidR="002E41BD" w:rsidRPr="002E41BD" w:rsidRDefault="002E41BD" w:rsidP="002E41BD">
      <w:pPr>
        <w:tabs>
          <w:tab w:val="left" w:pos="426"/>
          <w:tab w:val="left" w:pos="567"/>
        </w:tabs>
        <w:autoSpaceDE w:val="0"/>
        <w:autoSpaceDN w:val="0"/>
        <w:adjustRightInd w:val="0"/>
        <w:spacing w:line="360" w:lineRule="auto"/>
        <w:jc w:val="both"/>
        <w:rPr>
          <w:rFonts w:asciiTheme="minorHAnsi" w:hAnsiTheme="minorHAnsi" w:cstheme="minorHAnsi"/>
          <w:bCs/>
          <w:sz w:val="20"/>
          <w:szCs w:val="20"/>
        </w:rPr>
      </w:pPr>
      <w:r w:rsidRPr="002E41BD">
        <w:rPr>
          <w:rFonts w:asciiTheme="minorHAnsi" w:hAnsiTheme="minorHAnsi" w:cstheme="minorHAnsi"/>
          <w:bCs/>
          <w:sz w:val="20"/>
          <w:szCs w:val="20"/>
        </w:rPr>
        <w:t>•         Nel caso di incidenti gravi simili, il fabbricante/fornitore è tenuto a fornire all’Agenzia/Stazione appaltante, il PSR Form (</w:t>
      </w:r>
      <w:proofErr w:type="spellStart"/>
      <w:r w:rsidRPr="002E41BD">
        <w:rPr>
          <w:rFonts w:asciiTheme="minorHAnsi" w:hAnsiTheme="minorHAnsi" w:cstheme="minorHAnsi"/>
          <w:bCs/>
          <w:sz w:val="20"/>
          <w:szCs w:val="20"/>
        </w:rPr>
        <w:t>Periodic</w:t>
      </w:r>
      <w:proofErr w:type="spellEnd"/>
      <w:r w:rsidRPr="002E41BD">
        <w:rPr>
          <w:rFonts w:asciiTheme="minorHAnsi" w:hAnsiTheme="minorHAnsi" w:cstheme="minorHAnsi"/>
          <w:bCs/>
          <w:sz w:val="20"/>
          <w:szCs w:val="20"/>
        </w:rPr>
        <w:t xml:space="preserve"> </w:t>
      </w:r>
      <w:proofErr w:type="spellStart"/>
      <w:r w:rsidRPr="002E41BD">
        <w:rPr>
          <w:rFonts w:asciiTheme="minorHAnsi" w:hAnsiTheme="minorHAnsi" w:cstheme="minorHAnsi"/>
          <w:bCs/>
          <w:sz w:val="20"/>
          <w:szCs w:val="20"/>
        </w:rPr>
        <w:t>Summary</w:t>
      </w:r>
      <w:proofErr w:type="spellEnd"/>
      <w:r w:rsidRPr="002E41BD">
        <w:rPr>
          <w:rFonts w:asciiTheme="minorHAnsi" w:hAnsiTheme="minorHAnsi" w:cstheme="minorHAnsi"/>
          <w:bCs/>
          <w:sz w:val="20"/>
          <w:szCs w:val="20"/>
        </w:rPr>
        <w:t xml:space="preserve"> Report Form) o relazioni di sintesi periodica, già inviato/e all’Autorità competente.</w:t>
      </w:r>
    </w:p>
    <w:p w14:paraId="2A5367BE" w14:textId="77777777" w:rsidR="008E78EE" w:rsidRPr="00B73E77" w:rsidRDefault="008E78EE" w:rsidP="00B73E77">
      <w:pPr>
        <w:tabs>
          <w:tab w:val="left" w:pos="426"/>
          <w:tab w:val="left" w:pos="567"/>
        </w:tabs>
        <w:autoSpaceDE w:val="0"/>
        <w:autoSpaceDN w:val="0"/>
        <w:adjustRightInd w:val="0"/>
        <w:spacing w:line="360" w:lineRule="auto"/>
        <w:jc w:val="both"/>
        <w:rPr>
          <w:rFonts w:asciiTheme="minorHAnsi" w:hAnsiTheme="minorHAnsi" w:cstheme="minorHAnsi"/>
          <w:b/>
          <w:bCs/>
          <w:sz w:val="20"/>
          <w:szCs w:val="20"/>
        </w:rPr>
      </w:pPr>
    </w:p>
    <w:p w14:paraId="5CBF9EFE" w14:textId="77777777" w:rsidR="00B73E77" w:rsidRPr="008C7B6F" w:rsidRDefault="00B73E77" w:rsidP="00B73E77">
      <w:pPr>
        <w:autoSpaceDE w:val="0"/>
        <w:autoSpaceDN w:val="0"/>
        <w:adjustRightInd w:val="0"/>
        <w:spacing w:after="160" w:line="360" w:lineRule="auto"/>
        <w:ind w:left="426"/>
        <w:contextualSpacing/>
        <w:jc w:val="both"/>
        <w:rPr>
          <w:rFonts w:asciiTheme="minorHAnsi" w:hAnsiTheme="minorHAnsi" w:cstheme="minorHAnsi"/>
          <w:bCs/>
          <w:sz w:val="20"/>
          <w:szCs w:val="20"/>
        </w:rPr>
      </w:pPr>
    </w:p>
    <w:sectPr w:rsidR="00B73E77" w:rsidRPr="008C7B6F" w:rsidSect="001574E1">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EC310" w14:textId="77777777" w:rsidR="00A45A33" w:rsidRDefault="00A45A33" w:rsidP="00A45A33">
      <w:r>
        <w:separator/>
      </w:r>
    </w:p>
  </w:endnote>
  <w:endnote w:type="continuationSeparator" w:id="0">
    <w:p w14:paraId="1D731FEA" w14:textId="77777777" w:rsidR="00A45A33" w:rsidRDefault="00A45A33" w:rsidP="00A45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D95CC" w14:textId="77777777" w:rsidR="00A45A33" w:rsidRDefault="00A45A3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67109" w14:textId="77777777" w:rsidR="00A45A33" w:rsidRDefault="00A45A33">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D7BE2" w14:textId="77777777" w:rsidR="00A45A33" w:rsidRDefault="00A45A3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D5D71" w14:textId="77777777" w:rsidR="00A45A33" w:rsidRDefault="00A45A33" w:rsidP="00A45A33">
      <w:r>
        <w:separator/>
      </w:r>
    </w:p>
  </w:footnote>
  <w:footnote w:type="continuationSeparator" w:id="0">
    <w:p w14:paraId="35879F19" w14:textId="77777777" w:rsidR="00A45A33" w:rsidRDefault="00A45A33" w:rsidP="00A45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F5DB" w14:textId="77777777" w:rsidR="00A45A33" w:rsidRDefault="00A45A3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13"/>
      <w:gridCol w:w="5010"/>
    </w:tblGrid>
    <w:tr w:rsidR="00A45A33" w14:paraId="70A64FC8" w14:textId="77777777" w:rsidTr="004D597D">
      <w:tc>
        <w:tcPr>
          <w:tcW w:w="4013" w:type="dxa"/>
        </w:tcPr>
        <w:p w14:paraId="6962325B" w14:textId="77777777" w:rsidR="00A45A33" w:rsidRDefault="00A45A33" w:rsidP="00A45A33">
          <w:pPr>
            <w:pStyle w:val="Intestazione"/>
            <w:rPr>
              <w:rFonts w:ascii="Arial" w:hAnsi="Arial" w:cs="Arial"/>
              <w:sz w:val="12"/>
            </w:rPr>
          </w:pPr>
          <w:bookmarkStart w:id="1" w:name="OLE_LINK2"/>
          <w:r w:rsidRPr="00235BE6">
            <w:rPr>
              <w:rFonts w:ascii="Arial" w:hAnsi="Arial" w:cs="Arial"/>
              <w:noProof/>
              <w:sz w:val="12"/>
            </w:rPr>
            <w:drawing>
              <wp:inline distT="0" distB="0" distL="0" distR="0" wp14:anchorId="6B5E1376" wp14:editId="559AE29B">
                <wp:extent cx="2352675" cy="781050"/>
                <wp:effectExtent l="0" t="0" r="9525" b="0"/>
                <wp:docPr id="2" name="Immagine 2" descr="Immagine che contiene testo, Carattere, schermata, Blu elettr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Carattere, schermata, Blu elettrico&#10;&#10;Il contenuto generato dall'IA potrebbe non essere corre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tcPr>
        <w:p w14:paraId="7732BDBF" w14:textId="77777777" w:rsidR="00A45A33" w:rsidRDefault="00A45A33" w:rsidP="00A45A33">
          <w:pPr>
            <w:pStyle w:val="Intestazione"/>
            <w:rPr>
              <w:rFonts w:ascii="Arial" w:hAnsi="Arial" w:cs="Arial"/>
              <w:sz w:val="12"/>
            </w:rPr>
          </w:pPr>
          <w:r>
            <w:rPr>
              <w:rFonts w:ascii="Arial" w:hAnsi="Arial" w:cs="Arial"/>
              <w:noProof/>
              <w:sz w:val="16"/>
            </w:rPr>
            <w:drawing>
              <wp:inline distT="0" distB="0" distL="0" distR="0" wp14:anchorId="6F9D5318" wp14:editId="31F4253B">
                <wp:extent cx="2952750" cy="666750"/>
                <wp:effectExtent l="0" t="0" r="0" b="0"/>
                <wp:docPr id="1" name="Immagine 1" descr="Immagine che contiene testo, Carattere, schermata,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 logo&#10;&#10;Il contenuto generato dall'IA potrebbe non essere corretto."/>
                        <pic:cNvPicPr>
                          <a:picLocks noChangeAspect="1" noChangeArrowheads="1"/>
                        </pic:cNvPicPr>
                      </pic:nvPicPr>
                      <pic:blipFill>
                        <a:blip r:embed="rId2">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A45A33" w14:paraId="7C809196" w14:textId="77777777" w:rsidTr="004D597D">
      <w:tc>
        <w:tcPr>
          <w:tcW w:w="9023" w:type="dxa"/>
          <w:gridSpan w:val="2"/>
        </w:tcPr>
        <w:p w14:paraId="374F8E30" w14:textId="77777777" w:rsidR="00A45A33" w:rsidRDefault="00A45A33" w:rsidP="00A45A33">
          <w:pPr>
            <w:pStyle w:val="Intestazione"/>
            <w:rPr>
              <w:rFonts w:ascii="Arial" w:hAnsi="Arial" w:cs="Arial"/>
              <w:sz w:val="12"/>
            </w:rPr>
          </w:pPr>
          <w:r>
            <w:rPr>
              <w:noProof/>
            </w:rPr>
            <w:drawing>
              <wp:anchor distT="0" distB="0" distL="114300" distR="114300" simplePos="0" relativeHeight="251659264" behindDoc="0" locked="0" layoutInCell="1" allowOverlap="0" wp14:anchorId="1D5AE97C" wp14:editId="43BC03A1">
                <wp:simplePos x="0" y="0"/>
                <wp:positionH relativeFrom="column">
                  <wp:posOffset>44450</wp:posOffset>
                </wp:positionH>
                <wp:positionV relativeFrom="paragraph">
                  <wp:posOffset>45720</wp:posOffset>
                </wp:positionV>
                <wp:extent cx="5049520" cy="390525"/>
                <wp:effectExtent l="0" t="0" r="0" b="952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E9BE3" w14:textId="77777777" w:rsidR="00A45A33" w:rsidRDefault="00A45A33" w:rsidP="00A45A33">
          <w:pPr>
            <w:pStyle w:val="Intestazione"/>
            <w:rPr>
              <w:rFonts w:ascii="Arial" w:hAnsi="Arial" w:cs="Arial"/>
              <w:sz w:val="12"/>
            </w:rPr>
          </w:pPr>
        </w:p>
        <w:p w14:paraId="057EFBC8" w14:textId="77777777" w:rsidR="00A45A33" w:rsidRDefault="00A45A33" w:rsidP="00A45A33">
          <w:pPr>
            <w:pStyle w:val="Intestazione"/>
            <w:rPr>
              <w:rFonts w:ascii="Arial" w:hAnsi="Arial" w:cs="Arial"/>
              <w:sz w:val="12"/>
            </w:rPr>
          </w:pPr>
        </w:p>
        <w:p w14:paraId="738DD07E" w14:textId="77777777" w:rsidR="00A45A33" w:rsidRDefault="00A45A33" w:rsidP="00A45A33">
          <w:pPr>
            <w:pStyle w:val="Intestazione"/>
            <w:rPr>
              <w:rFonts w:ascii="Arial" w:hAnsi="Arial" w:cs="Arial"/>
              <w:sz w:val="12"/>
            </w:rPr>
          </w:pPr>
        </w:p>
        <w:p w14:paraId="22846262" w14:textId="77777777" w:rsidR="00A45A33" w:rsidRDefault="00A45A33" w:rsidP="00A45A33">
          <w:pPr>
            <w:pStyle w:val="Intestazione"/>
            <w:rPr>
              <w:rFonts w:ascii="Arial" w:hAnsi="Arial" w:cs="Arial"/>
              <w:sz w:val="12"/>
            </w:rPr>
          </w:pPr>
        </w:p>
        <w:p w14:paraId="4BBF1474" w14:textId="77777777" w:rsidR="00A45A33" w:rsidRDefault="00A45A33" w:rsidP="00A45A33">
          <w:pPr>
            <w:pStyle w:val="Intestazione"/>
            <w:rPr>
              <w:rFonts w:ascii="Arial" w:hAnsi="Arial" w:cs="Arial"/>
              <w:sz w:val="12"/>
            </w:rPr>
          </w:pPr>
        </w:p>
      </w:tc>
    </w:tr>
    <w:bookmarkEnd w:id="1"/>
  </w:tbl>
  <w:p w14:paraId="44BC3A89" w14:textId="77777777" w:rsidR="00A45A33" w:rsidRDefault="00A45A3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A0D17" w14:textId="77777777" w:rsidR="00A45A33" w:rsidRDefault="00A45A3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752"/>
        </w:tabs>
        <w:ind w:left="4752" w:hanging="432"/>
      </w:pPr>
    </w:lvl>
    <w:lvl w:ilvl="1">
      <w:start w:val="1"/>
      <w:numFmt w:val="none"/>
      <w:suff w:val="nothing"/>
      <w:lvlText w:val=""/>
      <w:lvlJc w:val="left"/>
      <w:pPr>
        <w:tabs>
          <w:tab w:val="num" w:pos="4896"/>
        </w:tabs>
        <w:ind w:left="4896" w:hanging="576"/>
      </w:pPr>
    </w:lvl>
    <w:lvl w:ilvl="2">
      <w:start w:val="1"/>
      <w:numFmt w:val="none"/>
      <w:pStyle w:val="Titolo3"/>
      <w:suff w:val="nothing"/>
      <w:lvlText w:val=""/>
      <w:lvlJc w:val="left"/>
      <w:pPr>
        <w:tabs>
          <w:tab w:val="num" w:pos="5040"/>
        </w:tabs>
        <w:ind w:left="5040" w:hanging="720"/>
      </w:pPr>
    </w:lvl>
    <w:lvl w:ilvl="3">
      <w:start w:val="1"/>
      <w:numFmt w:val="none"/>
      <w:suff w:val="nothing"/>
      <w:lvlText w:val=""/>
      <w:lvlJc w:val="left"/>
      <w:pPr>
        <w:tabs>
          <w:tab w:val="num" w:pos="5184"/>
        </w:tabs>
        <w:ind w:left="5184" w:hanging="864"/>
      </w:pPr>
    </w:lvl>
    <w:lvl w:ilvl="4">
      <w:start w:val="1"/>
      <w:numFmt w:val="none"/>
      <w:suff w:val="nothing"/>
      <w:lvlText w:val=""/>
      <w:lvlJc w:val="left"/>
      <w:pPr>
        <w:tabs>
          <w:tab w:val="num" w:pos="5328"/>
        </w:tabs>
        <w:ind w:left="5328" w:hanging="1008"/>
      </w:pPr>
    </w:lvl>
    <w:lvl w:ilvl="5">
      <w:start w:val="1"/>
      <w:numFmt w:val="none"/>
      <w:suff w:val="nothing"/>
      <w:lvlText w:val=""/>
      <w:lvlJc w:val="left"/>
      <w:pPr>
        <w:tabs>
          <w:tab w:val="num" w:pos="5472"/>
        </w:tabs>
        <w:ind w:left="5472" w:hanging="1152"/>
      </w:pPr>
    </w:lvl>
    <w:lvl w:ilvl="6">
      <w:start w:val="1"/>
      <w:numFmt w:val="none"/>
      <w:pStyle w:val="Titolo7"/>
      <w:suff w:val="nothing"/>
      <w:lvlText w:val=""/>
      <w:lvlJc w:val="left"/>
      <w:pPr>
        <w:tabs>
          <w:tab w:val="num" w:pos="5616"/>
        </w:tabs>
        <w:ind w:left="5616" w:hanging="1296"/>
      </w:pPr>
    </w:lvl>
    <w:lvl w:ilvl="7">
      <w:start w:val="1"/>
      <w:numFmt w:val="none"/>
      <w:suff w:val="nothing"/>
      <w:lvlText w:val=""/>
      <w:lvlJc w:val="left"/>
      <w:pPr>
        <w:tabs>
          <w:tab w:val="num" w:pos="5760"/>
        </w:tabs>
        <w:ind w:left="5760" w:hanging="1440"/>
      </w:pPr>
    </w:lvl>
    <w:lvl w:ilvl="8">
      <w:start w:val="1"/>
      <w:numFmt w:val="none"/>
      <w:suff w:val="nothing"/>
      <w:lvlText w:val=""/>
      <w:lvlJc w:val="left"/>
      <w:pPr>
        <w:tabs>
          <w:tab w:val="num" w:pos="5904"/>
        </w:tabs>
        <w:ind w:left="5904" w:hanging="1584"/>
      </w:pPr>
    </w:lvl>
  </w:abstractNum>
  <w:abstractNum w:abstractNumId="1" w15:restartNumberingAfterBreak="0">
    <w:nsid w:val="0000000B"/>
    <w:multiLevelType w:val="multilevel"/>
    <w:tmpl w:val="0A42EB92"/>
    <w:name w:val="WW8Num11"/>
    <w:lvl w:ilvl="0">
      <w:numFmt w:val="bullet"/>
      <w:lvlText w:val="-"/>
      <w:lvlJc w:val="left"/>
      <w:pPr>
        <w:tabs>
          <w:tab w:val="num" w:pos="720"/>
        </w:tabs>
        <w:ind w:left="720" w:hanging="360"/>
      </w:pPr>
      <w:rPr>
        <w:rFonts w:ascii="Calibri" w:eastAsia="SimSun" w:hAnsi="Calibri" w:cs="Calibri" w:hint="default"/>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8072C99"/>
    <w:multiLevelType w:val="hybridMultilevel"/>
    <w:tmpl w:val="347272BC"/>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3" w15:restartNumberingAfterBreak="0">
    <w:nsid w:val="089739A0"/>
    <w:multiLevelType w:val="hybridMultilevel"/>
    <w:tmpl w:val="C994E6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9BA6411"/>
    <w:multiLevelType w:val="hybridMultilevel"/>
    <w:tmpl w:val="355C734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233C4B"/>
    <w:multiLevelType w:val="hybridMultilevel"/>
    <w:tmpl w:val="A1829766"/>
    <w:lvl w:ilvl="0" w:tplc="04100003">
      <w:start w:val="1"/>
      <w:numFmt w:val="bullet"/>
      <w:lvlText w:val="o"/>
      <w:lvlJc w:val="left"/>
      <w:pPr>
        <w:ind w:left="186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181B0BBD"/>
    <w:multiLevelType w:val="hybridMultilevel"/>
    <w:tmpl w:val="0E78724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82619B2"/>
    <w:multiLevelType w:val="hybridMultilevel"/>
    <w:tmpl w:val="A0B6FE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D024A9"/>
    <w:multiLevelType w:val="hybridMultilevel"/>
    <w:tmpl w:val="3D80D4F8"/>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9" w15:restartNumberingAfterBreak="0">
    <w:nsid w:val="21573DC5"/>
    <w:multiLevelType w:val="hybridMultilevel"/>
    <w:tmpl w:val="DC80B844"/>
    <w:lvl w:ilvl="0" w:tplc="00000012">
      <w:start w:val="1"/>
      <w:numFmt w:val="bullet"/>
      <w:lvlText w:val=""/>
      <w:lvlJc w:val="left"/>
      <w:pPr>
        <w:tabs>
          <w:tab w:val="num" w:pos="926"/>
        </w:tabs>
        <w:ind w:left="926" w:hanging="360"/>
      </w:pPr>
      <w:rPr>
        <w:rFonts w:ascii="Symbol" w:hAnsi="Symbol" w:cs="Symbol"/>
      </w:rPr>
    </w:lvl>
    <w:lvl w:ilvl="1" w:tplc="04100003">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10" w15:restartNumberingAfterBreak="0">
    <w:nsid w:val="22D75D3C"/>
    <w:multiLevelType w:val="hybridMultilevel"/>
    <w:tmpl w:val="4412B3A0"/>
    <w:lvl w:ilvl="0" w:tplc="536E27DC">
      <w:numFmt w:val="bullet"/>
      <w:lvlText w:val="-"/>
      <w:lvlJc w:val="left"/>
      <w:pPr>
        <w:ind w:left="786" w:hanging="360"/>
      </w:pPr>
      <w:rPr>
        <w:rFonts w:ascii="Arial" w:eastAsia="Times New Roman" w:hAnsi="Arial" w:cs="Arial" w:hint="default"/>
        <w:color w:val="auto"/>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1" w15:restartNumberingAfterBreak="0">
    <w:nsid w:val="2E7571D0"/>
    <w:multiLevelType w:val="hybridMultilevel"/>
    <w:tmpl w:val="30B053FA"/>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3AE948F7"/>
    <w:multiLevelType w:val="hybridMultilevel"/>
    <w:tmpl w:val="E2D0C5C6"/>
    <w:lvl w:ilvl="0" w:tplc="925E8F0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A74014"/>
    <w:multiLevelType w:val="hybridMultilevel"/>
    <w:tmpl w:val="FEA47C18"/>
    <w:lvl w:ilvl="0" w:tplc="31947F74">
      <w:numFmt w:val="bullet"/>
      <w:lvlText w:val="-"/>
      <w:lvlJc w:val="left"/>
      <w:pPr>
        <w:tabs>
          <w:tab w:val="num" w:pos="720"/>
        </w:tabs>
        <w:ind w:left="720" w:hanging="360"/>
      </w:pPr>
      <w:rPr>
        <w:rFonts w:ascii="Times New Roman" w:eastAsia="Times New Roman" w:hAnsi="Times New Roman" w:cs="Times New Roman" w:hint="default"/>
        <w:b/>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1572A9"/>
    <w:multiLevelType w:val="hybridMultilevel"/>
    <w:tmpl w:val="174C2AA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15:restartNumberingAfterBreak="0">
    <w:nsid w:val="3F735402"/>
    <w:multiLevelType w:val="hybridMultilevel"/>
    <w:tmpl w:val="9168E698"/>
    <w:lvl w:ilvl="0" w:tplc="04100003">
      <w:start w:val="1"/>
      <w:numFmt w:val="bullet"/>
      <w:lvlText w:val="o"/>
      <w:lvlJc w:val="left"/>
      <w:pPr>
        <w:ind w:left="144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803AB6"/>
    <w:multiLevelType w:val="hybridMultilevel"/>
    <w:tmpl w:val="14AA3A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2E801E1"/>
    <w:multiLevelType w:val="hybridMultilevel"/>
    <w:tmpl w:val="9CA26E9C"/>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4BF1E39"/>
    <w:multiLevelType w:val="hybridMultilevel"/>
    <w:tmpl w:val="72DAB1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5D82AE2"/>
    <w:multiLevelType w:val="hybridMultilevel"/>
    <w:tmpl w:val="B4DCC872"/>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0" w15:restartNumberingAfterBreak="0">
    <w:nsid w:val="46E457A3"/>
    <w:multiLevelType w:val="hybridMultilevel"/>
    <w:tmpl w:val="EF5644A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49E35971"/>
    <w:multiLevelType w:val="hybridMultilevel"/>
    <w:tmpl w:val="4BAC8B2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3523046"/>
    <w:multiLevelType w:val="hybridMultilevel"/>
    <w:tmpl w:val="A648942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56D0B52"/>
    <w:multiLevelType w:val="hybridMultilevel"/>
    <w:tmpl w:val="DA9419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5FD0403"/>
    <w:multiLevelType w:val="hybridMultilevel"/>
    <w:tmpl w:val="3594DA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D0B445C"/>
    <w:multiLevelType w:val="hybridMultilevel"/>
    <w:tmpl w:val="995AB96A"/>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6" w15:restartNumberingAfterBreak="0">
    <w:nsid w:val="5D30392E"/>
    <w:multiLevelType w:val="hybridMultilevel"/>
    <w:tmpl w:val="C07A80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5053018"/>
    <w:multiLevelType w:val="hybridMultilevel"/>
    <w:tmpl w:val="1346DB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F635C8"/>
    <w:multiLevelType w:val="hybridMultilevel"/>
    <w:tmpl w:val="04F8F1FE"/>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9" w15:restartNumberingAfterBreak="0">
    <w:nsid w:val="6E8C41DE"/>
    <w:multiLevelType w:val="hybridMultilevel"/>
    <w:tmpl w:val="33F6DD64"/>
    <w:lvl w:ilvl="0" w:tplc="4B36CE1C">
      <w:numFmt w:val="bullet"/>
      <w:lvlText w:val="-"/>
      <w:lvlJc w:val="left"/>
      <w:pPr>
        <w:tabs>
          <w:tab w:val="num" w:pos="1570"/>
        </w:tabs>
        <w:ind w:left="1570" w:hanging="360"/>
      </w:pPr>
      <w:rPr>
        <w:rFonts w:ascii="Times New Roman" w:eastAsia="Times New Roman" w:hAnsi="Times New Roman" w:hint="default"/>
      </w:rPr>
    </w:lvl>
    <w:lvl w:ilvl="1" w:tplc="04100003">
      <w:start w:val="1"/>
      <w:numFmt w:val="bullet"/>
      <w:lvlText w:val="o"/>
      <w:lvlJc w:val="left"/>
      <w:pPr>
        <w:tabs>
          <w:tab w:val="num" w:pos="2290"/>
        </w:tabs>
        <w:ind w:left="2290" w:hanging="360"/>
      </w:pPr>
      <w:rPr>
        <w:rFonts w:ascii="Courier New" w:hAnsi="Courier New" w:hint="default"/>
      </w:rPr>
    </w:lvl>
    <w:lvl w:ilvl="2" w:tplc="04100005">
      <w:start w:val="1"/>
      <w:numFmt w:val="bullet"/>
      <w:lvlText w:val=""/>
      <w:lvlJc w:val="left"/>
      <w:pPr>
        <w:tabs>
          <w:tab w:val="num" w:pos="3010"/>
        </w:tabs>
        <w:ind w:left="3010" w:hanging="360"/>
      </w:pPr>
      <w:rPr>
        <w:rFonts w:ascii="Wingdings" w:hAnsi="Wingdings" w:hint="default"/>
      </w:rPr>
    </w:lvl>
    <w:lvl w:ilvl="3" w:tplc="04100001">
      <w:start w:val="1"/>
      <w:numFmt w:val="decimal"/>
      <w:lvlText w:val="%4."/>
      <w:lvlJc w:val="left"/>
      <w:pPr>
        <w:tabs>
          <w:tab w:val="num" w:pos="3730"/>
        </w:tabs>
        <w:ind w:left="3730" w:hanging="360"/>
      </w:pPr>
      <w:rPr>
        <w:rFonts w:cs="Times New Roman"/>
      </w:rPr>
    </w:lvl>
    <w:lvl w:ilvl="4" w:tplc="04100003">
      <w:start w:val="1"/>
      <w:numFmt w:val="decimal"/>
      <w:lvlText w:val="%5."/>
      <w:lvlJc w:val="left"/>
      <w:pPr>
        <w:tabs>
          <w:tab w:val="num" w:pos="4450"/>
        </w:tabs>
        <w:ind w:left="4450" w:hanging="360"/>
      </w:pPr>
      <w:rPr>
        <w:rFonts w:cs="Times New Roman"/>
      </w:rPr>
    </w:lvl>
    <w:lvl w:ilvl="5" w:tplc="04100005">
      <w:start w:val="1"/>
      <w:numFmt w:val="decimal"/>
      <w:lvlText w:val="%6."/>
      <w:lvlJc w:val="left"/>
      <w:pPr>
        <w:tabs>
          <w:tab w:val="num" w:pos="5170"/>
        </w:tabs>
        <w:ind w:left="5170" w:hanging="360"/>
      </w:pPr>
      <w:rPr>
        <w:rFonts w:cs="Times New Roman"/>
      </w:rPr>
    </w:lvl>
    <w:lvl w:ilvl="6" w:tplc="04100001">
      <w:start w:val="1"/>
      <w:numFmt w:val="decimal"/>
      <w:lvlText w:val="%7."/>
      <w:lvlJc w:val="left"/>
      <w:pPr>
        <w:tabs>
          <w:tab w:val="num" w:pos="5890"/>
        </w:tabs>
        <w:ind w:left="5890" w:hanging="360"/>
      </w:pPr>
      <w:rPr>
        <w:rFonts w:cs="Times New Roman"/>
      </w:rPr>
    </w:lvl>
    <w:lvl w:ilvl="7" w:tplc="04100003">
      <w:start w:val="1"/>
      <w:numFmt w:val="decimal"/>
      <w:lvlText w:val="%8."/>
      <w:lvlJc w:val="left"/>
      <w:pPr>
        <w:tabs>
          <w:tab w:val="num" w:pos="6610"/>
        </w:tabs>
        <w:ind w:left="6610" w:hanging="360"/>
      </w:pPr>
      <w:rPr>
        <w:rFonts w:cs="Times New Roman"/>
      </w:rPr>
    </w:lvl>
    <w:lvl w:ilvl="8" w:tplc="04100005">
      <w:start w:val="1"/>
      <w:numFmt w:val="decimal"/>
      <w:lvlText w:val="%9."/>
      <w:lvlJc w:val="left"/>
      <w:pPr>
        <w:tabs>
          <w:tab w:val="num" w:pos="7330"/>
        </w:tabs>
        <w:ind w:left="7330" w:hanging="360"/>
      </w:pPr>
      <w:rPr>
        <w:rFonts w:cs="Times New Roman"/>
      </w:rPr>
    </w:lvl>
  </w:abstractNum>
  <w:abstractNum w:abstractNumId="30" w15:restartNumberingAfterBreak="0">
    <w:nsid w:val="71AB046A"/>
    <w:multiLevelType w:val="multilevel"/>
    <w:tmpl w:val="F4FC09EC"/>
    <w:lvl w:ilvl="0">
      <w:numFmt w:val="bullet"/>
      <w:lvlText w:val="-"/>
      <w:lvlJc w:val="left"/>
      <w:pPr>
        <w:tabs>
          <w:tab w:val="num" w:pos="0"/>
        </w:tabs>
        <w:ind w:left="405" w:hanging="360"/>
      </w:pPr>
      <w:rPr>
        <w:rFonts w:ascii="Calibri" w:hAnsi="Calibri" w:cs="Calibri"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31" w15:restartNumberingAfterBreak="0">
    <w:nsid w:val="75977D53"/>
    <w:multiLevelType w:val="hybridMultilevel"/>
    <w:tmpl w:val="7F6E1E1E"/>
    <w:lvl w:ilvl="0" w:tplc="536E27DC">
      <w:numFmt w:val="bullet"/>
      <w:lvlText w:val="-"/>
      <w:lvlJc w:val="left"/>
      <w:pPr>
        <w:ind w:left="720" w:hanging="360"/>
      </w:pPr>
      <w:rPr>
        <w:rFonts w:ascii="Arial" w:eastAsia="Times New Roman" w:hAnsi="Arial" w:cs="Aria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9544B7D"/>
    <w:multiLevelType w:val="hybridMultilevel"/>
    <w:tmpl w:val="737A92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B5E1283"/>
    <w:multiLevelType w:val="hybridMultilevel"/>
    <w:tmpl w:val="D876C4B4"/>
    <w:lvl w:ilvl="0" w:tplc="82DE1DFA">
      <w:start w:val="1"/>
      <w:numFmt w:val="bullet"/>
      <w:lvlText w:val="-"/>
      <w:lvlJc w:val="left"/>
      <w:pPr>
        <w:ind w:left="720" w:hanging="360"/>
      </w:pPr>
      <w:rPr>
        <w:rFont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BBC3439"/>
    <w:multiLevelType w:val="hybridMultilevel"/>
    <w:tmpl w:val="3970FE52"/>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C290F1C"/>
    <w:multiLevelType w:val="hybridMultilevel"/>
    <w:tmpl w:val="BB8C949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56183594">
    <w:abstractNumId w:val="22"/>
  </w:num>
  <w:num w:numId="2" w16cid:durableId="195433949">
    <w:abstractNumId w:val="3"/>
  </w:num>
  <w:num w:numId="3" w16cid:durableId="874733837">
    <w:abstractNumId w:val="6"/>
  </w:num>
  <w:num w:numId="4" w16cid:durableId="715131467">
    <w:abstractNumId w:val="35"/>
  </w:num>
  <w:num w:numId="5" w16cid:durableId="802890283">
    <w:abstractNumId w:val="17"/>
  </w:num>
  <w:num w:numId="6" w16cid:durableId="1111824576">
    <w:abstractNumId w:val="4"/>
  </w:num>
  <w:num w:numId="7" w16cid:durableId="351956101">
    <w:abstractNumId w:val="15"/>
  </w:num>
  <w:num w:numId="8" w16cid:durableId="520167427">
    <w:abstractNumId w:val="5"/>
  </w:num>
  <w:num w:numId="9" w16cid:durableId="889655596">
    <w:abstractNumId w:val="21"/>
  </w:num>
  <w:num w:numId="10" w16cid:durableId="914322223">
    <w:abstractNumId w:val="16"/>
  </w:num>
  <w:num w:numId="11" w16cid:durableId="1355769402">
    <w:abstractNumId w:val="18"/>
  </w:num>
  <w:num w:numId="12" w16cid:durableId="1717509894">
    <w:abstractNumId w:val="11"/>
  </w:num>
  <w:num w:numId="13" w16cid:durableId="79372689">
    <w:abstractNumId w:val="34"/>
  </w:num>
  <w:num w:numId="14" w16cid:durableId="585723108">
    <w:abstractNumId w:val="19"/>
  </w:num>
  <w:num w:numId="15" w16cid:durableId="535653424">
    <w:abstractNumId w:val="7"/>
  </w:num>
  <w:num w:numId="16" w16cid:durableId="398944711">
    <w:abstractNumId w:val="27"/>
  </w:num>
  <w:num w:numId="17" w16cid:durableId="1010067294">
    <w:abstractNumId w:val="20"/>
  </w:num>
  <w:num w:numId="18" w16cid:durableId="566381576">
    <w:abstractNumId w:val="28"/>
  </w:num>
  <w:num w:numId="19" w16cid:durableId="1245647142">
    <w:abstractNumId w:val="32"/>
  </w:num>
  <w:num w:numId="20" w16cid:durableId="380055680">
    <w:abstractNumId w:val="24"/>
  </w:num>
  <w:num w:numId="21" w16cid:durableId="720444793">
    <w:abstractNumId w:val="25"/>
  </w:num>
  <w:num w:numId="22" w16cid:durableId="1273707391">
    <w:abstractNumId w:val="2"/>
  </w:num>
  <w:num w:numId="23" w16cid:durableId="2002387687">
    <w:abstractNumId w:val="23"/>
  </w:num>
  <w:num w:numId="24" w16cid:durableId="773287523">
    <w:abstractNumId w:val="12"/>
  </w:num>
  <w:num w:numId="25" w16cid:durableId="223222800">
    <w:abstractNumId w:val="0"/>
  </w:num>
  <w:num w:numId="26" w16cid:durableId="2101173116">
    <w:abstractNumId w:val="9"/>
  </w:num>
  <w:num w:numId="27" w16cid:durableId="1975019852">
    <w:abstractNumId w:val="13"/>
  </w:num>
  <w:num w:numId="28" w16cid:durableId="5132083">
    <w:abstractNumId w:val="2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954589">
    <w:abstractNumId w:val="30"/>
  </w:num>
  <w:num w:numId="30" w16cid:durableId="212102966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229684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9473237">
    <w:abstractNumId w:val="26"/>
  </w:num>
  <w:num w:numId="33" w16cid:durableId="2081636802">
    <w:abstractNumId w:val="10"/>
  </w:num>
  <w:num w:numId="34" w16cid:durableId="939096066">
    <w:abstractNumId w:val="1"/>
  </w:num>
  <w:num w:numId="35" w16cid:durableId="1130172853">
    <w:abstractNumId w:val="31"/>
  </w:num>
  <w:num w:numId="36" w16cid:durableId="3267903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it-IT"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671A"/>
    <w:rsid w:val="00007EBF"/>
    <w:rsid w:val="00013111"/>
    <w:rsid w:val="000173DF"/>
    <w:rsid w:val="00017656"/>
    <w:rsid w:val="00022A46"/>
    <w:rsid w:val="0003004D"/>
    <w:rsid w:val="00035227"/>
    <w:rsid w:val="00040D09"/>
    <w:rsid w:val="000416B2"/>
    <w:rsid w:val="0005267D"/>
    <w:rsid w:val="00052A38"/>
    <w:rsid w:val="0005331C"/>
    <w:rsid w:val="00053FF5"/>
    <w:rsid w:val="000547E9"/>
    <w:rsid w:val="0007367C"/>
    <w:rsid w:val="000738A2"/>
    <w:rsid w:val="000839D6"/>
    <w:rsid w:val="00092CEC"/>
    <w:rsid w:val="000952BD"/>
    <w:rsid w:val="000A47FC"/>
    <w:rsid w:val="000D0846"/>
    <w:rsid w:val="000E50B2"/>
    <w:rsid w:val="000F4421"/>
    <w:rsid w:val="000F7239"/>
    <w:rsid w:val="00110351"/>
    <w:rsid w:val="00114C75"/>
    <w:rsid w:val="0012428B"/>
    <w:rsid w:val="00126A48"/>
    <w:rsid w:val="001334FA"/>
    <w:rsid w:val="001468DD"/>
    <w:rsid w:val="00146ED9"/>
    <w:rsid w:val="00154134"/>
    <w:rsid w:val="001574E1"/>
    <w:rsid w:val="0016001A"/>
    <w:rsid w:val="001649B2"/>
    <w:rsid w:val="00167D8A"/>
    <w:rsid w:val="001727A8"/>
    <w:rsid w:val="0017326F"/>
    <w:rsid w:val="0017724B"/>
    <w:rsid w:val="00177461"/>
    <w:rsid w:val="00182B5B"/>
    <w:rsid w:val="00184349"/>
    <w:rsid w:val="00184AB3"/>
    <w:rsid w:val="00185495"/>
    <w:rsid w:val="00187A89"/>
    <w:rsid w:val="001969A8"/>
    <w:rsid w:val="001A0BB4"/>
    <w:rsid w:val="001A1F71"/>
    <w:rsid w:val="001C0143"/>
    <w:rsid w:val="001D7153"/>
    <w:rsid w:val="001D76DF"/>
    <w:rsid w:val="001E2C48"/>
    <w:rsid w:val="001E6655"/>
    <w:rsid w:val="001E7B49"/>
    <w:rsid w:val="001F212B"/>
    <w:rsid w:val="00201E22"/>
    <w:rsid w:val="00202F95"/>
    <w:rsid w:val="0020372A"/>
    <w:rsid w:val="00203B66"/>
    <w:rsid w:val="002139E0"/>
    <w:rsid w:val="002165E8"/>
    <w:rsid w:val="00217F04"/>
    <w:rsid w:val="002217EF"/>
    <w:rsid w:val="00221A88"/>
    <w:rsid w:val="00224BAD"/>
    <w:rsid w:val="00226511"/>
    <w:rsid w:val="00232350"/>
    <w:rsid w:val="00237DAA"/>
    <w:rsid w:val="002407A7"/>
    <w:rsid w:val="002408DE"/>
    <w:rsid w:val="002508AB"/>
    <w:rsid w:val="00252CC0"/>
    <w:rsid w:val="0025518F"/>
    <w:rsid w:val="002770B3"/>
    <w:rsid w:val="00282010"/>
    <w:rsid w:val="002902B4"/>
    <w:rsid w:val="00293407"/>
    <w:rsid w:val="00293834"/>
    <w:rsid w:val="00296449"/>
    <w:rsid w:val="002A7BE9"/>
    <w:rsid w:val="002B1979"/>
    <w:rsid w:val="002B4335"/>
    <w:rsid w:val="002B67CC"/>
    <w:rsid w:val="002C0416"/>
    <w:rsid w:val="002C7362"/>
    <w:rsid w:val="002D67B3"/>
    <w:rsid w:val="002E41BD"/>
    <w:rsid w:val="002F135D"/>
    <w:rsid w:val="00302871"/>
    <w:rsid w:val="00312638"/>
    <w:rsid w:val="0032315D"/>
    <w:rsid w:val="00327B2D"/>
    <w:rsid w:val="00330C56"/>
    <w:rsid w:val="0033161E"/>
    <w:rsid w:val="00341C5C"/>
    <w:rsid w:val="00341F83"/>
    <w:rsid w:val="003422CA"/>
    <w:rsid w:val="003462FF"/>
    <w:rsid w:val="003470E0"/>
    <w:rsid w:val="0036190C"/>
    <w:rsid w:val="00365F8C"/>
    <w:rsid w:val="0039132A"/>
    <w:rsid w:val="00394F4B"/>
    <w:rsid w:val="003A084B"/>
    <w:rsid w:val="003A3B75"/>
    <w:rsid w:val="003A4D3B"/>
    <w:rsid w:val="003B1309"/>
    <w:rsid w:val="003B1E32"/>
    <w:rsid w:val="003B3486"/>
    <w:rsid w:val="003C2D46"/>
    <w:rsid w:val="003C3E67"/>
    <w:rsid w:val="003C5252"/>
    <w:rsid w:val="003C7908"/>
    <w:rsid w:val="003D0D33"/>
    <w:rsid w:val="003D1C1E"/>
    <w:rsid w:val="003D3A7A"/>
    <w:rsid w:val="003D7B9A"/>
    <w:rsid w:val="003E6272"/>
    <w:rsid w:val="003F2048"/>
    <w:rsid w:val="00402973"/>
    <w:rsid w:val="00402B9F"/>
    <w:rsid w:val="004143BA"/>
    <w:rsid w:val="00414E1D"/>
    <w:rsid w:val="00417BF5"/>
    <w:rsid w:val="004227B5"/>
    <w:rsid w:val="0043258E"/>
    <w:rsid w:val="0043640B"/>
    <w:rsid w:val="00441C9F"/>
    <w:rsid w:val="00444429"/>
    <w:rsid w:val="00446529"/>
    <w:rsid w:val="004551DB"/>
    <w:rsid w:val="0045540D"/>
    <w:rsid w:val="00471DEA"/>
    <w:rsid w:val="00495CAE"/>
    <w:rsid w:val="004B7C57"/>
    <w:rsid w:val="004C099D"/>
    <w:rsid w:val="004C17DE"/>
    <w:rsid w:val="004C6EF6"/>
    <w:rsid w:val="004D0565"/>
    <w:rsid w:val="004D16A0"/>
    <w:rsid w:val="004F6227"/>
    <w:rsid w:val="00502A01"/>
    <w:rsid w:val="00505197"/>
    <w:rsid w:val="00507CC0"/>
    <w:rsid w:val="00511B9E"/>
    <w:rsid w:val="00513AF2"/>
    <w:rsid w:val="00521FAB"/>
    <w:rsid w:val="0052450F"/>
    <w:rsid w:val="00524741"/>
    <w:rsid w:val="00524A39"/>
    <w:rsid w:val="00531438"/>
    <w:rsid w:val="00552C27"/>
    <w:rsid w:val="0055621B"/>
    <w:rsid w:val="005575E9"/>
    <w:rsid w:val="00562575"/>
    <w:rsid w:val="0056665C"/>
    <w:rsid w:val="00577278"/>
    <w:rsid w:val="0058096F"/>
    <w:rsid w:val="005816BF"/>
    <w:rsid w:val="00582DCC"/>
    <w:rsid w:val="00583CBF"/>
    <w:rsid w:val="005850BD"/>
    <w:rsid w:val="005926B8"/>
    <w:rsid w:val="005962CA"/>
    <w:rsid w:val="00597DE2"/>
    <w:rsid w:val="005A19C9"/>
    <w:rsid w:val="005A6AEB"/>
    <w:rsid w:val="005C135C"/>
    <w:rsid w:val="005C6676"/>
    <w:rsid w:val="005C6FA7"/>
    <w:rsid w:val="005D3B2A"/>
    <w:rsid w:val="005F4A56"/>
    <w:rsid w:val="00603167"/>
    <w:rsid w:val="006047FD"/>
    <w:rsid w:val="0060595E"/>
    <w:rsid w:val="0061108F"/>
    <w:rsid w:val="006308A8"/>
    <w:rsid w:val="0063443C"/>
    <w:rsid w:val="006436A9"/>
    <w:rsid w:val="00647975"/>
    <w:rsid w:val="00650CA2"/>
    <w:rsid w:val="00657B84"/>
    <w:rsid w:val="00664616"/>
    <w:rsid w:val="00671DFB"/>
    <w:rsid w:val="006A3A38"/>
    <w:rsid w:val="006A67DD"/>
    <w:rsid w:val="006B4CC0"/>
    <w:rsid w:val="006D6C4F"/>
    <w:rsid w:val="006E017B"/>
    <w:rsid w:val="006E0A80"/>
    <w:rsid w:val="006E407B"/>
    <w:rsid w:val="006F014F"/>
    <w:rsid w:val="006F3890"/>
    <w:rsid w:val="006F5909"/>
    <w:rsid w:val="006F6F49"/>
    <w:rsid w:val="006F738D"/>
    <w:rsid w:val="00706842"/>
    <w:rsid w:val="00712E5F"/>
    <w:rsid w:val="00713C55"/>
    <w:rsid w:val="007177C8"/>
    <w:rsid w:val="00722DE7"/>
    <w:rsid w:val="007263F9"/>
    <w:rsid w:val="00734249"/>
    <w:rsid w:val="00735A91"/>
    <w:rsid w:val="00737224"/>
    <w:rsid w:val="00767717"/>
    <w:rsid w:val="00781B8F"/>
    <w:rsid w:val="00784421"/>
    <w:rsid w:val="00787944"/>
    <w:rsid w:val="00790A1A"/>
    <w:rsid w:val="007A1515"/>
    <w:rsid w:val="007A6AC8"/>
    <w:rsid w:val="007A6C44"/>
    <w:rsid w:val="007A759D"/>
    <w:rsid w:val="007C2200"/>
    <w:rsid w:val="007C2CCE"/>
    <w:rsid w:val="007C321A"/>
    <w:rsid w:val="007D22D3"/>
    <w:rsid w:val="007D2D6B"/>
    <w:rsid w:val="007E2464"/>
    <w:rsid w:val="007E40E0"/>
    <w:rsid w:val="007E49DE"/>
    <w:rsid w:val="007F1ED9"/>
    <w:rsid w:val="007F774D"/>
    <w:rsid w:val="008015A0"/>
    <w:rsid w:val="008114D0"/>
    <w:rsid w:val="00824830"/>
    <w:rsid w:val="0082559D"/>
    <w:rsid w:val="008260CC"/>
    <w:rsid w:val="00831744"/>
    <w:rsid w:val="0083541B"/>
    <w:rsid w:val="008454F2"/>
    <w:rsid w:val="008502BC"/>
    <w:rsid w:val="00854F48"/>
    <w:rsid w:val="00855209"/>
    <w:rsid w:val="008602BD"/>
    <w:rsid w:val="00862606"/>
    <w:rsid w:val="00871D08"/>
    <w:rsid w:val="00876925"/>
    <w:rsid w:val="00880F2A"/>
    <w:rsid w:val="008954CC"/>
    <w:rsid w:val="008A0A02"/>
    <w:rsid w:val="008A125F"/>
    <w:rsid w:val="008A52C8"/>
    <w:rsid w:val="008A7966"/>
    <w:rsid w:val="008B0D58"/>
    <w:rsid w:val="008B69CC"/>
    <w:rsid w:val="008C1218"/>
    <w:rsid w:val="008C3FB0"/>
    <w:rsid w:val="008C7B6F"/>
    <w:rsid w:val="008D03CE"/>
    <w:rsid w:val="008D1A41"/>
    <w:rsid w:val="008E78EE"/>
    <w:rsid w:val="00904D8C"/>
    <w:rsid w:val="00914ABD"/>
    <w:rsid w:val="00922381"/>
    <w:rsid w:val="00923624"/>
    <w:rsid w:val="00923657"/>
    <w:rsid w:val="0093296C"/>
    <w:rsid w:val="0093671A"/>
    <w:rsid w:val="00945502"/>
    <w:rsid w:val="0094601B"/>
    <w:rsid w:val="0096146F"/>
    <w:rsid w:val="00962FE1"/>
    <w:rsid w:val="00972904"/>
    <w:rsid w:val="009812A2"/>
    <w:rsid w:val="0099356C"/>
    <w:rsid w:val="00996660"/>
    <w:rsid w:val="009B14B2"/>
    <w:rsid w:val="009C08DD"/>
    <w:rsid w:val="009C415F"/>
    <w:rsid w:val="009C4C5A"/>
    <w:rsid w:val="009D5393"/>
    <w:rsid w:val="009E21B9"/>
    <w:rsid w:val="009E3511"/>
    <w:rsid w:val="009E79BC"/>
    <w:rsid w:val="009F6950"/>
    <w:rsid w:val="00A06F77"/>
    <w:rsid w:val="00A15B3F"/>
    <w:rsid w:val="00A174BD"/>
    <w:rsid w:val="00A32D56"/>
    <w:rsid w:val="00A33B25"/>
    <w:rsid w:val="00A45A33"/>
    <w:rsid w:val="00A811B1"/>
    <w:rsid w:val="00A817B0"/>
    <w:rsid w:val="00A86144"/>
    <w:rsid w:val="00A87DC8"/>
    <w:rsid w:val="00A90CC9"/>
    <w:rsid w:val="00A91418"/>
    <w:rsid w:val="00A976A3"/>
    <w:rsid w:val="00AA689A"/>
    <w:rsid w:val="00AC2771"/>
    <w:rsid w:val="00AC3E58"/>
    <w:rsid w:val="00AC6FE1"/>
    <w:rsid w:val="00AD26EF"/>
    <w:rsid w:val="00AE0E7D"/>
    <w:rsid w:val="00AE27BD"/>
    <w:rsid w:val="00AF16C5"/>
    <w:rsid w:val="00AF1BC0"/>
    <w:rsid w:val="00AF3052"/>
    <w:rsid w:val="00AF4E73"/>
    <w:rsid w:val="00AF5856"/>
    <w:rsid w:val="00AF66EA"/>
    <w:rsid w:val="00B03DFA"/>
    <w:rsid w:val="00B05A08"/>
    <w:rsid w:val="00B13AB9"/>
    <w:rsid w:val="00B14762"/>
    <w:rsid w:val="00B15605"/>
    <w:rsid w:val="00B159B3"/>
    <w:rsid w:val="00B22930"/>
    <w:rsid w:val="00B26B37"/>
    <w:rsid w:val="00B32588"/>
    <w:rsid w:val="00B357F0"/>
    <w:rsid w:val="00B3627C"/>
    <w:rsid w:val="00B421AB"/>
    <w:rsid w:val="00B462A7"/>
    <w:rsid w:val="00B64A18"/>
    <w:rsid w:val="00B714C7"/>
    <w:rsid w:val="00B73E77"/>
    <w:rsid w:val="00B83763"/>
    <w:rsid w:val="00B929F0"/>
    <w:rsid w:val="00BA6254"/>
    <w:rsid w:val="00BB1514"/>
    <w:rsid w:val="00BB6E60"/>
    <w:rsid w:val="00BC56C2"/>
    <w:rsid w:val="00BD4E1D"/>
    <w:rsid w:val="00BD5CAA"/>
    <w:rsid w:val="00BE5D0E"/>
    <w:rsid w:val="00BF5C83"/>
    <w:rsid w:val="00C02017"/>
    <w:rsid w:val="00C061AA"/>
    <w:rsid w:val="00C145AC"/>
    <w:rsid w:val="00C27F0D"/>
    <w:rsid w:val="00C31880"/>
    <w:rsid w:val="00C36D3A"/>
    <w:rsid w:val="00C370EA"/>
    <w:rsid w:val="00C43012"/>
    <w:rsid w:val="00C43425"/>
    <w:rsid w:val="00C44A04"/>
    <w:rsid w:val="00C45847"/>
    <w:rsid w:val="00C5163D"/>
    <w:rsid w:val="00CB0453"/>
    <w:rsid w:val="00CB0CBF"/>
    <w:rsid w:val="00CB16F1"/>
    <w:rsid w:val="00CB280C"/>
    <w:rsid w:val="00CB31ED"/>
    <w:rsid w:val="00CB56F6"/>
    <w:rsid w:val="00CB7863"/>
    <w:rsid w:val="00CC303F"/>
    <w:rsid w:val="00CC47BC"/>
    <w:rsid w:val="00CD0FF0"/>
    <w:rsid w:val="00CD2693"/>
    <w:rsid w:val="00CE0E81"/>
    <w:rsid w:val="00CF261A"/>
    <w:rsid w:val="00CF3E3D"/>
    <w:rsid w:val="00D004C3"/>
    <w:rsid w:val="00D06116"/>
    <w:rsid w:val="00D10E0A"/>
    <w:rsid w:val="00D114BE"/>
    <w:rsid w:val="00D13677"/>
    <w:rsid w:val="00D31022"/>
    <w:rsid w:val="00D31ED1"/>
    <w:rsid w:val="00D32C5E"/>
    <w:rsid w:val="00D37EF6"/>
    <w:rsid w:val="00D461FC"/>
    <w:rsid w:val="00D475BD"/>
    <w:rsid w:val="00D47E67"/>
    <w:rsid w:val="00D57E19"/>
    <w:rsid w:val="00D63794"/>
    <w:rsid w:val="00D6423D"/>
    <w:rsid w:val="00D678F1"/>
    <w:rsid w:val="00D75C2F"/>
    <w:rsid w:val="00D806A1"/>
    <w:rsid w:val="00D81E98"/>
    <w:rsid w:val="00D96FD3"/>
    <w:rsid w:val="00DB2CA9"/>
    <w:rsid w:val="00DB37F3"/>
    <w:rsid w:val="00DC0A67"/>
    <w:rsid w:val="00DC1BFF"/>
    <w:rsid w:val="00DC7F91"/>
    <w:rsid w:val="00DD1C9E"/>
    <w:rsid w:val="00DE288F"/>
    <w:rsid w:val="00DF130A"/>
    <w:rsid w:val="00DF513E"/>
    <w:rsid w:val="00E01351"/>
    <w:rsid w:val="00E042C0"/>
    <w:rsid w:val="00E16E27"/>
    <w:rsid w:val="00E21FBC"/>
    <w:rsid w:val="00E22984"/>
    <w:rsid w:val="00E23E65"/>
    <w:rsid w:val="00E26C94"/>
    <w:rsid w:val="00E42DEF"/>
    <w:rsid w:val="00E475C9"/>
    <w:rsid w:val="00E5147A"/>
    <w:rsid w:val="00E51C65"/>
    <w:rsid w:val="00E562A8"/>
    <w:rsid w:val="00E73540"/>
    <w:rsid w:val="00E80068"/>
    <w:rsid w:val="00E80A15"/>
    <w:rsid w:val="00E81CE7"/>
    <w:rsid w:val="00E90F8F"/>
    <w:rsid w:val="00EA6CE6"/>
    <w:rsid w:val="00EC74EB"/>
    <w:rsid w:val="00ED54CD"/>
    <w:rsid w:val="00EE107E"/>
    <w:rsid w:val="00EE5079"/>
    <w:rsid w:val="00EF76BB"/>
    <w:rsid w:val="00F028EB"/>
    <w:rsid w:val="00F157BD"/>
    <w:rsid w:val="00F17B22"/>
    <w:rsid w:val="00F2363F"/>
    <w:rsid w:val="00F23E1C"/>
    <w:rsid w:val="00F25B6A"/>
    <w:rsid w:val="00F263FB"/>
    <w:rsid w:val="00F43B2B"/>
    <w:rsid w:val="00F46B60"/>
    <w:rsid w:val="00F51B12"/>
    <w:rsid w:val="00F52110"/>
    <w:rsid w:val="00F647BE"/>
    <w:rsid w:val="00F7218A"/>
    <w:rsid w:val="00F75F27"/>
    <w:rsid w:val="00F90150"/>
    <w:rsid w:val="00F91D15"/>
    <w:rsid w:val="00F9267E"/>
    <w:rsid w:val="00F94E8A"/>
    <w:rsid w:val="00F96601"/>
    <w:rsid w:val="00F96C14"/>
    <w:rsid w:val="00FA58A2"/>
    <w:rsid w:val="00FB41D7"/>
    <w:rsid w:val="00FB4E3C"/>
    <w:rsid w:val="00FC21FE"/>
    <w:rsid w:val="00FC313A"/>
    <w:rsid w:val="00FC5439"/>
    <w:rsid w:val="00FE073C"/>
    <w:rsid w:val="00FF4C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FCAF"/>
  <w15:docId w15:val="{9E870B49-E5B7-44C2-9EFD-07F3E48C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671A"/>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qFormat/>
    <w:rsid w:val="00CB0CBF"/>
    <w:pPr>
      <w:keepNext/>
      <w:numPr>
        <w:ilvl w:val="2"/>
        <w:numId w:val="25"/>
      </w:numPr>
      <w:suppressAutoHyphens/>
      <w:outlineLvl w:val="2"/>
    </w:pPr>
    <w:rPr>
      <w:b/>
      <w:smallCaps/>
      <w:sz w:val="16"/>
      <w:szCs w:val="20"/>
      <w:lang w:eastAsia="ar-SA"/>
    </w:rPr>
  </w:style>
  <w:style w:type="paragraph" w:styleId="Titolo7">
    <w:name w:val="heading 7"/>
    <w:basedOn w:val="Normale"/>
    <w:next w:val="Normale"/>
    <w:link w:val="Titolo7Carattere"/>
    <w:qFormat/>
    <w:rsid w:val="00CB0CBF"/>
    <w:pPr>
      <w:keepNext/>
      <w:numPr>
        <w:ilvl w:val="6"/>
        <w:numId w:val="25"/>
      </w:numPr>
      <w:tabs>
        <w:tab w:val="left" w:pos="3402"/>
      </w:tabs>
      <w:suppressAutoHyphens/>
      <w:ind w:right="6236"/>
      <w:jc w:val="center"/>
      <w:outlineLvl w:val="6"/>
    </w:pPr>
    <w:rPr>
      <w:rFonts w:ascii="Arial" w:hAnsi="Arial" w:cs="Arial"/>
      <w:b/>
      <w:i/>
      <w:sz w:val="20"/>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A3B75"/>
    <w:pPr>
      <w:ind w:left="720"/>
      <w:contextualSpacing/>
    </w:pPr>
  </w:style>
  <w:style w:type="paragraph" w:styleId="Testofumetto">
    <w:name w:val="Balloon Text"/>
    <w:basedOn w:val="Normale"/>
    <w:link w:val="TestofumettoCarattere"/>
    <w:uiPriority w:val="99"/>
    <w:semiHidden/>
    <w:unhideWhenUsed/>
    <w:rsid w:val="001E2C4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E2C48"/>
    <w:rPr>
      <w:rFonts w:ascii="Segoe UI" w:eastAsia="Times New Roman" w:hAnsi="Segoe UI" w:cs="Segoe UI"/>
      <w:sz w:val="18"/>
      <w:szCs w:val="18"/>
      <w:lang w:eastAsia="it-IT"/>
    </w:rPr>
  </w:style>
  <w:style w:type="character" w:customStyle="1" w:styleId="Titolo3Carattere">
    <w:name w:val="Titolo 3 Carattere"/>
    <w:basedOn w:val="Carpredefinitoparagrafo"/>
    <w:link w:val="Titolo3"/>
    <w:rsid w:val="00CB0CBF"/>
    <w:rPr>
      <w:rFonts w:ascii="Times New Roman" w:eastAsia="Times New Roman" w:hAnsi="Times New Roman" w:cs="Times New Roman"/>
      <w:b/>
      <w:smallCaps/>
      <w:sz w:val="16"/>
      <w:szCs w:val="20"/>
      <w:lang w:eastAsia="ar-SA"/>
    </w:rPr>
  </w:style>
  <w:style w:type="character" w:customStyle="1" w:styleId="Titolo7Carattere">
    <w:name w:val="Titolo 7 Carattere"/>
    <w:basedOn w:val="Carpredefinitoparagrafo"/>
    <w:link w:val="Titolo7"/>
    <w:rsid w:val="00CB0CBF"/>
    <w:rPr>
      <w:rFonts w:ascii="Arial" w:eastAsia="Times New Roman" w:hAnsi="Arial" w:cs="Arial"/>
      <w:b/>
      <w:i/>
      <w:sz w:val="20"/>
      <w:szCs w:val="20"/>
      <w:lang w:eastAsia="ar-SA"/>
    </w:rPr>
  </w:style>
  <w:style w:type="paragraph" w:customStyle="1" w:styleId="Corpodeltesto21">
    <w:name w:val="Corpo del testo 21"/>
    <w:basedOn w:val="Normale"/>
    <w:rsid w:val="008E78EE"/>
    <w:pPr>
      <w:tabs>
        <w:tab w:val="left" w:pos="5670"/>
      </w:tabs>
      <w:suppressAutoHyphens/>
      <w:jc w:val="both"/>
    </w:pPr>
    <w:rPr>
      <w:szCs w:val="20"/>
      <w:lang w:eastAsia="ar-SA"/>
    </w:rPr>
  </w:style>
  <w:style w:type="paragraph" w:styleId="Nessunaspaziatura">
    <w:name w:val="No Spacing"/>
    <w:uiPriority w:val="1"/>
    <w:qFormat/>
    <w:rsid w:val="0043640B"/>
    <w:pPr>
      <w:widowControl w:val="0"/>
      <w:suppressAutoHyphens/>
      <w:spacing w:after="0" w:line="240" w:lineRule="auto"/>
    </w:pPr>
    <w:rPr>
      <w:rFonts w:ascii="Liberation Serif" w:eastAsia="SimSun" w:hAnsi="Liberation Serif" w:cs="Mangal"/>
      <w:kern w:val="1"/>
      <w:sz w:val="24"/>
      <w:szCs w:val="21"/>
      <w:lang w:eastAsia="zh-CN" w:bidi="hi-IN"/>
    </w:rPr>
  </w:style>
  <w:style w:type="paragraph" w:styleId="Intestazione">
    <w:name w:val="header"/>
    <w:basedOn w:val="Normale"/>
    <w:link w:val="IntestazioneCarattere"/>
    <w:uiPriority w:val="99"/>
    <w:unhideWhenUsed/>
    <w:rsid w:val="00A45A33"/>
    <w:pPr>
      <w:tabs>
        <w:tab w:val="center" w:pos="4819"/>
        <w:tab w:val="right" w:pos="9638"/>
      </w:tabs>
    </w:pPr>
  </w:style>
  <w:style w:type="character" w:customStyle="1" w:styleId="IntestazioneCarattere">
    <w:name w:val="Intestazione Carattere"/>
    <w:basedOn w:val="Carpredefinitoparagrafo"/>
    <w:link w:val="Intestazione"/>
    <w:uiPriority w:val="99"/>
    <w:qFormat/>
    <w:rsid w:val="00A45A33"/>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A45A33"/>
    <w:pPr>
      <w:tabs>
        <w:tab w:val="center" w:pos="4819"/>
        <w:tab w:val="right" w:pos="9638"/>
      </w:tabs>
    </w:pPr>
  </w:style>
  <w:style w:type="character" w:customStyle="1" w:styleId="PidipaginaCarattere">
    <w:name w:val="Piè di pagina Carattere"/>
    <w:basedOn w:val="Carpredefinitoparagrafo"/>
    <w:link w:val="Pidipagina"/>
    <w:uiPriority w:val="99"/>
    <w:rsid w:val="00A45A33"/>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77530">
      <w:bodyDiv w:val="1"/>
      <w:marLeft w:val="0"/>
      <w:marRight w:val="0"/>
      <w:marTop w:val="0"/>
      <w:marBottom w:val="0"/>
      <w:divBdr>
        <w:top w:val="none" w:sz="0" w:space="0" w:color="auto"/>
        <w:left w:val="none" w:sz="0" w:space="0" w:color="auto"/>
        <w:bottom w:val="none" w:sz="0" w:space="0" w:color="auto"/>
        <w:right w:val="none" w:sz="0" w:space="0" w:color="auto"/>
      </w:divBdr>
      <w:divsChild>
        <w:div w:id="786436376">
          <w:marLeft w:val="0"/>
          <w:marRight w:val="0"/>
          <w:marTop w:val="0"/>
          <w:marBottom w:val="0"/>
          <w:divBdr>
            <w:top w:val="none" w:sz="0" w:space="0" w:color="auto"/>
            <w:left w:val="none" w:sz="0" w:space="0" w:color="auto"/>
            <w:bottom w:val="none" w:sz="0" w:space="0" w:color="auto"/>
            <w:right w:val="none" w:sz="0" w:space="0" w:color="auto"/>
          </w:divBdr>
          <w:divsChild>
            <w:div w:id="1852253728">
              <w:marLeft w:val="0"/>
              <w:marRight w:val="0"/>
              <w:marTop w:val="0"/>
              <w:marBottom w:val="0"/>
              <w:divBdr>
                <w:top w:val="none" w:sz="0" w:space="0" w:color="auto"/>
                <w:left w:val="none" w:sz="0" w:space="0" w:color="auto"/>
                <w:bottom w:val="none" w:sz="0" w:space="0" w:color="auto"/>
                <w:right w:val="none" w:sz="0" w:space="0" w:color="auto"/>
              </w:divBdr>
            </w:div>
          </w:divsChild>
        </w:div>
        <w:div w:id="1537427281">
          <w:marLeft w:val="0"/>
          <w:marRight w:val="0"/>
          <w:marTop w:val="0"/>
          <w:marBottom w:val="0"/>
          <w:divBdr>
            <w:top w:val="none" w:sz="0" w:space="0" w:color="auto"/>
            <w:left w:val="none" w:sz="0" w:space="0" w:color="auto"/>
            <w:bottom w:val="none" w:sz="0" w:space="0" w:color="auto"/>
            <w:right w:val="none" w:sz="0" w:space="0" w:color="auto"/>
          </w:divBdr>
        </w:div>
        <w:div w:id="422074213">
          <w:marLeft w:val="0"/>
          <w:marRight w:val="0"/>
          <w:marTop w:val="0"/>
          <w:marBottom w:val="0"/>
          <w:divBdr>
            <w:top w:val="none" w:sz="0" w:space="0" w:color="auto"/>
            <w:left w:val="none" w:sz="0" w:space="0" w:color="auto"/>
            <w:bottom w:val="none" w:sz="0" w:space="0" w:color="auto"/>
            <w:right w:val="none" w:sz="0" w:space="0" w:color="auto"/>
          </w:divBdr>
        </w:div>
        <w:div w:id="1734307310">
          <w:marLeft w:val="0"/>
          <w:marRight w:val="0"/>
          <w:marTop w:val="0"/>
          <w:marBottom w:val="0"/>
          <w:divBdr>
            <w:top w:val="none" w:sz="0" w:space="0" w:color="auto"/>
            <w:left w:val="none" w:sz="0" w:space="0" w:color="auto"/>
            <w:bottom w:val="none" w:sz="0" w:space="0" w:color="auto"/>
            <w:right w:val="none" w:sz="0" w:space="0" w:color="auto"/>
          </w:divBdr>
        </w:div>
        <w:div w:id="1784612802">
          <w:marLeft w:val="0"/>
          <w:marRight w:val="0"/>
          <w:marTop w:val="0"/>
          <w:marBottom w:val="0"/>
          <w:divBdr>
            <w:top w:val="none" w:sz="0" w:space="0" w:color="auto"/>
            <w:left w:val="none" w:sz="0" w:space="0" w:color="auto"/>
            <w:bottom w:val="none" w:sz="0" w:space="0" w:color="auto"/>
            <w:right w:val="none" w:sz="0" w:space="0" w:color="auto"/>
          </w:divBdr>
        </w:div>
        <w:div w:id="731470443">
          <w:marLeft w:val="0"/>
          <w:marRight w:val="0"/>
          <w:marTop w:val="0"/>
          <w:marBottom w:val="0"/>
          <w:divBdr>
            <w:top w:val="none" w:sz="0" w:space="0" w:color="auto"/>
            <w:left w:val="none" w:sz="0" w:space="0" w:color="auto"/>
            <w:bottom w:val="none" w:sz="0" w:space="0" w:color="auto"/>
            <w:right w:val="none" w:sz="0" w:space="0" w:color="auto"/>
          </w:divBdr>
        </w:div>
        <w:div w:id="1279022782">
          <w:marLeft w:val="0"/>
          <w:marRight w:val="0"/>
          <w:marTop w:val="0"/>
          <w:marBottom w:val="0"/>
          <w:divBdr>
            <w:top w:val="none" w:sz="0" w:space="0" w:color="auto"/>
            <w:left w:val="none" w:sz="0" w:space="0" w:color="auto"/>
            <w:bottom w:val="none" w:sz="0" w:space="0" w:color="auto"/>
            <w:right w:val="none" w:sz="0" w:space="0" w:color="auto"/>
          </w:divBdr>
        </w:div>
        <w:div w:id="1171871074">
          <w:marLeft w:val="0"/>
          <w:marRight w:val="0"/>
          <w:marTop w:val="0"/>
          <w:marBottom w:val="0"/>
          <w:divBdr>
            <w:top w:val="none" w:sz="0" w:space="0" w:color="auto"/>
            <w:left w:val="none" w:sz="0" w:space="0" w:color="auto"/>
            <w:bottom w:val="none" w:sz="0" w:space="0" w:color="auto"/>
            <w:right w:val="none" w:sz="0" w:space="0" w:color="auto"/>
          </w:divBdr>
        </w:div>
      </w:divsChild>
    </w:div>
    <w:div w:id="1076174349">
      <w:bodyDiv w:val="1"/>
      <w:marLeft w:val="0"/>
      <w:marRight w:val="0"/>
      <w:marTop w:val="0"/>
      <w:marBottom w:val="0"/>
      <w:divBdr>
        <w:top w:val="none" w:sz="0" w:space="0" w:color="auto"/>
        <w:left w:val="none" w:sz="0" w:space="0" w:color="auto"/>
        <w:bottom w:val="none" w:sz="0" w:space="0" w:color="auto"/>
        <w:right w:val="none" w:sz="0" w:space="0" w:color="auto"/>
      </w:divBdr>
    </w:div>
    <w:div w:id="163336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9F000-37CB-46CF-8E7B-3C5ECF280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4144</TotalTime>
  <Pages>5</Pages>
  <Words>2212</Words>
  <Characters>12612</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Policlinico S.Orsola-Malpighi</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De Meis</dc:creator>
  <cp:keywords/>
  <dc:description/>
  <cp:lastModifiedBy>Giorgi Giuseppe</cp:lastModifiedBy>
  <cp:revision>412</cp:revision>
  <cp:lastPrinted>2022-12-06T16:17:00Z</cp:lastPrinted>
  <dcterms:created xsi:type="dcterms:W3CDTF">2019-03-22T11:26:00Z</dcterms:created>
  <dcterms:modified xsi:type="dcterms:W3CDTF">2025-12-23T09:25:00Z</dcterms:modified>
</cp:coreProperties>
</file>