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4391F" w14:textId="39D2C8FA" w:rsidR="00FB7E2B" w:rsidRPr="00FB7E2B" w:rsidRDefault="00FB7E2B" w:rsidP="00FB7E2B">
      <w:pPr>
        <w:spacing w:line="240" w:lineRule="atLeast"/>
        <w:rPr>
          <w:b/>
          <w:sz w:val="22"/>
          <w:szCs w:val="22"/>
        </w:rPr>
      </w:pPr>
      <w:r w:rsidRPr="00FB7E2B">
        <w:rPr>
          <w:b/>
          <w:sz w:val="22"/>
          <w:szCs w:val="22"/>
        </w:rPr>
        <w:t xml:space="preserve">Allegato </w:t>
      </w:r>
      <w:r w:rsidR="00205271">
        <w:rPr>
          <w:b/>
          <w:sz w:val="22"/>
          <w:szCs w:val="22"/>
        </w:rPr>
        <w:t>6</w:t>
      </w:r>
      <w:bookmarkStart w:id="0" w:name="_GoBack"/>
      <w:bookmarkEnd w:id="0"/>
    </w:p>
    <w:p w14:paraId="0614D9B9" w14:textId="77777777" w:rsidR="00FB7E2B" w:rsidRDefault="00FB7E2B" w:rsidP="006334B7">
      <w:pPr>
        <w:pStyle w:val="Corpodeltesto2"/>
        <w:spacing w:line="240" w:lineRule="auto"/>
        <w:jc w:val="center"/>
        <w:rPr>
          <w:rFonts w:ascii="Times New Roman" w:hAnsi="Times New Roman" w:cs="Times New Roman"/>
          <w:b/>
          <w:bCs/>
        </w:rPr>
      </w:pPr>
    </w:p>
    <w:p w14:paraId="74E63F32" w14:textId="3A9876DD"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469ABE45"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1" w:name="_Hlk116639152"/>
      <w:r w:rsidRPr="00C56246">
        <w:t xml:space="preserve">domicilio (se diverso dalla residenza) </w:t>
      </w:r>
      <w:r>
        <w:t>___________________________________________________________</w:t>
      </w:r>
      <w:r w:rsidR="00B35810">
        <w:t>_</w:t>
      </w:r>
    </w:p>
    <w:bookmarkEnd w:id="1"/>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CD7FF8">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r w:rsidRPr="00CD7FF8">
        <w:rPr>
          <w:rFonts w:ascii="Times New Roman" w:hAnsi="Times New Roman"/>
          <w:lang w:val="it-IT"/>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CD7FF8" w:rsidRDefault="00CE0386" w:rsidP="00CE0386">
      <w:pPr>
        <w:pStyle w:val="sche4"/>
        <w:tabs>
          <w:tab w:val="left" w:leader="dot" w:pos="8824"/>
        </w:tabs>
        <w:spacing w:line="340" w:lineRule="exact"/>
        <w:rPr>
          <w:rFonts w:ascii="Times New Roman" w:hAnsi="Times New Roman"/>
          <w:b/>
          <w:color w:val="000000"/>
          <w:lang w:val="it-IT"/>
        </w:rPr>
      </w:pPr>
      <w:r w:rsidRPr="00CD7FF8">
        <w:rPr>
          <w:rFonts w:ascii="Times New Roman" w:hAnsi="Times New Roman"/>
          <w:b/>
          <w:color w:val="000000"/>
          <w:lang w:val="it-IT"/>
        </w:rPr>
        <w:t xml:space="preserve">in relazione alla partecipazione alla procedura di gara in oggetto in relazione alla necessità di fornire i </w:t>
      </w:r>
      <w:r w:rsidRPr="00CD7FF8">
        <w:rPr>
          <w:rFonts w:ascii="Times New Roman" w:hAnsi="Times New Roman"/>
          <w:b/>
          <w:color w:val="000000"/>
          <w:shd w:val="clear" w:color="auto" w:fill="FFFFFF"/>
          <w:lang w:val="it-IT"/>
        </w:rPr>
        <w:t>dati necessari per l’identificazione del titolare effettivo nonchè la conferma che non sussiste conflitto di interessi (art.42 D.Lgs. n. 50/2016 - Circolare MEF-RGS n.30 del 11/08/2022) a carico dell’impresa e dei relativi titolari effettivi (</w:t>
      </w:r>
      <w:r w:rsidRPr="00CD7FF8">
        <w:rPr>
          <w:rFonts w:ascii="Times New Roman" w:hAnsi="Times New Roman"/>
          <w:b/>
          <w:i/>
          <w:iCs/>
          <w:color w:val="000000"/>
          <w:shd w:val="clear" w:color="auto" w:fill="FFFFFF"/>
          <w:lang w:val="it-IT"/>
        </w:rPr>
        <w:t>cfr.</w:t>
      </w:r>
      <w:r w:rsidRPr="00CD7FF8">
        <w:rPr>
          <w:rFonts w:ascii="Times New Roman" w:hAnsi="Times New Roman"/>
          <w:b/>
          <w:color w:val="000000"/>
          <w:shd w:val="clear" w:color="auto" w:fill="FFFFFF"/>
          <w:lang w:val="it-IT"/>
        </w:rPr>
        <w:t xml:space="preserve">soggetti obbligati alla comunicazione di dati e informazioni relativa alla titolarità effettiva di cui al Decreto Ministeriale MEF n. 55 dell’11 Marzo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ss.mm.ii.,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2"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2"/>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lastRenderedPageBreak/>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lastRenderedPageBreak/>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diffuso/ecc)</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lastRenderedPageBreak/>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r w:rsidRPr="00D22537">
              <w:rPr>
                <w:b/>
                <w:bCs/>
                <w:sz w:val="22"/>
                <w:szCs w:val="22"/>
              </w:rPr>
              <w:lastRenderedPageBreak/>
              <w:t>D.Lgs.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3"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w:t>
            </w:r>
            <w:r w:rsidRPr="00D22537">
              <w:rPr>
                <w:sz w:val="22"/>
                <w:szCs w:val="22"/>
              </w:rPr>
              <w:lastRenderedPageBreak/>
              <w:t xml:space="preserve">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223745">
      <w:headerReference w:type="default" r:id="rId14"/>
      <w:footerReference w:type="default" r:id="rId15"/>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7ABE9" w14:textId="77777777" w:rsidR="00413D4B" w:rsidRDefault="00413D4B">
      <w:r>
        <w:separator/>
      </w:r>
    </w:p>
  </w:endnote>
  <w:endnote w:type="continuationSeparator" w:id="0">
    <w:p w14:paraId="6BBA8DFF" w14:textId="77777777" w:rsidR="00413D4B" w:rsidRDefault="00413D4B">
      <w:r>
        <w:continuationSeparator/>
      </w:r>
    </w:p>
  </w:endnote>
  <w:endnote w:type="continuationNotice" w:id="1">
    <w:p w14:paraId="15A027FF" w14:textId="77777777" w:rsidR="00413D4B" w:rsidRDefault="0041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96AD" w14:textId="77777777" w:rsidR="00413D4B" w:rsidRDefault="00413D4B">
      <w:r>
        <w:separator/>
      </w:r>
    </w:p>
  </w:footnote>
  <w:footnote w:type="continuationSeparator" w:id="0">
    <w:p w14:paraId="5C4D842F" w14:textId="77777777" w:rsidR="00413D4B" w:rsidRDefault="00413D4B">
      <w:r>
        <w:continuationSeparator/>
      </w:r>
    </w:p>
  </w:footnote>
  <w:footnote w:type="continuationNotice" w:id="1">
    <w:p w14:paraId="19358545" w14:textId="77777777" w:rsidR="00413D4B" w:rsidRDefault="00413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3"/>
      <w:gridCol w:w="5010"/>
    </w:tblGrid>
    <w:tr w:rsidR="00244CDA" w14:paraId="5193C50B" w14:textId="77777777" w:rsidTr="00B07820">
      <w:tc>
        <w:tcPr>
          <w:tcW w:w="4013" w:type="dxa"/>
        </w:tcPr>
        <w:p w14:paraId="695B7635" w14:textId="3BAAD76E" w:rsidR="00244CDA" w:rsidRDefault="00244CDA" w:rsidP="00244CDA">
          <w:pPr>
            <w:pStyle w:val="Intestazione"/>
            <w:rPr>
              <w:rFonts w:ascii="Arial" w:hAnsi="Arial" w:cs="Arial"/>
              <w:sz w:val="12"/>
            </w:rPr>
          </w:pPr>
          <w:bookmarkStart w:id="3" w:name="OLE_LINK1"/>
          <w:bookmarkStart w:id="4" w:name="OLE_LINK2"/>
          <w:r w:rsidRPr="00235BE6">
            <w:rPr>
              <w:rFonts w:ascii="Arial" w:hAnsi="Arial" w:cs="Arial"/>
              <w:noProof/>
              <w:sz w:val="12"/>
            </w:rPr>
            <w:drawing>
              <wp:inline distT="0" distB="0" distL="0" distR="0" wp14:anchorId="42E380B6" wp14:editId="6F376857">
                <wp:extent cx="2352675" cy="78105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010" w:type="dxa"/>
        </w:tcPr>
        <w:p w14:paraId="74D2AF16" w14:textId="6A529100" w:rsidR="00244CDA" w:rsidRDefault="00244CDA" w:rsidP="00244CDA">
          <w:pPr>
            <w:pStyle w:val="Intestazione"/>
            <w:rPr>
              <w:rFonts w:ascii="Arial" w:hAnsi="Arial" w:cs="Arial"/>
              <w:sz w:val="12"/>
            </w:rPr>
          </w:pPr>
          <w:r>
            <w:rPr>
              <w:rFonts w:ascii="Arial" w:hAnsi="Arial" w:cs="Arial"/>
              <w:noProof/>
              <w:sz w:val="16"/>
            </w:rPr>
            <w:drawing>
              <wp:inline distT="0" distB="0" distL="0" distR="0" wp14:anchorId="2CCDAC65" wp14:editId="569341DD">
                <wp:extent cx="2952750" cy="6667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244CDA" w14:paraId="69BCACA7" w14:textId="77777777" w:rsidTr="00B07820">
      <w:tc>
        <w:tcPr>
          <w:tcW w:w="9023" w:type="dxa"/>
          <w:gridSpan w:val="2"/>
        </w:tcPr>
        <w:p w14:paraId="2CFB201F" w14:textId="797D7E5C" w:rsidR="00244CDA" w:rsidRDefault="00244CDA" w:rsidP="00244CDA">
          <w:pPr>
            <w:pStyle w:val="Intestazione"/>
            <w:rPr>
              <w:rFonts w:ascii="Arial" w:hAnsi="Arial" w:cs="Arial"/>
              <w:sz w:val="12"/>
            </w:rPr>
          </w:pPr>
          <w:r>
            <w:rPr>
              <w:noProof/>
            </w:rPr>
            <w:drawing>
              <wp:anchor distT="0" distB="0" distL="114300" distR="114300" simplePos="0" relativeHeight="251659264" behindDoc="0" locked="0" layoutInCell="1" allowOverlap="0" wp14:anchorId="2B890722" wp14:editId="124B9AC7">
                <wp:simplePos x="0" y="0"/>
                <wp:positionH relativeFrom="column">
                  <wp:posOffset>44450</wp:posOffset>
                </wp:positionH>
                <wp:positionV relativeFrom="paragraph">
                  <wp:posOffset>45720</wp:posOffset>
                </wp:positionV>
                <wp:extent cx="5049520" cy="390525"/>
                <wp:effectExtent l="0" t="0" r="0" b="952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952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C1908" w14:textId="77777777" w:rsidR="00244CDA" w:rsidRDefault="00244CDA" w:rsidP="00244CDA">
          <w:pPr>
            <w:pStyle w:val="Intestazione"/>
            <w:rPr>
              <w:rFonts w:ascii="Arial" w:hAnsi="Arial" w:cs="Arial"/>
              <w:sz w:val="12"/>
            </w:rPr>
          </w:pPr>
        </w:p>
        <w:p w14:paraId="20292498" w14:textId="77777777" w:rsidR="00244CDA" w:rsidRDefault="00244CDA" w:rsidP="00244CDA">
          <w:pPr>
            <w:pStyle w:val="Intestazione"/>
            <w:rPr>
              <w:rFonts w:ascii="Arial" w:hAnsi="Arial" w:cs="Arial"/>
              <w:sz w:val="12"/>
            </w:rPr>
          </w:pPr>
        </w:p>
        <w:p w14:paraId="656DA924" w14:textId="77777777" w:rsidR="00244CDA" w:rsidRDefault="00244CDA" w:rsidP="00244CDA">
          <w:pPr>
            <w:pStyle w:val="Intestazione"/>
            <w:rPr>
              <w:rFonts w:ascii="Arial" w:hAnsi="Arial" w:cs="Arial"/>
              <w:sz w:val="12"/>
            </w:rPr>
          </w:pPr>
        </w:p>
        <w:p w14:paraId="3AFEC6AF" w14:textId="77777777" w:rsidR="00244CDA" w:rsidRDefault="00244CDA" w:rsidP="00244CDA">
          <w:pPr>
            <w:pStyle w:val="Intestazione"/>
            <w:rPr>
              <w:rFonts w:ascii="Arial" w:hAnsi="Arial" w:cs="Arial"/>
              <w:sz w:val="12"/>
            </w:rPr>
          </w:pPr>
        </w:p>
        <w:p w14:paraId="5B190409" w14:textId="77777777" w:rsidR="00244CDA" w:rsidRDefault="00244CDA" w:rsidP="00244CDA">
          <w:pPr>
            <w:pStyle w:val="Intestazione"/>
            <w:rPr>
              <w:rFonts w:ascii="Arial" w:hAnsi="Arial" w:cs="Arial"/>
              <w:sz w:val="12"/>
            </w:rPr>
          </w:pPr>
        </w:p>
      </w:tc>
    </w:tr>
    <w:bookmarkEnd w:id="3"/>
    <w:bookmarkEnd w:id="4"/>
  </w:tbl>
  <w:p w14:paraId="7F55BC59" w14:textId="6B23C363" w:rsidR="00F30E2D" w:rsidRDefault="00F30E2D" w:rsidP="00223745">
    <w:pPr>
      <w:pStyle w:val="Intestazione"/>
    </w:pPr>
  </w:p>
  <w:p w14:paraId="560BAF44" w14:textId="77777777" w:rsidR="00223745" w:rsidRPr="00223745" w:rsidRDefault="00223745" w:rsidP="0022374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14"/>
  </w:num>
  <w:num w:numId="2">
    <w:abstractNumId w:val="1"/>
  </w:num>
  <w:num w:numId="3">
    <w:abstractNumId w:val="0"/>
  </w:num>
  <w:num w:numId="4">
    <w:abstractNumId w:val="16"/>
  </w:num>
  <w:num w:numId="5">
    <w:abstractNumId w:val="8"/>
  </w:num>
  <w:num w:numId="6">
    <w:abstractNumId w:val="13"/>
  </w:num>
  <w:num w:numId="7">
    <w:abstractNumId w:val="7"/>
  </w:num>
  <w:num w:numId="8">
    <w:abstractNumId w:val="10"/>
  </w:num>
  <w:num w:numId="9">
    <w:abstractNumId w:val="9"/>
  </w:num>
  <w:num w:numId="10">
    <w:abstractNumId w:val="2"/>
  </w:num>
  <w:num w:numId="11">
    <w:abstractNumId w:val="17"/>
  </w:num>
  <w:num w:numId="12">
    <w:abstractNumId w:val="11"/>
  </w:num>
  <w:num w:numId="13">
    <w:abstractNumId w:val="3"/>
  </w:num>
  <w:num w:numId="14">
    <w:abstractNumId w:val="6"/>
  </w:num>
  <w:num w:numId="15">
    <w:abstractNumId w:val="5"/>
  </w:num>
  <w:num w:numId="16">
    <w:abstractNumId w:val="18"/>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2007D6"/>
    <w:rsid w:val="00205271"/>
    <w:rsid w:val="00211507"/>
    <w:rsid w:val="00213E4F"/>
    <w:rsid w:val="00214F73"/>
    <w:rsid w:val="00220AE5"/>
    <w:rsid w:val="00223745"/>
    <w:rsid w:val="002263F5"/>
    <w:rsid w:val="00231CB8"/>
    <w:rsid w:val="00232069"/>
    <w:rsid w:val="00236E84"/>
    <w:rsid w:val="00240B2C"/>
    <w:rsid w:val="0024170A"/>
    <w:rsid w:val="00244CDA"/>
    <w:rsid w:val="0025039E"/>
    <w:rsid w:val="00272F29"/>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3D4B"/>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B3ECB"/>
    <w:rsid w:val="004B6FE3"/>
    <w:rsid w:val="004C074B"/>
    <w:rsid w:val="004C53A7"/>
    <w:rsid w:val="004D532C"/>
    <w:rsid w:val="004F0DB9"/>
    <w:rsid w:val="004F33B5"/>
    <w:rsid w:val="004F728F"/>
    <w:rsid w:val="0050037E"/>
    <w:rsid w:val="005048B6"/>
    <w:rsid w:val="00504ADC"/>
    <w:rsid w:val="0050616C"/>
    <w:rsid w:val="00507261"/>
    <w:rsid w:val="00507E31"/>
    <w:rsid w:val="005229B0"/>
    <w:rsid w:val="00542E83"/>
    <w:rsid w:val="00545F88"/>
    <w:rsid w:val="00547C71"/>
    <w:rsid w:val="00553F35"/>
    <w:rsid w:val="00553FFF"/>
    <w:rsid w:val="00555334"/>
    <w:rsid w:val="005564DD"/>
    <w:rsid w:val="0056319D"/>
    <w:rsid w:val="005702B3"/>
    <w:rsid w:val="00575514"/>
    <w:rsid w:val="00576F88"/>
    <w:rsid w:val="00577F3B"/>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6F793E"/>
    <w:rsid w:val="00700039"/>
    <w:rsid w:val="00702324"/>
    <w:rsid w:val="00725CF7"/>
    <w:rsid w:val="007308CA"/>
    <w:rsid w:val="007315CC"/>
    <w:rsid w:val="00732973"/>
    <w:rsid w:val="00736BB9"/>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7FF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B7E2B"/>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qFormat/>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qFormat/>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16729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bd01.leggiditalia.it/cgi-bin/FulShow?TIPO=5&amp;NOTXT=1&amp;KEY=01LX0000144162ART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2.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3A338-EF4B-4A3C-A722-56294229DFA8}">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5ad31f48-5e7b-4afd-b0fa-3168ca9a0ab9"/>
    <ds:schemaRef ds:uri="db5ebe51-9844-4cc2-b413-c5b1a9c27ef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5.xml><?xml version="1.0" encoding="utf-8"?>
<ds:datastoreItem xmlns:ds="http://schemas.openxmlformats.org/officeDocument/2006/customXml" ds:itemID="{7FA50CF5-02CB-4243-AA76-BFBCB60A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2406</Words>
  <Characters>17503</Characters>
  <Application>Microsoft Office Word</Application>
  <DocSecurity>0</DocSecurity>
  <Lines>145</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19870</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lastModifiedBy>Cataldo Valentini</cp:lastModifiedBy>
  <cp:revision>11</cp:revision>
  <cp:lastPrinted>2024-07-19T12:14:00Z</cp:lastPrinted>
  <dcterms:created xsi:type="dcterms:W3CDTF">2023-04-05T14:09:00Z</dcterms:created>
  <dcterms:modified xsi:type="dcterms:W3CDTF">2025-06-24T13:17:00Z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