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F8E70" w14:textId="77777777" w:rsidR="00FF79D8" w:rsidRPr="00843AC2" w:rsidRDefault="00FF79D8" w:rsidP="00FC551D">
      <w:pPr>
        <w:jc w:val="both"/>
        <w:rPr>
          <w:rFonts w:cstheme="minorHAnsi"/>
          <w:b/>
        </w:rPr>
      </w:pPr>
    </w:p>
    <w:p w14:paraId="66983BBF" w14:textId="6F491914" w:rsidR="00FF79D8" w:rsidRPr="00843AC2" w:rsidRDefault="00FF79D8" w:rsidP="00FC551D">
      <w:pPr>
        <w:jc w:val="both"/>
        <w:rPr>
          <w:rFonts w:cstheme="minorHAnsi"/>
          <w:b/>
        </w:rPr>
      </w:pPr>
      <w:r w:rsidRPr="00843AC2">
        <w:rPr>
          <w:rFonts w:cstheme="minorHAnsi"/>
          <w:b/>
        </w:rPr>
        <w:t>All</w:t>
      </w:r>
      <w:r w:rsidR="00637E74" w:rsidRPr="00843AC2">
        <w:rPr>
          <w:rFonts w:cstheme="minorHAnsi"/>
          <w:b/>
        </w:rPr>
        <w:t xml:space="preserve">egato </w:t>
      </w:r>
      <w:r w:rsidR="00680789">
        <w:rPr>
          <w:rFonts w:cstheme="minorHAnsi"/>
          <w:b/>
        </w:rPr>
        <w:t xml:space="preserve">4 </w:t>
      </w:r>
      <w:r w:rsidR="00637E74" w:rsidRPr="00843AC2">
        <w:rPr>
          <w:rFonts w:cstheme="minorHAnsi"/>
          <w:b/>
        </w:rPr>
        <w:t xml:space="preserve">- </w:t>
      </w:r>
      <w:r w:rsidRPr="00843AC2">
        <w:rPr>
          <w:rFonts w:cstheme="minorHAnsi"/>
          <w:b/>
        </w:rPr>
        <w:t xml:space="preserve"> Obblighi PNRR</w:t>
      </w:r>
      <w:r w:rsidR="00866540">
        <w:rPr>
          <w:rFonts w:cstheme="minorHAnsi"/>
          <w:b/>
        </w:rPr>
        <w:t xml:space="preserve"> - DNSH</w:t>
      </w:r>
    </w:p>
    <w:p w14:paraId="2A3E4968" w14:textId="77777777" w:rsidR="0087583A" w:rsidRPr="004D5566" w:rsidRDefault="00FC551D" w:rsidP="0087583A">
      <w:pPr>
        <w:jc w:val="both"/>
        <w:rPr>
          <w:rFonts w:cstheme="minorHAnsi"/>
          <w:b/>
          <w:bCs/>
        </w:rPr>
      </w:pPr>
      <w:r w:rsidRPr="00843AC2">
        <w:rPr>
          <w:rFonts w:cstheme="minorHAnsi"/>
          <w:b/>
        </w:rPr>
        <w:t>OGGETTO</w:t>
      </w:r>
      <w:r w:rsidRPr="00843AC2">
        <w:rPr>
          <w:rFonts w:cstheme="minorHAnsi"/>
        </w:rPr>
        <w:t xml:space="preserve">: </w:t>
      </w:r>
      <w:r w:rsidR="0087583A" w:rsidRPr="008D0929">
        <w:rPr>
          <w:rFonts w:cstheme="minorHAnsi"/>
          <w:bCs/>
        </w:rPr>
        <w:t xml:space="preserve">Gara Europea a Procedura Aperta per l’acquisizione in Accordo Quadro con 3 Operatori Economici e senza rilancio competitivo di Arredi per locali sanitari e per locali non sanitari, della durata di 1 anno e suddivisa in due lotti, per l’allestimento delle Case della Comunità e Ospedali di Comunità </w:t>
      </w:r>
      <w:r w:rsidR="0087583A" w:rsidRPr="008D0929">
        <w:rPr>
          <w:rFonts w:cstheme="minorHAnsi"/>
        </w:rPr>
        <w:t>dell’Azienda USL di Bologna, nell’ambito del Piano Nazionale di Ripresa e Resilienza con opzione anche da parte di Aziende Sanitarie AVEC.</w:t>
      </w:r>
      <w:r w:rsidR="0087583A" w:rsidRPr="004D5566">
        <w:rPr>
          <w:rFonts w:cstheme="minorHAnsi"/>
        </w:rPr>
        <w:t xml:space="preserve"> </w:t>
      </w:r>
    </w:p>
    <w:p w14:paraId="56B82C79" w14:textId="77777777" w:rsidR="00843AC2" w:rsidRPr="00843AC2" w:rsidRDefault="00843AC2" w:rsidP="00843AC2">
      <w:pPr>
        <w:pStyle w:val="Corpotesto"/>
        <w:tabs>
          <w:tab w:val="left" w:pos="0"/>
        </w:tabs>
        <w:jc w:val="both"/>
        <w:rPr>
          <w:rFonts w:asciiTheme="minorHAnsi" w:hAnsiTheme="minorHAnsi" w:cstheme="minorHAnsi"/>
          <w:sz w:val="22"/>
          <w:szCs w:val="22"/>
        </w:rPr>
      </w:pPr>
    </w:p>
    <w:p w14:paraId="7938FF27" w14:textId="728EF851" w:rsidR="00FC551D" w:rsidRPr="00843AC2" w:rsidRDefault="00FC551D" w:rsidP="00FC551D">
      <w:pPr>
        <w:jc w:val="both"/>
        <w:rPr>
          <w:rFonts w:cstheme="minorHAnsi"/>
        </w:rPr>
      </w:pPr>
    </w:p>
    <w:p w14:paraId="1AA1632C" w14:textId="77777777" w:rsidR="00FC551D" w:rsidRPr="00843AC2" w:rsidRDefault="00FC551D" w:rsidP="00BE3CF4">
      <w:pPr>
        <w:pStyle w:val="Default"/>
        <w:jc w:val="both"/>
        <w:rPr>
          <w:rFonts w:asciiTheme="minorHAnsi" w:hAnsiTheme="minorHAnsi" w:cstheme="minorHAnsi"/>
          <w:sz w:val="22"/>
          <w:szCs w:val="22"/>
        </w:rPr>
      </w:pPr>
    </w:p>
    <w:p w14:paraId="3C6646F5" w14:textId="77777777" w:rsidR="00E919C1" w:rsidRPr="00843AC2" w:rsidRDefault="0094680E" w:rsidP="00BE3CF4">
      <w:pPr>
        <w:pStyle w:val="Default"/>
        <w:jc w:val="both"/>
        <w:rPr>
          <w:rFonts w:asciiTheme="minorHAnsi" w:hAnsiTheme="minorHAnsi" w:cstheme="minorHAnsi"/>
          <w:sz w:val="22"/>
          <w:szCs w:val="22"/>
        </w:rPr>
      </w:pPr>
      <w:r w:rsidRPr="00843AC2">
        <w:rPr>
          <w:rFonts w:asciiTheme="minorHAnsi" w:hAnsiTheme="minorHAnsi" w:cstheme="minorHAnsi"/>
          <w:sz w:val="22"/>
          <w:szCs w:val="22"/>
        </w:rPr>
        <w:t>L’Operatore economico</w:t>
      </w:r>
      <w:r w:rsidR="00696106" w:rsidRPr="00843AC2">
        <w:rPr>
          <w:rFonts w:asciiTheme="minorHAnsi" w:hAnsiTheme="minorHAnsi" w:cstheme="minorHAnsi"/>
          <w:sz w:val="22"/>
          <w:szCs w:val="22"/>
        </w:rPr>
        <w:t xml:space="preserve"> </w:t>
      </w:r>
      <w:r w:rsidR="00FC551D" w:rsidRPr="00843AC2">
        <w:rPr>
          <w:rFonts w:asciiTheme="minorHAnsi" w:hAnsiTheme="minorHAnsi" w:cstheme="minorHAnsi"/>
          <w:sz w:val="22"/>
          <w:szCs w:val="22"/>
        </w:rPr>
        <w:t>(SPECIFICARE __________)</w:t>
      </w:r>
      <w:r w:rsidRPr="00843AC2">
        <w:rPr>
          <w:rFonts w:asciiTheme="minorHAnsi" w:hAnsiTheme="minorHAnsi" w:cstheme="minorHAnsi"/>
          <w:sz w:val="22"/>
          <w:szCs w:val="22"/>
        </w:rPr>
        <w:t xml:space="preserve">, </w:t>
      </w:r>
      <w:r w:rsidR="00E919C1" w:rsidRPr="00843AC2">
        <w:rPr>
          <w:rFonts w:asciiTheme="minorHAnsi" w:hAnsiTheme="minorHAnsi" w:cstheme="minorHAnsi"/>
          <w:sz w:val="22"/>
          <w:szCs w:val="22"/>
        </w:rPr>
        <w:t>ai sensi degli art.46 e 47 del DPR n.445/2000, consapevole del fatto che, in caso di mendace dichiarazione saranno applicate nei suoi riguardi, ai sensi dell’art.76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3ABCF2C8" w14:textId="77777777" w:rsidR="00E919C1" w:rsidRPr="00843AC2" w:rsidRDefault="00E919C1" w:rsidP="00E919C1">
      <w:pPr>
        <w:pStyle w:val="Default"/>
        <w:jc w:val="center"/>
        <w:rPr>
          <w:rFonts w:asciiTheme="minorHAnsi" w:hAnsiTheme="minorHAnsi" w:cstheme="minorHAnsi"/>
          <w:sz w:val="22"/>
          <w:szCs w:val="22"/>
        </w:rPr>
      </w:pPr>
    </w:p>
    <w:p w14:paraId="7DBAAAF5" w14:textId="77777777" w:rsidR="00FC551D" w:rsidRPr="00843AC2" w:rsidRDefault="00E919C1" w:rsidP="00E919C1">
      <w:pPr>
        <w:pStyle w:val="Default"/>
        <w:jc w:val="center"/>
        <w:rPr>
          <w:rFonts w:asciiTheme="minorHAnsi" w:hAnsiTheme="minorHAnsi" w:cstheme="minorHAnsi"/>
          <w:sz w:val="22"/>
          <w:szCs w:val="22"/>
        </w:rPr>
      </w:pPr>
      <w:r w:rsidRPr="00843AC2">
        <w:rPr>
          <w:rFonts w:asciiTheme="minorHAnsi" w:hAnsiTheme="minorHAnsi" w:cstheme="minorHAnsi"/>
          <w:sz w:val="22"/>
          <w:szCs w:val="22"/>
        </w:rPr>
        <w:t>DICHIARA</w:t>
      </w:r>
      <w:r w:rsidR="00FC551D" w:rsidRPr="00843AC2">
        <w:rPr>
          <w:rFonts w:asciiTheme="minorHAnsi" w:hAnsiTheme="minorHAnsi" w:cstheme="minorHAnsi"/>
          <w:sz w:val="22"/>
          <w:szCs w:val="22"/>
        </w:rPr>
        <w:t xml:space="preserve"> </w:t>
      </w:r>
    </w:p>
    <w:p w14:paraId="7D3D8411" w14:textId="77777777" w:rsidR="00696106" w:rsidRPr="00843AC2" w:rsidRDefault="00FC551D" w:rsidP="00E919C1">
      <w:pPr>
        <w:pStyle w:val="Default"/>
        <w:jc w:val="center"/>
        <w:rPr>
          <w:rFonts w:asciiTheme="minorHAnsi" w:hAnsiTheme="minorHAnsi" w:cstheme="minorHAnsi"/>
          <w:sz w:val="22"/>
          <w:szCs w:val="22"/>
        </w:rPr>
      </w:pPr>
      <w:r w:rsidRPr="00843AC2">
        <w:rPr>
          <w:rFonts w:asciiTheme="minorHAnsi" w:hAnsiTheme="minorHAnsi" w:cstheme="minorHAnsi"/>
          <w:sz w:val="22"/>
          <w:szCs w:val="22"/>
        </w:rPr>
        <w:t xml:space="preserve">che in caso di aggiudicazione dell’affidamento in oggetto </w:t>
      </w:r>
    </w:p>
    <w:p w14:paraId="3C00852D" w14:textId="77777777" w:rsidR="00696106" w:rsidRPr="00843AC2" w:rsidRDefault="00696106" w:rsidP="00BE3CF4">
      <w:pPr>
        <w:pStyle w:val="Default"/>
        <w:jc w:val="both"/>
        <w:rPr>
          <w:rFonts w:asciiTheme="minorHAnsi" w:hAnsiTheme="minorHAnsi" w:cstheme="minorHAnsi"/>
          <w:sz w:val="22"/>
          <w:szCs w:val="22"/>
        </w:rPr>
      </w:pPr>
    </w:p>
    <w:p w14:paraId="7B01D2B4" w14:textId="500F681E" w:rsidR="00EC3F86" w:rsidRPr="00843AC2" w:rsidRDefault="00696106" w:rsidP="00950CC8">
      <w:pPr>
        <w:pStyle w:val="Default"/>
        <w:numPr>
          <w:ilvl w:val="0"/>
          <w:numId w:val="8"/>
        </w:numPr>
        <w:jc w:val="both"/>
        <w:rPr>
          <w:rFonts w:asciiTheme="minorHAnsi" w:hAnsiTheme="minorHAnsi" w:cstheme="minorHAnsi"/>
          <w:sz w:val="22"/>
          <w:szCs w:val="22"/>
        </w:rPr>
      </w:pPr>
      <w:r w:rsidRPr="00843AC2">
        <w:rPr>
          <w:rFonts w:asciiTheme="minorHAnsi" w:hAnsiTheme="minorHAnsi" w:cstheme="minorHAnsi"/>
          <w:sz w:val="22"/>
          <w:szCs w:val="22"/>
        </w:rPr>
        <w:t>di assumersi</w:t>
      </w:r>
      <w:r w:rsidR="008A6799">
        <w:rPr>
          <w:rFonts w:asciiTheme="minorHAnsi" w:hAnsiTheme="minorHAnsi" w:cstheme="minorHAnsi"/>
          <w:sz w:val="22"/>
          <w:szCs w:val="22"/>
        </w:rPr>
        <w:t xml:space="preserve"> </w:t>
      </w:r>
      <w:r w:rsidRPr="00843AC2">
        <w:rPr>
          <w:rFonts w:asciiTheme="minorHAnsi" w:hAnsiTheme="minorHAnsi" w:cstheme="minorHAnsi"/>
          <w:sz w:val="22"/>
          <w:szCs w:val="22"/>
        </w:rPr>
        <w:t>gli obblighi derivanti dalle disposizioni normative per l’esecuzione dei contratti pubblici finanziati con le risorse del Piano Nazionale di Ripresa e Resilienza dell’Italia (PNRR) e del Piano Nazionale per gli investimenti complementari (PNC).</w:t>
      </w:r>
    </w:p>
    <w:p w14:paraId="0FFD4EE9" w14:textId="77777777" w:rsidR="00A9635E" w:rsidRPr="00843AC2" w:rsidRDefault="00A9635E" w:rsidP="00BE3CF4">
      <w:pPr>
        <w:pStyle w:val="Default"/>
        <w:jc w:val="both"/>
        <w:rPr>
          <w:rFonts w:asciiTheme="minorHAnsi" w:hAnsiTheme="minorHAnsi" w:cstheme="minorHAnsi"/>
          <w:sz w:val="22"/>
          <w:szCs w:val="22"/>
        </w:rPr>
      </w:pPr>
    </w:p>
    <w:p w14:paraId="03C8FC84" w14:textId="5B211965" w:rsidR="00A9635E" w:rsidRPr="00843AC2" w:rsidRDefault="00A9635E" w:rsidP="00950CC8">
      <w:pPr>
        <w:pStyle w:val="Default"/>
        <w:numPr>
          <w:ilvl w:val="0"/>
          <w:numId w:val="8"/>
        </w:numPr>
        <w:jc w:val="both"/>
        <w:rPr>
          <w:rFonts w:asciiTheme="minorHAnsi" w:hAnsiTheme="minorHAnsi" w:cstheme="minorHAnsi"/>
          <w:sz w:val="22"/>
          <w:szCs w:val="22"/>
        </w:rPr>
      </w:pPr>
      <w:r w:rsidRPr="00843AC2">
        <w:rPr>
          <w:rFonts w:asciiTheme="minorHAnsi" w:hAnsiTheme="minorHAnsi" w:cstheme="minorHAnsi"/>
          <w:sz w:val="22"/>
          <w:szCs w:val="22"/>
        </w:rPr>
        <w:t>di assumersi gli obblighi specifici del PNRR relativamente al non arrecare un danno significativo agli obiettivi ambientali cd “Do not</w:t>
      </w:r>
      <w:r w:rsidR="008A6799">
        <w:rPr>
          <w:rFonts w:asciiTheme="minorHAnsi" w:hAnsiTheme="minorHAnsi" w:cstheme="minorHAnsi"/>
          <w:sz w:val="22"/>
          <w:szCs w:val="22"/>
        </w:rPr>
        <w:t xml:space="preserve"> </w:t>
      </w:r>
      <w:r w:rsidRPr="00843AC2">
        <w:rPr>
          <w:rFonts w:asciiTheme="minorHAnsi" w:hAnsiTheme="minorHAnsi" w:cstheme="minorHAnsi"/>
          <w:sz w:val="22"/>
          <w:szCs w:val="22"/>
        </w:rPr>
        <w:t>Significant</w:t>
      </w:r>
      <w:r w:rsidR="008A6799">
        <w:rPr>
          <w:rFonts w:asciiTheme="minorHAnsi" w:hAnsiTheme="minorHAnsi" w:cstheme="minorHAnsi"/>
          <w:sz w:val="22"/>
          <w:szCs w:val="22"/>
        </w:rPr>
        <w:t xml:space="preserve"> </w:t>
      </w:r>
      <w:r w:rsidRPr="00843AC2">
        <w:rPr>
          <w:rFonts w:asciiTheme="minorHAnsi" w:hAnsiTheme="minorHAnsi" w:cstheme="minorHAnsi"/>
          <w:sz w:val="22"/>
          <w:szCs w:val="22"/>
        </w:rPr>
        <w:t xml:space="preserve">Harm” (DNSH) ai sensi dell’art.17 del Regolamento (UE) 2020/852 del Parlamento Europeo e del Consiglio del 18 giugno 2020 e, ove applicabili, agli obblighi trasversali, quali, tra l’altro, il principio </w:t>
      </w:r>
      <w:r w:rsidR="00950CC8" w:rsidRPr="00843AC2">
        <w:rPr>
          <w:rFonts w:asciiTheme="minorHAnsi" w:hAnsiTheme="minorHAnsi" w:cstheme="minorHAnsi"/>
          <w:sz w:val="22"/>
          <w:szCs w:val="22"/>
        </w:rPr>
        <w:t>del contributo all’obiettivo climatico e digitale (cd Tagging) della parità di genere (Gender Equality), della protezione e valorizzazione dei giovani e del superamento dei divari territoriali, nel rispetto delle specifiche norme in materia;</w:t>
      </w:r>
    </w:p>
    <w:p w14:paraId="508C0C73" w14:textId="77777777" w:rsidR="0056580C" w:rsidRPr="00843AC2" w:rsidRDefault="0056580C" w:rsidP="00E919C1">
      <w:pPr>
        <w:pStyle w:val="Default"/>
        <w:ind w:left="360"/>
        <w:jc w:val="both"/>
        <w:rPr>
          <w:rFonts w:asciiTheme="minorHAnsi" w:hAnsiTheme="minorHAnsi" w:cstheme="minorHAnsi"/>
          <w:sz w:val="22"/>
          <w:szCs w:val="22"/>
        </w:rPr>
      </w:pPr>
    </w:p>
    <w:p w14:paraId="243121D6" w14:textId="77777777" w:rsidR="00826D36" w:rsidRDefault="00826D36" w:rsidP="007D587D">
      <w:pPr>
        <w:autoSpaceDE w:val="0"/>
        <w:autoSpaceDN w:val="0"/>
        <w:adjustRightInd w:val="0"/>
        <w:spacing w:after="0" w:line="240" w:lineRule="auto"/>
        <w:jc w:val="both"/>
        <w:rPr>
          <w:rFonts w:cstheme="minorHAnsi"/>
          <w:b/>
          <w:bCs/>
        </w:rPr>
      </w:pPr>
    </w:p>
    <w:p w14:paraId="7AD6E984" w14:textId="2D976602" w:rsidR="0094680E" w:rsidRPr="00843AC2" w:rsidRDefault="0094680E" w:rsidP="007D587D">
      <w:pPr>
        <w:autoSpaceDE w:val="0"/>
        <w:autoSpaceDN w:val="0"/>
        <w:adjustRightInd w:val="0"/>
        <w:spacing w:after="0" w:line="240" w:lineRule="auto"/>
        <w:jc w:val="both"/>
        <w:rPr>
          <w:rFonts w:cstheme="minorHAnsi"/>
          <w:b/>
          <w:bCs/>
        </w:rPr>
      </w:pPr>
      <w:r w:rsidRPr="00843AC2">
        <w:rPr>
          <w:rFonts w:cstheme="minorHAnsi"/>
          <w:b/>
          <w:bCs/>
        </w:rPr>
        <w:t>Obblighi</w:t>
      </w:r>
    </w:p>
    <w:p w14:paraId="21C966DD" w14:textId="77777777" w:rsidR="0094680E" w:rsidRPr="00843AC2" w:rsidRDefault="0094680E" w:rsidP="007D587D">
      <w:pPr>
        <w:autoSpaceDE w:val="0"/>
        <w:autoSpaceDN w:val="0"/>
        <w:adjustRightInd w:val="0"/>
        <w:spacing w:after="0" w:line="240" w:lineRule="auto"/>
        <w:jc w:val="both"/>
        <w:rPr>
          <w:rFonts w:cstheme="minorHAnsi"/>
          <w:b/>
          <w:bCs/>
        </w:rPr>
      </w:pPr>
    </w:p>
    <w:p w14:paraId="467BF424" w14:textId="77777777" w:rsidR="009455DD" w:rsidRPr="00843AC2" w:rsidRDefault="007D587D" w:rsidP="007D587D">
      <w:pPr>
        <w:autoSpaceDE w:val="0"/>
        <w:autoSpaceDN w:val="0"/>
        <w:adjustRightInd w:val="0"/>
        <w:spacing w:after="0" w:line="240" w:lineRule="auto"/>
        <w:jc w:val="both"/>
        <w:rPr>
          <w:rFonts w:cstheme="minorHAnsi"/>
        </w:rPr>
      </w:pPr>
      <w:r w:rsidRPr="00843AC2">
        <w:rPr>
          <w:rFonts w:cstheme="minorHAnsi"/>
        </w:rPr>
        <w:t>Le prestazioni oggetto del presente affidamento devono essere svolte – per la parte di relativa spettanza – con modalità idonee a soddisfare il principio di “non arrecare danno significativo agli obiettivi ambientali”, ossia con valutazione di conformità degli interventi al principio del “Do No SignificantHarm” (DNSH) di cui all’art. 17, Reg. (UE) 2020/852; al riguardo, si rinvia alla Circolare del 30/12/2021, n. 32 del Ministero Economia e Finanze (PNRR - Guida Operativa per il rispetto del principio di non arrecare danno significativo all’ambiente (cd. DNSH) - cfr. Mission 6 - Component 1 e 2) e relative check list</w:t>
      </w:r>
      <w:r w:rsidR="009455DD" w:rsidRPr="00843AC2">
        <w:rPr>
          <w:rFonts w:cstheme="minorHAnsi"/>
        </w:rPr>
        <w:t xml:space="preserve"> e ove applicabili ai principi </w:t>
      </w:r>
      <w:r w:rsidR="009455DD" w:rsidRPr="00843AC2">
        <w:rPr>
          <w:rFonts w:cstheme="minorHAnsi"/>
        </w:rPr>
        <w:lastRenderedPageBreak/>
        <w:t>trasversali, quali, tra gli altri, ai principi del contributo all’obiettivo climatico e digitale (cd Tagging), della parità di genere (Gender Equality), della protezione e valorizzazione dei giovani e del superamento dei divari territoriali.</w:t>
      </w:r>
    </w:p>
    <w:p w14:paraId="1C51EA56" w14:textId="77777777" w:rsidR="00621F2B" w:rsidRPr="00843AC2" w:rsidRDefault="00621F2B" w:rsidP="00621F2B">
      <w:pPr>
        <w:pStyle w:val="Default"/>
        <w:rPr>
          <w:rFonts w:asciiTheme="minorHAnsi" w:hAnsiTheme="minorHAnsi" w:cstheme="minorHAnsi"/>
          <w:sz w:val="22"/>
          <w:szCs w:val="22"/>
          <w:u w:val="single"/>
        </w:rPr>
      </w:pPr>
    </w:p>
    <w:p w14:paraId="0D97B63E" w14:textId="77777777" w:rsidR="00621F2B" w:rsidRPr="00843AC2" w:rsidRDefault="00621F2B" w:rsidP="00621F2B">
      <w:pPr>
        <w:pStyle w:val="Default"/>
        <w:rPr>
          <w:rFonts w:asciiTheme="minorHAnsi" w:hAnsiTheme="minorHAnsi" w:cstheme="minorHAnsi"/>
          <w:sz w:val="22"/>
          <w:szCs w:val="22"/>
          <w:u w:val="single"/>
        </w:rPr>
      </w:pPr>
      <w:r w:rsidRPr="00843AC2">
        <w:rPr>
          <w:rFonts w:asciiTheme="minorHAnsi" w:hAnsiTheme="minorHAnsi" w:cstheme="minorHAnsi"/>
          <w:sz w:val="22"/>
          <w:szCs w:val="22"/>
          <w:u w:val="single"/>
        </w:rPr>
        <w:t>Obblighi specifici del PNRR relativi al rispetto del DNSH</w:t>
      </w:r>
    </w:p>
    <w:p w14:paraId="10372990" w14:textId="77777777" w:rsidR="009455DD" w:rsidRPr="00843AC2" w:rsidRDefault="009455DD" w:rsidP="007D587D">
      <w:pPr>
        <w:autoSpaceDE w:val="0"/>
        <w:autoSpaceDN w:val="0"/>
        <w:adjustRightInd w:val="0"/>
        <w:spacing w:after="0" w:line="240" w:lineRule="auto"/>
        <w:jc w:val="both"/>
        <w:rPr>
          <w:rFonts w:cstheme="minorHAnsi"/>
        </w:rPr>
      </w:pPr>
      <w:r w:rsidRPr="00843AC2">
        <w:rPr>
          <w:rFonts w:cstheme="minorHAnsi"/>
        </w:rPr>
        <w:t>In merito  al rispetto degli obblighi di cui al principio del DNSH, si precisa che gli interventi oggetto di affidamento dovranno contribuire al raggiungimento dell’obiettivo nazionale di aumento annuale dell’efficienze energetica stabilito dalla direttiva 2012/27/UE del Parlamento Europeo e del Consiglio.</w:t>
      </w:r>
    </w:p>
    <w:p w14:paraId="2F424644" w14:textId="77777777" w:rsidR="009455DD" w:rsidRPr="00843AC2" w:rsidRDefault="009455DD" w:rsidP="007D587D">
      <w:pPr>
        <w:autoSpaceDE w:val="0"/>
        <w:autoSpaceDN w:val="0"/>
        <w:adjustRightInd w:val="0"/>
        <w:spacing w:after="0" w:line="240" w:lineRule="auto"/>
        <w:jc w:val="both"/>
        <w:rPr>
          <w:rFonts w:cstheme="minorHAnsi"/>
        </w:rPr>
      </w:pPr>
    </w:p>
    <w:p w14:paraId="1C8E6716" w14:textId="77777777" w:rsidR="009455DD" w:rsidRPr="00843AC2" w:rsidRDefault="009455DD" w:rsidP="007D587D">
      <w:pPr>
        <w:autoSpaceDE w:val="0"/>
        <w:autoSpaceDN w:val="0"/>
        <w:adjustRightInd w:val="0"/>
        <w:spacing w:after="0" w:line="240" w:lineRule="auto"/>
        <w:jc w:val="both"/>
        <w:rPr>
          <w:rFonts w:cstheme="minorHAnsi"/>
        </w:rPr>
      </w:pPr>
      <w:r w:rsidRPr="00843AC2">
        <w:rPr>
          <w:rFonts w:cstheme="minorHAnsi"/>
        </w:rPr>
        <w:t>In particolare per gli investimenti M61.1.1.</w:t>
      </w:r>
      <w:r w:rsidR="00E919C1" w:rsidRPr="00843AC2">
        <w:rPr>
          <w:rFonts w:cstheme="minorHAnsi"/>
        </w:rPr>
        <w:t xml:space="preserve"> (Case della Comunità)</w:t>
      </w:r>
      <w:r w:rsidRPr="00843AC2">
        <w:rPr>
          <w:rFonts w:cstheme="minorHAnsi"/>
        </w:rPr>
        <w:t xml:space="preserve"> e M61.1.3.</w:t>
      </w:r>
      <w:r w:rsidR="00E919C1" w:rsidRPr="00843AC2">
        <w:rPr>
          <w:rFonts w:cstheme="minorHAnsi"/>
        </w:rPr>
        <w:t>(Ospedali di Comunità)</w:t>
      </w:r>
      <w:r w:rsidRPr="00843AC2">
        <w:rPr>
          <w:rFonts w:cstheme="minorHAnsi"/>
        </w:rPr>
        <w:t xml:space="preserve"> è stato individuato, quale regime applicabile rispetto all’obiettivo di mitigazione dei cambiamenti climatici il regime 1.</w:t>
      </w:r>
    </w:p>
    <w:p w14:paraId="1E157C4E" w14:textId="77777777" w:rsidR="00D06764" w:rsidRPr="00843AC2" w:rsidRDefault="00D06764" w:rsidP="007D587D">
      <w:pPr>
        <w:autoSpaceDE w:val="0"/>
        <w:autoSpaceDN w:val="0"/>
        <w:adjustRightInd w:val="0"/>
        <w:spacing w:after="0" w:line="240" w:lineRule="auto"/>
        <w:jc w:val="both"/>
        <w:rPr>
          <w:rFonts w:cstheme="minorHAnsi"/>
        </w:rPr>
      </w:pPr>
    </w:p>
    <w:p w14:paraId="394E707D" w14:textId="77777777" w:rsidR="00E919C1" w:rsidRPr="00843AC2" w:rsidRDefault="009455DD" w:rsidP="007D587D">
      <w:pPr>
        <w:autoSpaceDE w:val="0"/>
        <w:autoSpaceDN w:val="0"/>
        <w:adjustRightInd w:val="0"/>
        <w:spacing w:after="0" w:line="240" w:lineRule="auto"/>
        <w:jc w:val="both"/>
        <w:rPr>
          <w:rFonts w:cstheme="minorHAnsi"/>
        </w:rPr>
      </w:pPr>
      <w:r w:rsidRPr="00843AC2">
        <w:rPr>
          <w:rFonts w:cstheme="minorHAnsi"/>
        </w:rPr>
        <w:t>Pertanto</w:t>
      </w:r>
      <w:r w:rsidR="006E0CA0" w:rsidRPr="00843AC2">
        <w:rPr>
          <w:rFonts w:cstheme="minorHAnsi"/>
        </w:rPr>
        <w:t>, al fine della dimostrazione del rispetto degli obblighi di cui al citato principio del DNSH</w:t>
      </w:r>
      <w:r w:rsidR="00E919C1" w:rsidRPr="00843AC2">
        <w:rPr>
          <w:rFonts w:cstheme="minorHAnsi"/>
        </w:rPr>
        <w:t>:</w:t>
      </w:r>
    </w:p>
    <w:p w14:paraId="113E2F13" w14:textId="77777777" w:rsidR="00E919C1" w:rsidRPr="00843AC2" w:rsidRDefault="00E919C1" w:rsidP="007D587D">
      <w:pPr>
        <w:autoSpaceDE w:val="0"/>
        <w:autoSpaceDN w:val="0"/>
        <w:adjustRightInd w:val="0"/>
        <w:spacing w:after="0" w:line="240" w:lineRule="auto"/>
        <w:jc w:val="both"/>
        <w:rPr>
          <w:rFonts w:cstheme="minorHAnsi"/>
        </w:rPr>
      </w:pPr>
    </w:p>
    <w:p w14:paraId="19A0A034" w14:textId="77777777" w:rsidR="006E0CA0" w:rsidRPr="00843AC2" w:rsidRDefault="006E0CA0" w:rsidP="007D587D">
      <w:pPr>
        <w:autoSpaceDE w:val="0"/>
        <w:autoSpaceDN w:val="0"/>
        <w:adjustRightInd w:val="0"/>
        <w:spacing w:after="0" w:line="240" w:lineRule="auto"/>
        <w:jc w:val="both"/>
        <w:rPr>
          <w:rFonts w:cstheme="minorHAnsi"/>
        </w:rPr>
      </w:pPr>
      <w:r w:rsidRPr="00843AC2">
        <w:rPr>
          <w:rFonts w:cstheme="minorHAnsi"/>
        </w:rPr>
        <w:t>per investimenti che prevedono la costruzione di nuovi edifici, sarà necessario, tra le altre cose:</w:t>
      </w:r>
    </w:p>
    <w:p w14:paraId="422EBC7D" w14:textId="77777777" w:rsidR="007D587D" w:rsidRPr="00843AC2" w:rsidRDefault="00D06764" w:rsidP="006E0CA0">
      <w:pPr>
        <w:pStyle w:val="Paragrafoelenco"/>
        <w:numPr>
          <w:ilvl w:val="0"/>
          <w:numId w:val="9"/>
        </w:numPr>
        <w:autoSpaceDE w:val="0"/>
        <w:autoSpaceDN w:val="0"/>
        <w:adjustRightInd w:val="0"/>
        <w:spacing w:after="0" w:line="240" w:lineRule="auto"/>
        <w:jc w:val="both"/>
        <w:rPr>
          <w:rFonts w:cstheme="minorHAnsi"/>
        </w:rPr>
      </w:pPr>
      <w:r w:rsidRPr="00843AC2">
        <w:rPr>
          <w:rFonts w:cstheme="minorHAnsi"/>
        </w:rPr>
        <w:t>o</w:t>
      </w:r>
      <w:r w:rsidR="006E0CA0" w:rsidRPr="00843AC2">
        <w:rPr>
          <w:rFonts w:cstheme="minorHAnsi"/>
        </w:rPr>
        <w:t xml:space="preserve">ttenere l’asseverazione da parte di un soggetto abilitato, attestante che l’indice di prestazione energetica globale non rinnovabile (EPgl, nren) dell’edificio oggetto dell’intervento sia inferiore per una quota almeno pari al 20% rispetto all’indice di prestazione energetica globale </w:t>
      </w:r>
      <w:r w:rsidRPr="00843AC2">
        <w:rPr>
          <w:rFonts w:cstheme="minorHAnsi"/>
        </w:rPr>
        <w:t>non rinnovabile di riferimento necessario ad accedere alla classificazione A4 di prestazione energetica;</w:t>
      </w:r>
    </w:p>
    <w:p w14:paraId="1601D9D6" w14:textId="77777777" w:rsidR="00D06764" w:rsidRPr="00843AC2" w:rsidRDefault="00D06764" w:rsidP="006E0CA0">
      <w:pPr>
        <w:pStyle w:val="Paragrafoelenco"/>
        <w:numPr>
          <w:ilvl w:val="0"/>
          <w:numId w:val="9"/>
        </w:numPr>
        <w:autoSpaceDE w:val="0"/>
        <w:autoSpaceDN w:val="0"/>
        <w:adjustRightInd w:val="0"/>
        <w:spacing w:after="0" w:line="240" w:lineRule="auto"/>
        <w:jc w:val="both"/>
        <w:rPr>
          <w:rFonts w:cstheme="minorHAnsi"/>
        </w:rPr>
      </w:pPr>
      <w:r w:rsidRPr="00843AC2">
        <w:rPr>
          <w:rFonts w:cstheme="minorHAnsi"/>
        </w:rPr>
        <w:t>ottenere una certificazione dell’edificio oggetto di intervento che attesti la classificazione di edificio ad energia quasi zero (NZEB, nearly zero-energy building). L’Azienda Usl di Bologna acquisirà tale certificazione mediante attestato di prestazione energetica (A.P.E.) rilasciato da un soggetto abilitato.</w:t>
      </w:r>
    </w:p>
    <w:p w14:paraId="600E92B9" w14:textId="77777777" w:rsidR="00E919C1" w:rsidRPr="00843AC2" w:rsidRDefault="00E919C1" w:rsidP="00D06764">
      <w:pPr>
        <w:autoSpaceDE w:val="0"/>
        <w:autoSpaceDN w:val="0"/>
        <w:adjustRightInd w:val="0"/>
        <w:spacing w:after="0" w:line="240" w:lineRule="auto"/>
        <w:jc w:val="both"/>
        <w:rPr>
          <w:rFonts w:cstheme="minorHAnsi"/>
        </w:rPr>
      </w:pPr>
    </w:p>
    <w:p w14:paraId="2A1FB4F3" w14:textId="77777777" w:rsidR="00D06764" w:rsidRPr="00843AC2" w:rsidRDefault="00E919C1" w:rsidP="00D06764">
      <w:pPr>
        <w:autoSpaceDE w:val="0"/>
        <w:autoSpaceDN w:val="0"/>
        <w:adjustRightInd w:val="0"/>
        <w:spacing w:after="0" w:line="240" w:lineRule="auto"/>
        <w:jc w:val="both"/>
        <w:rPr>
          <w:rFonts w:cstheme="minorHAnsi"/>
        </w:rPr>
      </w:pPr>
      <w:r w:rsidRPr="00843AC2">
        <w:rPr>
          <w:rFonts w:cstheme="minorHAnsi"/>
        </w:rPr>
        <w:t>p</w:t>
      </w:r>
      <w:r w:rsidR="00D06764" w:rsidRPr="00843AC2">
        <w:rPr>
          <w:rFonts w:cstheme="minorHAnsi"/>
        </w:rPr>
        <w:t xml:space="preserve">er gli investimenti che prevedono la ristrutturazione o la riqualificazione o la  </w:t>
      </w:r>
      <w:r w:rsidR="00621F2B" w:rsidRPr="00843AC2">
        <w:rPr>
          <w:rFonts w:cstheme="minorHAnsi"/>
        </w:rPr>
        <w:t>demolizione e ricostruzione ai fini energetici e non di nuovi edifici sarà necessario soddisfare una delle seguenti soglie:</w:t>
      </w:r>
    </w:p>
    <w:p w14:paraId="1D6D9DC7" w14:textId="77777777" w:rsidR="00621F2B" w:rsidRPr="00843AC2" w:rsidRDefault="00621F2B" w:rsidP="00621F2B">
      <w:pPr>
        <w:pStyle w:val="Paragrafoelenco"/>
        <w:numPr>
          <w:ilvl w:val="0"/>
          <w:numId w:val="10"/>
        </w:numPr>
        <w:autoSpaceDE w:val="0"/>
        <w:autoSpaceDN w:val="0"/>
        <w:adjustRightInd w:val="0"/>
        <w:spacing w:after="0" w:line="240" w:lineRule="auto"/>
        <w:jc w:val="both"/>
        <w:rPr>
          <w:rFonts w:cstheme="minorHAnsi"/>
        </w:rPr>
      </w:pPr>
      <w:r w:rsidRPr="00843AC2">
        <w:rPr>
          <w:rFonts w:cstheme="minorHAnsi"/>
        </w:rPr>
        <w:t>la ristrutturazione sia conforme ai requisiti stabiliti nei regolamenti edilizi applicabili per la “ristrutturazione importante” che recepiscono la direttiva sul rendimento energetico degli edifici (EPBD) nei casi di ristrutturazione importante (corrispondente a ristrutturazione importante primo livello e secondo livello) e demolizione e ricostruzione;</w:t>
      </w:r>
    </w:p>
    <w:p w14:paraId="114AAA6C" w14:textId="77777777" w:rsidR="00E919C1" w:rsidRPr="00843AC2" w:rsidRDefault="00621F2B" w:rsidP="00621F2B">
      <w:pPr>
        <w:pStyle w:val="Paragrafoelenco"/>
        <w:numPr>
          <w:ilvl w:val="0"/>
          <w:numId w:val="10"/>
        </w:numPr>
        <w:autoSpaceDE w:val="0"/>
        <w:autoSpaceDN w:val="0"/>
        <w:adjustRightInd w:val="0"/>
        <w:spacing w:after="0" w:line="240" w:lineRule="auto"/>
        <w:jc w:val="both"/>
        <w:rPr>
          <w:rFonts w:cstheme="minorHAnsi"/>
        </w:rPr>
      </w:pPr>
      <w:r w:rsidRPr="00843AC2">
        <w:rPr>
          <w:rFonts w:cstheme="minorHAnsi"/>
        </w:rPr>
        <w:t>la ristrutturazione deve consentire un risparmio nel fabbisogno di energia primaria globale tra il 20 ed il 40% rispetto al rendimento dell’edificio prima della ristrutturazione e della riqualificazione nei casi di miglioramento relativo (corrispondente a riqualificazione energetica e/o ristrutturazione importante di secondo livello e/o servizio energia con obiettivo fissato di risparmio energetico). L</w:t>
      </w:r>
      <w:r w:rsidR="00E919C1" w:rsidRPr="00843AC2">
        <w:rPr>
          <w:rFonts w:cstheme="minorHAnsi"/>
        </w:rPr>
        <w:t>a certificazione di raggiungimento della soglia sarà dimostrato dall’</w:t>
      </w:r>
      <w:r w:rsidRPr="00843AC2">
        <w:rPr>
          <w:rFonts w:cstheme="minorHAnsi"/>
        </w:rPr>
        <w:t>’A</w:t>
      </w:r>
      <w:r w:rsidR="00E919C1" w:rsidRPr="00843AC2">
        <w:rPr>
          <w:rFonts w:cstheme="minorHAnsi"/>
        </w:rPr>
        <w:t>ttestato di Prestazione Energetica (A.P.E.) rilasciato da soggetto abilitato.</w:t>
      </w:r>
    </w:p>
    <w:p w14:paraId="78789D84" w14:textId="77777777" w:rsidR="00E919C1" w:rsidRPr="00843AC2" w:rsidRDefault="00E919C1" w:rsidP="00E919C1">
      <w:pPr>
        <w:autoSpaceDE w:val="0"/>
        <w:autoSpaceDN w:val="0"/>
        <w:adjustRightInd w:val="0"/>
        <w:spacing w:after="0" w:line="240" w:lineRule="auto"/>
        <w:jc w:val="both"/>
        <w:rPr>
          <w:rFonts w:cstheme="minorHAnsi"/>
        </w:rPr>
      </w:pPr>
    </w:p>
    <w:p w14:paraId="463FB834" w14:textId="77777777" w:rsidR="00E919C1" w:rsidRPr="00843AC2" w:rsidRDefault="00E919C1" w:rsidP="00E919C1">
      <w:pPr>
        <w:autoSpaceDE w:val="0"/>
        <w:autoSpaceDN w:val="0"/>
        <w:adjustRightInd w:val="0"/>
        <w:spacing w:after="0" w:line="240" w:lineRule="auto"/>
        <w:jc w:val="both"/>
        <w:rPr>
          <w:rFonts w:cstheme="minorHAnsi"/>
        </w:rPr>
      </w:pPr>
      <w:r w:rsidRPr="00843AC2">
        <w:rPr>
          <w:rFonts w:cstheme="minorHAnsi"/>
        </w:rPr>
        <w:t>L’Affidatario dovrà redigere apposita relazione illustrativa degli interventi proposti evidenziando, laddove necessario, l’analisi costi-benefici (diagnosi energetica).</w:t>
      </w:r>
    </w:p>
    <w:p w14:paraId="357F4A54" w14:textId="77777777" w:rsidR="00B235BB" w:rsidRPr="00843AC2" w:rsidRDefault="00B235BB" w:rsidP="00BE3CF4">
      <w:pPr>
        <w:pStyle w:val="Default"/>
        <w:jc w:val="both"/>
        <w:rPr>
          <w:rFonts w:asciiTheme="minorHAnsi" w:hAnsiTheme="minorHAnsi" w:cstheme="minorHAnsi"/>
          <w:sz w:val="22"/>
          <w:szCs w:val="22"/>
        </w:rPr>
      </w:pPr>
    </w:p>
    <w:p w14:paraId="6F5359C5" w14:textId="77777777" w:rsidR="00B235BB" w:rsidRPr="00843AC2" w:rsidRDefault="00B235BB" w:rsidP="00BE3CF4">
      <w:pPr>
        <w:pStyle w:val="Default"/>
        <w:jc w:val="both"/>
        <w:rPr>
          <w:rFonts w:asciiTheme="minorHAnsi" w:hAnsiTheme="minorHAnsi" w:cstheme="minorHAnsi"/>
          <w:sz w:val="22"/>
          <w:szCs w:val="22"/>
          <w:u w:val="single"/>
        </w:rPr>
      </w:pPr>
      <w:r w:rsidRPr="00843AC2">
        <w:rPr>
          <w:rFonts w:asciiTheme="minorHAnsi" w:hAnsiTheme="minorHAnsi" w:cstheme="minorHAnsi"/>
          <w:sz w:val="22"/>
          <w:szCs w:val="22"/>
          <w:u w:val="single"/>
        </w:rPr>
        <w:t>Obblighi specifici del PNRR relativi al rispetto di obblighi in materia contabile,</w:t>
      </w:r>
    </w:p>
    <w:p w14:paraId="6BA7D1ED" w14:textId="77777777" w:rsidR="00B235BB" w:rsidRPr="00843AC2" w:rsidRDefault="00B235BB" w:rsidP="00BE3CF4">
      <w:pPr>
        <w:pStyle w:val="Default"/>
        <w:jc w:val="both"/>
        <w:rPr>
          <w:rFonts w:asciiTheme="minorHAnsi" w:hAnsiTheme="minorHAnsi" w:cstheme="minorHAnsi"/>
          <w:sz w:val="22"/>
          <w:szCs w:val="22"/>
          <w:u w:val="single"/>
        </w:rPr>
      </w:pPr>
    </w:p>
    <w:p w14:paraId="202D5893" w14:textId="77777777" w:rsidR="0054322C" w:rsidRPr="00843AC2" w:rsidRDefault="00B235BB" w:rsidP="00BE3CF4">
      <w:pPr>
        <w:pStyle w:val="Default"/>
        <w:jc w:val="both"/>
        <w:rPr>
          <w:rFonts w:asciiTheme="minorHAnsi" w:hAnsiTheme="minorHAnsi" w:cstheme="minorHAnsi"/>
          <w:sz w:val="22"/>
          <w:szCs w:val="22"/>
        </w:rPr>
      </w:pPr>
      <w:r w:rsidRPr="00843AC2">
        <w:rPr>
          <w:rFonts w:asciiTheme="minorHAnsi" w:hAnsiTheme="minorHAnsi" w:cstheme="minorHAnsi"/>
          <w:sz w:val="22"/>
          <w:szCs w:val="22"/>
        </w:rPr>
        <w:t>L’</w:t>
      </w:r>
      <w:r w:rsidR="0054322C" w:rsidRPr="00843AC2">
        <w:rPr>
          <w:rFonts w:asciiTheme="minorHAnsi" w:hAnsiTheme="minorHAnsi" w:cstheme="minorHAnsi"/>
          <w:sz w:val="22"/>
          <w:szCs w:val="22"/>
        </w:rPr>
        <w:t>A</w:t>
      </w:r>
      <w:r w:rsidRPr="00843AC2">
        <w:rPr>
          <w:rFonts w:asciiTheme="minorHAnsi" w:hAnsiTheme="minorHAnsi" w:cstheme="minorHAnsi"/>
          <w:sz w:val="22"/>
          <w:szCs w:val="22"/>
        </w:rPr>
        <w:t>ffidatario è tenuto a</w:t>
      </w:r>
      <w:r w:rsidR="0054322C" w:rsidRPr="00843AC2">
        <w:rPr>
          <w:rFonts w:asciiTheme="minorHAnsi" w:hAnsiTheme="minorHAnsi" w:cstheme="minorHAnsi"/>
          <w:sz w:val="22"/>
          <w:szCs w:val="22"/>
        </w:rPr>
        <w:t xml:space="preserve"> rispettare gli obblighi in materia contabile conformemente a quanto previsto dalla circolare MEF-RGS n.9 del 10 febbraio 2022 e recepiti nel contratti. Trattasi dell’adozione eventuale di adeguate misure volte al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relativi  agli interventi per assicurare la tracciabilità dell’utilizzo delle risorse del PNRR</w:t>
      </w:r>
    </w:p>
    <w:p w14:paraId="06ABD367" w14:textId="77777777" w:rsidR="0054322C" w:rsidRPr="00843AC2" w:rsidRDefault="0054322C" w:rsidP="00BE3CF4">
      <w:pPr>
        <w:pStyle w:val="Default"/>
        <w:jc w:val="both"/>
        <w:rPr>
          <w:rFonts w:asciiTheme="minorHAnsi" w:hAnsiTheme="minorHAnsi" w:cstheme="minorHAnsi"/>
          <w:sz w:val="22"/>
          <w:szCs w:val="22"/>
        </w:rPr>
      </w:pPr>
    </w:p>
    <w:p w14:paraId="1E35EADF" w14:textId="77777777" w:rsidR="00BE3CF4" w:rsidRPr="00843AC2" w:rsidRDefault="00BE3CF4" w:rsidP="00DF3C38">
      <w:pPr>
        <w:autoSpaceDE w:val="0"/>
        <w:autoSpaceDN w:val="0"/>
        <w:adjustRightInd w:val="0"/>
        <w:spacing w:after="0" w:line="240" w:lineRule="auto"/>
        <w:jc w:val="both"/>
        <w:rPr>
          <w:rFonts w:cstheme="minorHAnsi"/>
        </w:rPr>
      </w:pPr>
    </w:p>
    <w:p w14:paraId="158020CA" w14:textId="77777777" w:rsidR="00870718" w:rsidRPr="00843AC2" w:rsidRDefault="0094680E" w:rsidP="0094680E">
      <w:pPr>
        <w:jc w:val="right"/>
        <w:rPr>
          <w:rFonts w:cstheme="minorHAnsi"/>
        </w:rPr>
      </w:pPr>
      <w:r w:rsidRPr="00843AC2">
        <w:rPr>
          <w:rFonts w:cstheme="minorHAnsi"/>
        </w:rPr>
        <w:t>Firma per presa visione e accettazione</w:t>
      </w:r>
    </w:p>
    <w:sectPr w:rsidR="00870718" w:rsidRPr="00843AC2" w:rsidSect="00843AC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9A105" w14:textId="77777777" w:rsidR="00637E74" w:rsidRDefault="00637E74" w:rsidP="00637E74">
      <w:pPr>
        <w:spacing w:after="0" w:line="240" w:lineRule="auto"/>
      </w:pPr>
      <w:r>
        <w:separator/>
      </w:r>
    </w:p>
  </w:endnote>
  <w:endnote w:type="continuationSeparator" w:id="0">
    <w:p w14:paraId="0ED4B100" w14:textId="77777777" w:rsidR="00637E74" w:rsidRDefault="00637E74" w:rsidP="0063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D708" w14:textId="77777777" w:rsidR="00880BE6" w:rsidRDefault="00880BE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9CEDD" w14:textId="77777777" w:rsidR="00880BE6" w:rsidRDefault="00880BE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B172D" w14:textId="77777777" w:rsidR="00880BE6" w:rsidRDefault="00880B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9B7AD" w14:textId="77777777" w:rsidR="00637E74" w:rsidRDefault="00637E74" w:rsidP="00637E74">
      <w:pPr>
        <w:spacing w:after="0" w:line="240" w:lineRule="auto"/>
      </w:pPr>
      <w:r>
        <w:separator/>
      </w:r>
    </w:p>
  </w:footnote>
  <w:footnote w:type="continuationSeparator" w:id="0">
    <w:p w14:paraId="3F132E24" w14:textId="77777777" w:rsidR="00637E74" w:rsidRDefault="00637E74" w:rsidP="00637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1F09B" w14:textId="77777777" w:rsidR="00880BE6" w:rsidRDefault="00880BE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6B4D9" w14:textId="77777777" w:rsidR="005A28F7" w:rsidRDefault="005A28F7" w:rsidP="005A28F7">
    <w:pPr>
      <w:pStyle w:val="Intestazione"/>
      <w:ind w:left="113"/>
      <w:rPr>
        <w:rFonts w:ascii="Arial" w:hAnsi="Arial" w:cs="Arial"/>
        <w:sz w:val="12"/>
        <w:szCs w:val="20"/>
        <w:lang w:eastAsia="zh-CN"/>
      </w:rPr>
    </w:pPr>
  </w:p>
  <w:p w14:paraId="128498DD" w14:textId="77777777" w:rsidR="005A28F7" w:rsidRDefault="005A28F7" w:rsidP="005A28F7">
    <w:pPr>
      <w:pStyle w:val="Intestazione"/>
      <w:ind w:left="113"/>
      <w:rPr>
        <w:rFonts w:ascii="Arial" w:hAnsi="Arial" w:cs="Arial"/>
        <w:sz w:val="16"/>
      </w:rPr>
    </w:pPr>
  </w:p>
  <w:p w14:paraId="03E91A53" w14:textId="0C960798" w:rsidR="005A28F7" w:rsidRDefault="005A28F7" w:rsidP="005A28F7">
    <w:pPr>
      <w:pStyle w:val="Intestazione"/>
      <w:ind w:left="113"/>
      <w:rPr>
        <w:rFonts w:ascii="Arial" w:hAnsi="Arial" w:cs="Arial"/>
        <w:sz w:val="16"/>
      </w:rPr>
    </w:pPr>
    <w:bookmarkStart w:id="0" w:name="_GoBack"/>
    <w:bookmarkEnd w:id="0"/>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3"/>
      <w:gridCol w:w="5010"/>
    </w:tblGrid>
    <w:tr w:rsidR="00A866AE" w14:paraId="4207641A" w14:textId="77777777" w:rsidTr="00B07820">
      <w:tc>
        <w:tcPr>
          <w:tcW w:w="4013" w:type="dxa"/>
        </w:tcPr>
        <w:p w14:paraId="32E2D1B6" w14:textId="0C9259D6" w:rsidR="00A866AE" w:rsidRDefault="00A866AE" w:rsidP="00A866AE">
          <w:pPr>
            <w:pStyle w:val="Intestazione"/>
            <w:rPr>
              <w:rFonts w:ascii="Arial" w:hAnsi="Arial" w:cs="Arial"/>
              <w:sz w:val="12"/>
              <w:szCs w:val="20"/>
            </w:rPr>
          </w:pPr>
          <w:bookmarkStart w:id="1" w:name="OLE_LINK1"/>
          <w:bookmarkStart w:id="2" w:name="OLE_LINK2"/>
          <w:r w:rsidRPr="00235BE6">
            <w:rPr>
              <w:rFonts w:ascii="Arial" w:hAnsi="Arial" w:cs="Arial"/>
              <w:noProof/>
              <w:sz w:val="12"/>
              <w:szCs w:val="20"/>
            </w:rPr>
            <w:drawing>
              <wp:inline distT="0" distB="0" distL="0" distR="0" wp14:anchorId="758D3F91" wp14:editId="6F1ED305">
                <wp:extent cx="2352675" cy="78105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tc>
      <w:tc>
        <w:tcPr>
          <w:tcW w:w="5010" w:type="dxa"/>
        </w:tcPr>
        <w:p w14:paraId="4293FAC0" w14:textId="591F25D0" w:rsidR="00A866AE" w:rsidRDefault="00A866AE" w:rsidP="00A866AE">
          <w:pPr>
            <w:pStyle w:val="Intestazione"/>
            <w:rPr>
              <w:rFonts w:ascii="Arial" w:hAnsi="Arial" w:cs="Arial"/>
              <w:sz w:val="12"/>
              <w:szCs w:val="20"/>
            </w:rPr>
          </w:pPr>
          <w:r>
            <w:rPr>
              <w:rFonts w:ascii="Arial" w:hAnsi="Arial" w:cs="Arial"/>
              <w:noProof/>
              <w:sz w:val="16"/>
              <w:szCs w:val="20"/>
            </w:rPr>
            <w:drawing>
              <wp:inline distT="0" distB="0" distL="0" distR="0" wp14:anchorId="46CC9E54" wp14:editId="7A16D610">
                <wp:extent cx="2952750" cy="6667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39481"/>
                        <a:stretch>
                          <a:fillRect/>
                        </a:stretch>
                      </pic:blipFill>
                      <pic:spPr bwMode="auto">
                        <a:xfrm>
                          <a:off x="0" y="0"/>
                          <a:ext cx="2952750" cy="666750"/>
                        </a:xfrm>
                        <a:prstGeom prst="rect">
                          <a:avLst/>
                        </a:prstGeom>
                        <a:noFill/>
                        <a:ln>
                          <a:noFill/>
                        </a:ln>
                      </pic:spPr>
                    </pic:pic>
                  </a:graphicData>
                </a:graphic>
              </wp:inline>
            </w:drawing>
          </w:r>
        </w:p>
      </w:tc>
    </w:tr>
    <w:tr w:rsidR="00A866AE" w14:paraId="441481A2" w14:textId="77777777" w:rsidTr="00B07820">
      <w:tc>
        <w:tcPr>
          <w:tcW w:w="9023" w:type="dxa"/>
          <w:gridSpan w:val="2"/>
        </w:tcPr>
        <w:p w14:paraId="309816CF" w14:textId="0F48B858" w:rsidR="00A866AE" w:rsidRDefault="00A866AE" w:rsidP="00A866AE">
          <w:pPr>
            <w:pStyle w:val="Intestazione"/>
            <w:rPr>
              <w:rFonts w:ascii="Arial" w:hAnsi="Arial" w:cs="Arial"/>
              <w:sz w:val="12"/>
              <w:szCs w:val="20"/>
            </w:rPr>
          </w:pPr>
          <w:r>
            <w:rPr>
              <w:noProof/>
            </w:rPr>
            <w:drawing>
              <wp:anchor distT="0" distB="0" distL="114300" distR="114300" simplePos="0" relativeHeight="251661312" behindDoc="0" locked="0" layoutInCell="1" allowOverlap="0" wp14:anchorId="4AE60651" wp14:editId="1B25AC1E">
                <wp:simplePos x="0" y="0"/>
                <wp:positionH relativeFrom="column">
                  <wp:posOffset>44450</wp:posOffset>
                </wp:positionH>
                <wp:positionV relativeFrom="paragraph">
                  <wp:posOffset>45720</wp:posOffset>
                </wp:positionV>
                <wp:extent cx="5049520" cy="39052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952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FC31D" w14:textId="77777777" w:rsidR="00A866AE" w:rsidRDefault="00A866AE" w:rsidP="00A866AE">
          <w:pPr>
            <w:pStyle w:val="Intestazione"/>
            <w:rPr>
              <w:rFonts w:ascii="Arial" w:hAnsi="Arial" w:cs="Arial"/>
              <w:sz w:val="12"/>
              <w:szCs w:val="20"/>
            </w:rPr>
          </w:pPr>
        </w:p>
        <w:p w14:paraId="52DD070D" w14:textId="77777777" w:rsidR="00A866AE" w:rsidRDefault="00A866AE" w:rsidP="00A866AE">
          <w:pPr>
            <w:pStyle w:val="Intestazione"/>
            <w:rPr>
              <w:rFonts w:ascii="Arial" w:hAnsi="Arial" w:cs="Arial"/>
              <w:sz w:val="12"/>
              <w:szCs w:val="20"/>
            </w:rPr>
          </w:pPr>
        </w:p>
        <w:p w14:paraId="04645D8F" w14:textId="77777777" w:rsidR="00A866AE" w:rsidRDefault="00A866AE" w:rsidP="00A866AE">
          <w:pPr>
            <w:pStyle w:val="Intestazione"/>
            <w:rPr>
              <w:rFonts w:ascii="Arial" w:hAnsi="Arial" w:cs="Arial"/>
              <w:sz w:val="12"/>
              <w:szCs w:val="20"/>
            </w:rPr>
          </w:pPr>
        </w:p>
        <w:p w14:paraId="1965F6A4" w14:textId="77777777" w:rsidR="00A866AE" w:rsidRDefault="00A866AE" w:rsidP="00A866AE">
          <w:pPr>
            <w:pStyle w:val="Intestazione"/>
            <w:rPr>
              <w:rFonts w:ascii="Arial" w:hAnsi="Arial" w:cs="Arial"/>
              <w:sz w:val="12"/>
              <w:szCs w:val="20"/>
            </w:rPr>
          </w:pPr>
        </w:p>
        <w:p w14:paraId="77B3B430" w14:textId="77777777" w:rsidR="00A866AE" w:rsidRDefault="00A866AE" w:rsidP="00A866AE">
          <w:pPr>
            <w:pStyle w:val="Intestazione"/>
            <w:rPr>
              <w:rFonts w:ascii="Arial" w:hAnsi="Arial" w:cs="Arial"/>
              <w:sz w:val="12"/>
              <w:szCs w:val="20"/>
            </w:rPr>
          </w:pPr>
        </w:p>
      </w:tc>
    </w:tr>
    <w:bookmarkEnd w:id="1"/>
    <w:bookmarkEnd w:id="2"/>
  </w:tbl>
  <w:p w14:paraId="06989436" w14:textId="77777777" w:rsidR="005A28F7" w:rsidRDefault="005A28F7" w:rsidP="005A28F7">
    <w:pPr>
      <w:pStyle w:val="Intestazione"/>
      <w:rPr>
        <w:rFonts w:ascii="Arial" w:hAnsi="Arial" w:cs="Arial"/>
        <w:sz w:val="16"/>
      </w:rPr>
    </w:pPr>
  </w:p>
  <w:p w14:paraId="267A9876" w14:textId="77777777" w:rsidR="005A28F7" w:rsidRDefault="005A28F7" w:rsidP="005A28F7">
    <w:pPr>
      <w:pStyle w:val="Intestazione"/>
      <w:ind w:left="113"/>
      <w:rPr>
        <w:rFonts w:ascii="Arial" w:hAnsi="Arial" w:cs="Arial"/>
        <w:sz w:val="16"/>
      </w:rPr>
    </w:pPr>
  </w:p>
  <w:p w14:paraId="4837AD3A" w14:textId="77777777" w:rsidR="005A28F7" w:rsidRPr="00681B00" w:rsidRDefault="005A28F7" w:rsidP="005A28F7">
    <w:pPr>
      <w:pStyle w:val="Intestazione"/>
      <w:ind w:left="113"/>
      <w:rPr>
        <w:rFonts w:ascii="Arial" w:hAnsi="Arial" w:cs="Arial"/>
        <w:sz w:val="12"/>
      </w:rPr>
    </w:pPr>
  </w:p>
  <w:p w14:paraId="4405F67B" w14:textId="77777777" w:rsidR="00637E74" w:rsidRDefault="00637E7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B2F17" w14:textId="77777777" w:rsidR="00880BE6" w:rsidRDefault="00880BE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4"/>
      <w:numFmt w:val="upperLetter"/>
      <w:pStyle w:val="ELENCOPUNTATO"/>
      <w:lvlText w:val="%1)"/>
      <w:lvlJc w:val="left"/>
      <w:pPr>
        <w:tabs>
          <w:tab w:val="num" w:pos="360"/>
        </w:tabs>
        <w:ind w:left="340" w:hanging="340"/>
      </w:pPr>
    </w:lvl>
  </w:abstractNum>
  <w:abstractNum w:abstractNumId="1">
    <w:nsid w:val="12FE445A"/>
    <w:multiLevelType w:val="hybridMultilevel"/>
    <w:tmpl w:val="4314D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FD5608"/>
    <w:multiLevelType w:val="hybridMultilevel"/>
    <w:tmpl w:val="6E74D9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374914"/>
    <w:multiLevelType w:val="hybridMultilevel"/>
    <w:tmpl w:val="9B8AA84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4">
    <w:nsid w:val="326C1389"/>
    <w:multiLevelType w:val="hybridMultilevel"/>
    <w:tmpl w:val="109C9D12"/>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C8B618A"/>
    <w:multiLevelType w:val="hybridMultilevel"/>
    <w:tmpl w:val="6BDC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D57B10"/>
    <w:multiLevelType w:val="hybridMultilevel"/>
    <w:tmpl w:val="EB9C54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84E1822"/>
    <w:multiLevelType w:val="hybridMultilevel"/>
    <w:tmpl w:val="06B49E7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4A561B90"/>
    <w:multiLevelType w:val="hybridMultilevel"/>
    <w:tmpl w:val="E7B47F5C"/>
    <w:lvl w:ilvl="0" w:tplc="3A16F0D0">
      <w:start w:val="1"/>
      <w:numFmt w:val="bullet"/>
      <w:lvlText w:val="-"/>
      <w:lvlJc w:val="left"/>
      <w:pPr>
        <w:ind w:left="720" w:hanging="360"/>
      </w:pPr>
      <w:rPr>
        <w:rFonts w:ascii="Arial" w:eastAsiaTheme="minorHAnsi"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CB96ED1"/>
    <w:multiLevelType w:val="hybridMultilevel"/>
    <w:tmpl w:val="466E4E12"/>
    <w:lvl w:ilvl="0" w:tplc="04100019">
      <w:start w:val="1"/>
      <w:numFmt w:val="lowerLetter"/>
      <w:lvlText w:val="%1."/>
      <w:lvlJc w:val="left"/>
      <w:pPr>
        <w:ind w:left="1145" w:hanging="360"/>
      </w:pPr>
      <w:rPr>
        <w:rFont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nsid w:val="64695517"/>
    <w:multiLevelType w:val="hybridMultilevel"/>
    <w:tmpl w:val="CE089B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E55D73"/>
    <w:multiLevelType w:val="hybridMultilevel"/>
    <w:tmpl w:val="341A507E"/>
    <w:lvl w:ilvl="0" w:tplc="04100011">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8"/>
  </w:num>
  <w:num w:numId="5">
    <w:abstractNumId w:val="0"/>
  </w:num>
  <w:num w:numId="6">
    <w:abstractNumId w:val="9"/>
  </w:num>
  <w:num w:numId="7">
    <w:abstractNumId w:val="1"/>
  </w:num>
  <w:num w:numId="8">
    <w:abstractNumId w:val="4"/>
  </w:num>
  <w:num w:numId="9">
    <w:abstractNumId w:val="3"/>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DD0"/>
    <w:rsid w:val="00051DD4"/>
    <w:rsid w:val="0008466E"/>
    <w:rsid w:val="00086B8E"/>
    <w:rsid w:val="00092CA5"/>
    <w:rsid w:val="00132AC1"/>
    <w:rsid w:val="00186D0E"/>
    <w:rsid w:val="001C7F7F"/>
    <w:rsid w:val="001F14F1"/>
    <w:rsid w:val="00204305"/>
    <w:rsid w:val="00266E31"/>
    <w:rsid w:val="002A4EEB"/>
    <w:rsid w:val="002D77FE"/>
    <w:rsid w:val="0031567E"/>
    <w:rsid w:val="0033040E"/>
    <w:rsid w:val="003A7E2F"/>
    <w:rsid w:val="003C787F"/>
    <w:rsid w:val="00415B4F"/>
    <w:rsid w:val="0044479C"/>
    <w:rsid w:val="004475B7"/>
    <w:rsid w:val="0046770A"/>
    <w:rsid w:val="004C1ADD"/>
    <w:rsid w:val="004F3BDB"/>
    <w:rsid w:val="005313E1"/>
    <w:rsid w:val="005322BC"/>
    <w:rsid w:val="0053231B"/>
    <w:rsid w:val="0054322C"/>
    <w:rsid w:val="005612D3"/>
    <w:rsid w:val="0056580C"/>
    <w:rsid w:val="005A28F7"/>
    <w:rsid w:val="005E1E38"/>
    <w:rsid w:val="005F2366"/>
    <w:rsid w:val="00621F2B"/>
    <w:rsid w:val="00637E74"/>
    <w:rsid w:val="0064324E"/>
    <w:rsid w:val="00644FBD"/>
    <w:rsid w:val="00680789"/>
    <w:rsid w:val="00696106"/>
    <w:rsid w:val="006E0CA0"/>
    <w:rsid w:val="006E20CB"/>
    <w:rsid w:val="00720D33"/>
    <w:rsid w:val="007373D2"/>
    <w:rsid w:val="00744C91"/>
    <w:rsid w:val="007D260E"/>
    <w:rsid w:val="007D587D"/>
    <w:rsid w:val="007F6FED"/>
    <w:rsid w:val="008015BB"/>
    <w:rsid w:val="00826D36"/>
    <w:rsid w:val="00830B34"/>
    <w:rsid w:val="00843AC2"/>
    <w:rsid w:val="00866540"/>
    <w:rsid w:val="00870718"/>
    <w:rsid w:val="0087583A"/>
    <w:rsid w:val="00880BE6"/>
    <w:rsid w:val="00887200"/>
    <w:rsid w:val="00887E6E"/>
    <w:rsid w:val="008A6799"/>
    <w:rsid w:val="008B2990"/>
    <w:rsid w:val="008C24FD"/>
    <w:rsid w:val="008F6ED5"/>
    <w:rsid w:val="009455DD"/>
    <w:rsid w:val="0094680E"/>
    <w:rsid w:val="00950CC8"/>
    <w:rsid w:val="00990B96"/>
    <w:rsid w:val="009A0BDE"/>
    <w:rsid w:val="00A57DD0"/>
    <w:rsid w:val="00A866AE"/>
    <w:rsid w:val="00A9635E"/>
    <w:rsid w:val="00AA459D"/>
    <w:rsid w:val="00AE37E5"/>
    <w:rsid w:val="00B235BB"/>
    <w:rsid w:val="00B5587E"/>
    <w:rsid w:val="00BE3CF4"/>
    <w:rsid w:val="00C26D99"/>
    <w:rsid w:val="00C343F2"/>
    <w:rsid w:val="00C40E42"/>
    <w:rsid w:val="00C46AB4"/>
    <w:rsid w:val="00C51448"/>
    <w:rsid w:val="00C61DD3"/>
    <w:rsid w:val="00CA2447"/>
    <w:rsid w:val="00CA64FA"/>
    <w:rsid w:val="00CB4187"/>
    <w:rsid w:val="00CB5159"/>
    <w:rsid w:val="00CC271B"/>
    <w:rsid w:val="00CF27C3"/>
    <w:rsid w:val="00D06764"/>
    <w:rsid w:val="00D22E13"/>
    <w:rsid w:val="00D44998"/>
    <w:rsid w:val="00DE4952"/>
    <w:rsid w:val="00DF3C38"/>
    <w:rsid w:val="00E07127"/>
    <w:rsid w:val="00E20E2A"/>
    <w:rsid w:val="00E7744D"/>
    <w:rsid w:val="00E919C1"/>
    <w:rsid w:val="00EC3F86"/>
    <w:rsid w:val="00ED46EE"/>
    <w:rsid w:val="00F566A3"/>
    <w:rsid w:val="00FB15E5"/>
    <w:rsid w:val="00FC551D"/>
    <w:rsid w:val="00FF79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6C6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6B8E"/>
    <w:pPr>
      <w:ind w:left="720"/>
      <w:contextualSpacing/>
    </w:pPr>
  </w:style>
  <w:style w:type="paragraph" w:customStyle="1" w:styleId="Default">
    <w:name w:val="Default"/>
    <w:rsid w:val="00E20E2A"/>
    <w:pPr>
      <w:autoSpaceDE w:val="0"/>
      <w:autoSpaceDN w:val="0"/>
      <w:adjustRightInd w:val="0"/>
      <w:spacing w:after="0" w:line="240" w:lineRule="auto"/>
    </w:pPr>
    <w:rPr>
      <w:rFonts w:ascii="Arial" w:hAnsi="Arial" w:cs="Arial"/>
      <w:color w:val="000000"/>
      <w:sz w:val="24"/>
      <w:szCs w:val="24"/>
    </w:rPr>
  </w:style>
  <w:style w:type="paragraph" w:customStyle="1" w:styleId="ELENCOPUNTATO">
    <w:name w:val="ELENCO PUNTATO"/>
    <w:rsid w:val="004F3BDB"/>
    <w:pPr>
      <w:numPr>
        <w:numId w:val="5"/>
      </w:numPr>
      <w:suppressAutoHyphens/>
      <w:spacing w:after="0" w:line="240" w:lineRule="auto"/>
      <w:jc w:val="both"/>
    </w:pPr>
    <w:rPr>
      <w:rFonts w:ascii="Arial" w:eastAsia="Arial" w:hAnsi="Arial" w:cs="Times New Roman"/>
      <w:sz w:val="24"/>
      <w:szCs w:val="20"/>
      <w:lang w:eastAsia="ar-SA"/>
    </w:rPr>
  </w:style>
  <w:style w:type="paragraph" w:styleId="Corpotesto">
    <w:name w:val="Body Text"/>
    <w:basedOn w:val="Normale"/>
    <w:link w:val="CorpotestoCarattere"/>
    <w:rsid w:val="00FC551D"/>
    <w:pPr>
      <w:tabs>
        <w:tab w:val="left" w:pos="5580"/>
      </w:tabs>
      <w:spacing w:after="0" w:line="240" w:lineRule="auto"/>
    </w:pPr>
    <w:rPr>
      <w:rFonts w:ascii="Arial" w:eastAsia="Times New Roman" w:hAnsi="Arial" w:cs="Arial"/>
      <w:b/>
      <w:bCs/>
      <w:sz w:val="24"/>
      <w:szCs w:val="24"/>
    </w:rPr>
  </w:style>
  <w:style w:type="character" w:customStyle="1" w:styleId="CorpotestoCarattere">
    <w:name w:val="Corpo testo Carattere"/>
    <w:basedOn w:val="Carpredefinitoparagrafo"/>
    <w:link w:val="Corpotesto"/>
    <w:rsid w:val="00FC551D"/>
    <w:rPr>
      <w:rFonts w:ascii="Arial" w:eastAsia="Times New Roman" w:hAnsi="Arial" w:cs="Arial"/>
      <w:b/>
      <w:bCs/>
      <w:sz w:val="24"/>
      <w:szCs w:val="24"/>
    </w:rPr>
  </w:style>
  <w:style w:type="paragraph" w:styleId="Intestazione">
    <w:name w:val="header"/>
    <w:basedOn w:val="Normale"/>
    <w:link w:val="IntestazioneCarattere"/>
    <w:uiPriority w:val="99"/>
    <w:unhideWhenUsed/>
    <w:rsid w:val="00637E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37E74"/>
  </w:style>
  <w:style w:type="paragraph" w:styleId="Pidipagina">
    <w:name w:val="footer"/>
    <w:basedOn w:val="Normale"/>
    <w:link w:val="PidipaginaCarattere"/>
    <w:uiPriority w:val="99"/>
    <w:unhideWhenUsed/>
    <w:rsid w:val="00637E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E74"/>
  </w:style>
  <w:style w:type="table" w:styleId="Grigliatabella">
    <w:name w:val="Table Grid"/>
    <w:basedOn w:val="Tabellanormale"/>
    <w:uiPriority w:val="99"/>
    <w:unhideWhenUsed/>
    <w:rsid w:val="00D2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D22E13"/>
    <w:rPr>
      <w:rFonts w:ascii="Times New Roman" w:hAnsi="Times New Roman"/>
    </w:rPr>
  </w:style>
  <w:style w:type="paragraph" w:styleId="Testofumetto">
    <w:name w:val="Balloon Text"/>
    <w:basedOn w:val="Normale"/>
    <w:link w:val="TestofumettoCarattere"/>
    <w:uiPriority w:val="99"/>
    <w:semiHidden/>
    <w:unhideWhenUsed/>
    <w:rsid w:val="003156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56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6B8E"/>
    <w:pPr>
      <w:ind w:left="720"/>
      <w:contextualSpacing/>
    </w:pPr>
  </w:style>
  <w:style w:type="paragraph" w:customStyle="1" w:styleId="Default">
    <w:name w:val="Default"/>
    <w:rsid w:val="00E20E2A"/>
    <w:pPr>
      <w:autoSpaceDE w:val="0"/>
      <w:autoSpaceDN w:val="0"/>
      <w:adjustRightInd w:val="0"/>
      <w:spacing w:after="0" w:line="240" w:lineRule="auto"/>
    </w:pPr>
    <w:rPr>
      <w:rFonts w:ascii="Arial" w:hAnsi="Arial" w:cs="Arial"/>
      <w:color w:val="000000"/>
      <w:sz w:val="24"/>
      <w:szCs w:val="24"/>
    </w:rPr>
  </w:style>
  <w:style w:type="paragraph" w:customStyle="1" w:styleId="ELENCOPUNTATO">
    <w:name w:val="ELENCO PUNTATO"/>
    <w:rsid w:val="004F3BDB"/>
    <w:pPr>
      <w:numPr>
        <w:numId w:val="5"/>
      </w:numPr>
      <w:suppressAutoHyphens/>
      <w:spacing w:after="0" w:line="240" w:lineRule="auto"/>
      <w:jc w:val="both"/>
    </w:pPr>
    <w:rPr>
      <w:rFonts w:ascii="Arial" w:eastAsia="Arial" w:hAnsi="Arial" w:cs="Times New Roman"/>
      <w:sz w:val="24"/>
      <w:szCs w:val="20"/>
      <w:lang w:eastAsia="ar-SA"/>
    </w:rPr>
  </w:style>
  <w:style w:type="paragraph" w:styleId="Corpotesto">
    <w:name w:val="Body Text"/>
    <w:basedOn w:val="Normale"/>
    <w:link w:val="CorpotestoCarattere"/>
    <w:rsid w:val="00FC551D"/>
    <w:pPr>
      <w:tabs>
        <w:tab w:val="left" w:pos="5580"/>
      </w:tabs>
      <w:spacing w:after="0" w:line="240" w:lineRule="auto"/>
    </w:pPr>
    <w:rPr>
      <w:rFonts w:ascii="Arial" w:eastAsia="Times New Roman" w:hAnsi="Arial" w:cs="Arial"/>
      <w:b/>
      <w:bCs/>
      <w:sz w:val="24"/>
      <w:szCs w:val="24"/>
    </w:rPr>
  </w:style>
  <w:style w:type="character" w:customStyle="1" w:styleId="CorpotestoCarattere">
    <w:name w:val="Corpo testo Carattere"/>
    <w:basedOn w:val="Carpredefinitoparagrafo"/>
    <w:link w:val="Corpotesto"/>
    <w:rsid w:val="00FC551D"/>
    <w:rPr>
      <w:rFonts w:ascii="Arial" w:eastAsia="Times New Roman" w:hAnsi="Arial" w:cs="Arial"/>
      <w:b/>
      <w:bCs/>
      <w:sz w:val="24"/>
      <w:szCs w:val="24"/>
    </w:rPr>
  </w:style>
  <w:style w:type="paragraph" w:styleId="Intestazione">
    <w:name w:val="header"/>
    <w:basedOn w:val="Normale"/>
    <w:link w:val="IntestazioneCarattere"/>
    <w:uiPriority w:val="99"/>
    <w:unhideWhenUsed/>
    <w:rsid w:val="00637E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37E74"/>
  </w:style>
  <w:style w:type="paragraph" w:styleId="Pidipagina">
    <w:name w:val="footer"/>
    <w:basedOn w:val="Normale"/>
    <w:link w:val="PidipaginaCarattere"/>
    <w:uiPriority w:val="99"/>
    <w:unhideWhenUsed/>
    <w:rsid w:val="00637E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E74"/>
  </w:style>
  <w:style w:type="table" w:styleId="Grigliatabella">
    <w:name w:val="Table Grid"/>
    <w:basedOn w:val="Tabellanormale"/>
    <w:uiPriority w:val="99"/>
    <w:unhideWhenUsed/>
    <w:rsid w:val="00D2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D22E13"/>
    <w:rPr>
      <w:rFonts w:ascii="Times New Roman" w:hAnsi="Times New Roman"/>
    </w:rPr>
  </w:style>
  <w:style w:type="paragraph" w:styleId="Testofumetto">
    <w:name w:val="Balloon Text"/>
    <w:basedOn w:val="Normale"/>
    <w:link w:val="TestofumettoCarattere"/>
    <w:uiPriority w:val="99"/>
    <w:semiHidden/>
    <w:unhideWhenUsed/>
    <w:rsid w:val="003156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5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06648">
      <w:bodyDiv w:val="1"/>
      <w:marLeft w:val="0"/>
      <w:marRight w:val="0"/>
      <w:marTop w:val="0"/>
      <w:marBottom w:val="0"/>
      <w:divBdr>
        <w:top w:val="none" w:sz="0" w:space="0" w:color="auto"/>
        <w:left w:val="none" w:sz="0" w:space="0" w:color="auto"/>
        <w:bottom w:val="none" w:sz="0" w:space="0" w:color="auto"/>
        <w:right w:val="none" w:sz="0" w:space="0" w:color="auto"/>
      </w:divBdr>
    </w:div>
    <w:div w:id="771516172">
      <w:bodyDiv w:val="1"/>
      <w:marLeft w:val="0"/>
      <w:marRight w:val="0"/>
      <w:marTop w:val="0"/>
      <w:marBottom w:val="0"/>
      <w:divBdr>
        <w:top w:val="none" w:sz="0" w:space="0" w:color="auto"/>
        <w:left w:val="none" w:sz="0" w:space="0" w:color="auto"/>
        <w:bottom w:val="none" w:sz="0" w:space="0" w:color="auto"/>
        <w:right w:val="none" w:sz="0" w:space="0" w:color="auto"/>
      </w:divBdr>
    </w:div>
    <w:div w:id="18931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s.capizzi</dc:creator>
  <cp:lastModifiedBy>Cataldo Valentini</cp:lastModifiedBy>
  <cp:revision>5</cp:revision>
  <cp:lastPrinted>2025-06-27T06:55:00Z</cp:lastPrinted>
  <dcterms:created xsi:type="dcterms:W3CDTF">2025-06-25T11:57:00Z</dcterms:created>
  <dcterms:modified xsi:type="dcterms:W3CDTF">2025-06-27T06:55:00Z</dcterms:modified>
</cp:coreProperties>
</file>