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88096F5" w14:textId="139C2FC5" w:rsidR="00563650" w:rsidRPr="00A40381" w:rsidRDefault="00563650" w:rsidP="00A40381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187930076"/>
      <w:r w:rsidRPr="00A40381">
        <w:rPr>
          <w:rFonts w:ascii="Arial" w:hAnsi="Arial" w:cs="Arial"/>
          <w:b/>
        </w:rPr>
        <w:t xml:space="preserve">Procedura aperta per </w:t>
      </w:r>
      <w:bookmarkEnd w:id="0"/>
      <w:r w:rsidRPr="00A40381">
        <w:rPr>
          <w:rFonts w:ascii="Arial" w:hAnsi="Arial" w:cs="Arial"/>
          <w:b/>
        </w:rPr>
        <w:t xml:space="preserve">la fornitura in </w:t>
      </w:r>
      <w:bookmarkStart w:id="1" w:name="_Hlk190261576"/>
      <w:r w:rsidR="00A40381" w:rsidRPr="00A40381">
        <w:rPr>
          <w:rFonts w:ascii="Arial" w:hAnsi="Arial" w:cs="Arial"/>
          <w:b/>
        </w:rPr>
        <w:t>“</w:t>
      </w:r>
      <w:r w:rsidR="00A40381" w:rsidRPr="00A40381">
        <w:rPr>
          <w:rFonts w:ascii="Arial" w:hAnsi="Arial" w:cs="Arial"/>
          <w:b/>
          <w:bCs/>
          <w:iCs/>
        </w:rPr>
        <w:t>SERVICE DI SISTEMI DIAGNOSTICI PER DETERMINAZIONE IN IMMUNONEFELOMETRIA/IMMUNOTURBIDIMETRIA DELLE PROTEINE SPECIFICHE PER L’ AUSL DI BOLOGNA E L’ AOU DI FERRARA</w:t>
      </w:r>
      <w:r w:rsidR="00A40381" w:rsidRPr="00A40381">
        <w:rPr>
          <w:rFonts w:ascii="Arial" w:hAnsi="Arial" w:cs="Arial"/>
          <w:b/>
          <w:bCs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222BE58E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716BE4" w:rsidRPr="00766DA5">
        <w:rPr>
          <w:rStyle w:val="Corpodeltesto"/>
          <w:b/>
          <w:bCs/>
        </w:rPr>
        <w:t>H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1C61C4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AAA9A09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A39FF2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1F024D"/>
    <w:rsid w:val="00262FC2"/>
    <w:rsid w:val="00391A61"/>
    <w:rsid w:val="003C6D50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9690B"/>
    <w:rsid w:val="007A5220"/>
    <w:rsid w:val="00840939"/>
    <w:rsid w:val="00864DBA"/>
    <w:rsid w:val="008F7D5F"/>
    <w:rsid w:val="00A313A8"/>
    <w:rsid w:val="00A40381"/>
    <w:rsid w:val="00B16A48"/>
    <w:rsid w:val="00B25800"/>
    <w:rsid w:val="00BF202C"/>
    <w:rsid w:val="00BF21B1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21</cp:revision>
  <dcterms:created xsi:type="dcterms:W3CDTF">2025-03-17T09:19:00Z</dcterms:created>
  <dcterms:modified xsi:type="dcterms:W3CDTF">2025-05-15T08:20:00Z</dcterms:modified>
</cp:coreProperties>
</file>