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9"/>
      </w:tblGrid>
      <w:tr w:rsidR="00252518" w:rsidRPr="008A71AC" w:rsidTr="00012742">
        <w:trPr>
          <w:trHeight w:val="1925"/>
          <w:jc w:val="center"/>
        </w:trPr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52518" w:rsidRDefault="00252518" w:rsidP="00012742">
            <w:pPr>
              <w:snapToGrid w:val="0"/>
              <w:jc w:val="center"/>
              <w:rPr>
                <w:rFonts w:cs="Calibri"/>
                <w:b/>
              </w:rPr>
            </w:pPr>
            <w:r w:rsidRPr="008A71AC">
              <w:rPr>
                <w:rFonts w:cs="Arial"/>
              </w:rPr>
              <w:t xml:space="preserve"> </w:t>
            </w:r>
          </w:p>
          <w:p w:rsidR="00252518" w:rsidRDefault="00252518" w:rsidP="00012742">
            <w:pPr>
              <w:pStyle w:val="Titolo5"/>
              <w:numPr>
                <w:ilvl w:val="0"/>
                <w:numId w:val="0"/>
              </w:numPr>
              <w:ind w:left="423"/>
              <w:jc w:val="center"/>
            </w:pPr>
            <w:r>
              <w:rPr>
                <w:rFonts w:ascii="Calibri" w:hAnsi="Calibri" w:cs="Calibri"/>
                <w:szCs w:val="22"/>
                <w:lang w:eastAsia="it-IT"/>
              </w:rPr>
              <w:t>IRCCS-AZIENDA OSPEDALIERO-UNIVERSITARIA DI BOLOGNA, POLICLINICO DI SANT’ORSOLA</w:t>
            </w:r>
          </w:p>
          <w:p w:rsidR="008A5BCC" w:rsidRDefault="00252518" w:rsidP="00012742">
            <w:pPr>
              <w:pStyle w:val="Titolo5"/>
              <w:numPr>
                <w:ilvl w:val="0"/>
                <w:numId w:val="0"/>
              </w:numPr>
              <w:ind w:left="423"/>
              <w:jc w:val="center"/>
              <w:rPr>
                <w:rFonts w:ascii="Calibri" w:hAnsi="Calibri" w:cs="Calibri"/>
                <w:szCs w:val="22"/>
                <w:lang w:eastAsia="it-IT"/>
              </w:rPr>
            </w:pPr>
            <w:r>
              <w:rPr>
                <w:rFonts w:ascii="Calibri" w:hAnsi="Calibri" w:cs="Calibri"/>
                <w:szCs w:val="22"/>
                <w:lang w:eastAsia="it-IT"/>
              </w:rPr>
              <w:t>PADIGLIONE 16</w:t>
            </w:r>
          </w:p>
          <w:p w:rsidR="00252518" w:rsidRDefault="00252518" w:rsidP="00012742">
            <w:pPr>
              <w:pStyle w:val="Titolo5"/>
              <w:numPr>
                <w:ilvl w:val="0"/>
                <w:numId w:val="0"/>
              </w:numPr>
              <w:ind w:left="423"/>
              <w:jc w:val="center"/>
            </w:pPr>
            <w:r>
              <w:rPr>
                <w:rFonts w:ascii="Calibri" w:hAnsi="Calibri" w:cs="Calibri"/>
                <w:szCs w:val="22"/>
                <w:lang w:eastAsia="it-IT"/>
              </w:rPr>
              <w:t xml:space="preserve"> </w:t>
            </w:r>
          </w:p>
          <w:p w:rsidR="00252518" w:rsidRPr="008A5BCC" w:rsidRDefault="008A5BCC" w:rsidP="00012742">
            <w:pPr>
              <w:ind w:left="423"/>
              <w:jc w:val="center"/>
              <w:rPr>
                <w:rFonts w:cs="Calibri"/>
                <w:b/>
                <w:lang w:eastAsia="it-IT"/>
              </w:rPr>
            </w:pPr>
            <w:r w:rsidRPr="008A5BCC">
              <w:rPr>
                <w:rFonts w:cs="Calibri"/>
                <w:b/>
                <w:lang w:eastAsia="it-IT"/>
              </w:rPr>
              <w:t>Allegato F</w:t>
            </w:r>
          </w:p>
          <w:p w:rsidR="00252518" w:rsidRDefault="00252518" w:rsidP="00012742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Documentazione tecnica per Gara chiavi in mano RM Padiglione 16</w:t>
            </w:r>
          </w:p>
          <w:p w:rsidR="00252518" w:rsidRDefault="00252518" w:rsidP="008A5BCC">
            <w:bookmarkStart w:id="0" w:name="_GoBack"/>
            <w:bookmarkEnd w:id="0"/>
          </w:p>
        </w:tc>
      </w:tr>
    </w:tbl>
    <w:p w:rsidR="00252518" w:rsidRDefault="00252518" w:rsidP="00C66435">
      <w:pPr>
        <w:jc w:val="both"/>
        <w:rPr>
          <w:rFonts w:cs="Arial"/>
          <w:b/>
          <w:sz w:val="24"/>
          <w:szCs w:val="24"/>
          <w:u w:val="single"/>
        </w:rPr>
      </w:pPr>
    </w:p>
    <w:p w:rsidR="00252518" w:rsidRPr="00012742" w:rsidRDefault="00252518" w:rsidP="0046461F">
      <w:pPr>
        <w:pStyle w:val="Titolo1"/>
        <w:spacing w:after="240"/>
        <w:ind w:left="714" w:hanging="357"/>
        <w:jc w:val="both"/>
      </w:pPr>
      <w:r>
        <w:t>PREMESSA</w:t>
      </w:r>
    </w:p>
    <w:p w:rsidR="00252518" w:rsidRDefault="00252518" w:rsidP="0046461F">
      <w:pPr>
        <w:spacing w:after="0" w:line="360" w:lineRule="auto"/>
        <w:jc w:val="both"/>
      </w:pPr>
      <w:r>
        <w:t xml:space="preserve">È richiesta la progettazione esecutiva </w:t>
      </w:r>
      <w:r w:rsidR="00300FB5">
        <w:t xml:space="preserve">– PE </w:t>
      </w:r>
      <w:r>
        <w:t>ai sensi del D.Lgs 36/2023 di tutte le opere edili, strutturali, meccaniche, elettriche, impianti speciali e antincendio propedeutiche e complementari al funzionamento della Risonanza magnetica. Il proget</w:t>
      </w:r>
      <w:r w:rsidR="00BC474D">
        <w:t>to dovrà essere pienamente confo</w:t>
      </w:r>
      <w:r>
        <w:t xml:space="preserve">rme alle normative vigenti nonché alla DGR 327/2004 e Linee Guida INAIL applicabili. </w:t>
      </w:r>
    </w:p>
    <w:p w:rsidR="00252518" w:rsidRDefault="00252518" w:rsidP="0046461F">
      <w:pPr>
        <w:spacing w:after="0" w:line="360" w:lineRule="auto"/>
        <w:jc w:val="both"/>
      </w:pPr>
      <w:r>
        <w:t>Il progettista dovrà accompagnare il PE da asseverazione a</w:t>
      </w:r>
      <w:r w:rsidR="00300FB5">
        <w:t xml:space="preserve"> firma di tecnico abilitato a</w:t>
      </w:r>
      <w:r>
        <w:t>ttestante il</w:t>
      </w:r>
      <w:r w:rsidR="00300FB5">
        <w:t xml:space="preserve"> pieno</w:t>
      </w:r>
      <w:r>
        <w:t xml:space="preserve"> rispetto normativo, con particolare ma non esclusivo riferimento al DM 14 gennaio 2021.</w:t>
      </w:r>
    </w:p>
    <w:p w:rsidR="00252518" w:rsidRDefault="00252518" w:rsidP="0046461F">
      <w:pPr>
        <w:spacing w:after="0" w:line="360" w:lineRule="auto"/>
        <w:jc w:val="both"/>
      </w:pPr>
      <w:r w:rsidRPr="00C42BF3">
        <w:t>Il progetto esecutivo, di cui dovrà essere discusso con i tecnici dell’UO Progettazione, Sviluppo e Investimenti lo s</w:t>
      </w:r>
      <w:r w:rsidR="00BC474D">
        <w:t xml:space="preserve">viluppo in corso di redazione, </w:t>
      </w:r>
      <w:r w:rsidRPr="00C42BF3">
        <w:t xml:space="preserve">dovrà essere consegnato alla SA entro </w:t>
      </w:r>
      <w:r w:rsidR="00300FB5">
        <w:t>15</w:t>
      </w:r>
      <w:r w:rsidRPr="00C42BF3">
        <w:t xml:space="preserve"> giorni dalla data di aggiudicazione per la conseguente verifica e validazione.</w:t>
      </w:r>
    </w:p>
    <w:p w:rsidR="00252518" w:rsidRDefault="00252518" w:rsidP="00104ED6">
      <w:pPr>
        <w:spacing w:after="0" w:line="360" w:lineRule="auto"/>
        <w:jc w:val="both"/>
      </w:pPr>
      <w:r>
        <w:t>Il progetto esecutivo dovrà inoltre essere approvato dalle strutture tecnich</w:t>
      </w:r>
      <w:r w:rsidR="008911E8">
        <w:t xml:space="preserve">e aziendali preposte secondo le </w:t>
      </w:r>
      <w:r>
        <w:t>specifiche competenze (Direzione Sanitaria, Ingegneria Clinica, Esperto Qualificato…).</w:t>
      </w:r>
    </w:p>
    <w:p w:rsidR="00252518" w:rsidRDefault="00252518" w:rsidP="00104ED6">
      <w:pPr>
        <w:spacing w:after="0" w:line="360" w:lineRule="auto"/>
        <w:jc w:val="both"/>
      </w:pPr>
      <w:r>
        <w:t>Qualora per esigenze tecniche, cliniche e/o di sicurezza, l’approvazione fosse negata o condizionata la ditta dovrà provvedere alle necessarie modifiche senza alcun onere aggiuntivo</w:t>
      </w:r>
    </w:p>
    <w:p w:rsidR="00252518" w:rsidRPr="00C42BF3" w:rsidRDefault="00252518" w:rsidP="0046461F">
      <w:pPr>
        <w:spacing w:after="0" w:line="360" w:lineRule="auto"/>
        <w:jc w:val="both"/>
      </w:pPr>
      <w:r w:rsidRPr="00C42BF3">
        <w:t xml:space="preserve">Prima dell’inizio dei lavori la ditta aggiudicataria dovrà individuare i professionisti necessari per la formazione dello staff di direzione lavori necessario (DL generale, Direttori operativi, Ispettori di cantiere, CSE). </w:t>
      </w:r>
    </w:p>
    <w:p w:rsidR="00252518" w:rsidRPr="00C42BF3" w:rsidRDefault="00252518" w:rsidP="0046461F">
      <w:pPr>
        <w:spacing w:after="0" w:line="360" w:lineRule="auto"/>
        <w:jc w:val="both"/>
      </w:pPr>
      <w:r w:rsidRPr="00C42BF3">
        <w:t xml:space="preserve">In ordine al CSE il fornitore dovrà sottoporre alla SA il nominativo del professionista, per approvazione e successiva nomina. </w:t>
      </w:r>
      <w:r w:rsidR="00300FB5">
        <w:t>Tutte gli oneri per le prestazioni professionali sopra richiamate si intendono compresi nell’offerta del fornitore.</w:t>
      </w:r>
    </w:p>
    <w:p w:rsidR="00252518" w:rsidRPr="00300FB5" w:rsidRDefault="00300FB5" w:rsidP="0029490B">
      <w:pPr>
        <w:spacing w:after="120" w:line="360" w:lineRule="auto"/>
        <w:jc w:val="both"/>
      </w:pPr>
      <w:r>
        <w:t xml:space="preserve">Nella </w:t>
      </w:r>
      <w:r w:rsidR="00252518" w:rsidRPr="00EE0B01">
        <w:t xml:space="preserve">planimetria </w:t>
      </w:r>
      <w:r>
        <w:t xml:space="preserve">che segue è </w:t>
      </w:r>
      <w:r w:rsidR="00252518" w:rsidRPr="00EE0B01">
        <w:t>rappresenta</w:t>
      </w:r>
      <w:r w:rsidR="00BC474D">
        <w:t>ta</w:t>
      </w:r>
      <w:r w:rsidR="00252518" w:rsidRPr="00EE0B01">
        <w:t xml:space="preserve"> la zona </w:t>
      </w:r>
      <w:r w:rsidR="00252518">
        <w:t xml:space="preserve">del piano terra </w:t>
      </w:r>
      <w:r w:rsidR="00252518" w:rsidRPr="00EE0B01">
        <w:t>interess</w:t>
      </w:r>
      <w:r w:rsidR="00252518">
        <w:t>ata dall’intervento in oggetto.</w:t>
      </w:r>
      <w:r>
        <w:t xml:space="preserve"> A richiesta potranno essere forniti i file dwg dello stato di fatto; si precisa sin da ora che non si dispone di “as built” impiantistici.</w:t>
      </w:r>
    </w:p>
    <w:p w:rsidR="00252518" w:rsidRPr="0007604E" w:rsidRDefault="00252518" w:rsidP="00B70D3E">
      <w:pPr>
        <w:spacing w:after="120"/>
        <w:jc w:val="both"/>
        <w:rPr>
          <w:color w:val="FF0000"/>
        </w:rPr>
      </w:pPr>
    </w:p>
    <w:p w:rsidR="00252518" w:rsidRDefault="00D7662E" w:rsidP="0046461F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6419850" cy="3752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18" w:rsidRDefault="00252518" w:rsidP="0046461F">
      <w:pPr>
        <w:pStyle w:val="Didascalia"/>
        <w:jc w:val="center"/>
        <w:rPr>
          <w:i/>
        </w:rPr>
      </w:pPr>
      <w:r w:rsidRPr="00CE5DB0">
        <w:rPr>
          <w:i/>
        </w:rPr>
        <w:t xml:space="preserve">Figura </w:t>
      </w:r>
      <w:r w:rsidRPr="00CE5DB0">
        <w:rPr>
          <w:i/>
        </w:rPr>
        <w:fldChar w:fldCharType="begin"/>
      </w:r>
      <w:r w:rsidRPr="00CE5DB0">
        <w:rPr>
          <w:i/>
        </w:rPr>
        <w:instrText xml:space="preserve"> SEQ Figura \* ARABIC </w:instrText>
      </w:r>
      <w:r w:rsidRPr="00CE5DB0">
        <w:rPr>
          <w:i/>
        </w:rPr>
        <w:fldChar w:fldCharType="separate"/>
      </w:r>
      <w:r>
        <w:rPr>
          <w:i/>
          <w:noProof/>
        </w:rPr>
        <w:t>1</w:t>
      </w:r>
      <w:r w:rsidRPr="00CE5DB0">
        <w:rPr>
          <w:i/>
        </w:rPr>
        <w:fldChar w:fldCharType="end"/>
      </w:r>
      <w:r w:rsidRPr="00CE5DB0">
        <w:rPr>
          <w:i/>
        </w:rPr>
        <w:t xml:space="preserve"> </w:t>
      </w:r>
      <w:r>
        <w:rPr>
          <w:i/>
        </w:rPr>
        <w:t>Area di intervento</w:t>
      </w:r>
    </w:p>
    <w:p w:rsidR="00252518" w:rsidRPr="00012742" w:rsidRDefault="00252518" w:rsidP="006E2F14">
      <w:pPr>
        <w:pStyle w:val="Titolo1"/>
        <w:spacing w:after="240"/>
        <w:ind w:left="714" w:hanging="357"/>
        <w:jc w:val="both"/>
      </w:pPr>
      <w:r>
        <w:t>SPECIFICHE TECNICHE</w:t>
      </w:r>
    </w:p>
    <w:p w:rsidR="00252518" w:rsidRDefault="00252518" w:rsidP="0046461F">
      <w:pPr>
        <w:pStyle w:val="Titolo2"/>
        <w:numPr>
          <w:ilvl w:val="0"/>
          <w:numId w:val="13"/>
        </w:numPr>
        <w:spacing w:before="240" w:after="240"/>
        <w:jc w:val="both"/>
      </w:pPr>
      <w:r>
        <w:t>OPERE EDILI E STRUTTURALI</w:t>
      </w:r>
    </w:p>
    <w:p w:rsidR="00252518" w:rsidRDefault="00300FB5" w:rsidP="00B70D3E">
      <w:pPr>
        <w:spacing w:after="0" w:line="360" w:lineRule="auto"/>
        <w:jc w:val="both"/>
      </w:pPr>
      <w:r>
        <w:t>L</w:t>
      </w:r>
      <w:r w:rsidR="00252518">
        <w:t xml:space="preserve">’area di intervento è in disuso da diversi anni, è prevista </w:t>
      </w:r>
      <w:r>
        <w:t xml:space="preserve">pertanto </w:t>
      </w:r>
      <w:r w:rsidR="00252518">
        <w:t>una ristrutturazione</w:t>
      </w:r>
      <w:r>
        <w:t xml:space="preserve"> complessiva</w:t>
      </w:r>
      <w:r w:rsidR="00252518">
        <w:t xml:space="preserve"> che implicherà una riorganizzazione funzionale totale, che </w:t>
      </w:r>
      <w:r>
        <w:t>includerà anche i</w:t>
      </w:r>
      <w:r w:rsidR="00252518">
        <w:t xml:space="preserve"> locali di supporto necessari, richiesti in materia di autorizzazione e accreditamento secondo la DGR 327/2004. </w:t>
      </w:r>
    </w:p>
    <w:p w:rsidR="00252518" w:rsidRDefault="00300FB5" w:rsidP="00B70D3E">
      <w:pPr>
        <w:spacing w:after="0" w:line="360" w:lineRule="auto"/>
        <w:jc w:val="both"/>
      </w:pPr>
      <w:r>
        <w:t>Su proposta del fornitore verrà individuato</w:t>
      </w:r>
      <w:r w:rsidR="00252518">
        <w:t>, di concerto con le strutture tecnic</w:t>
      </w:r>
      <w:r>
        <w:t>o</w:t>
      </w:r>
      <w:r w:rsidR="00252518">
        <w:t>-sanitarie aziendali, il layout funzionale che meglio risponderà alle necessità sanitarie, tecniche, di sicurezza e dei percorsi.</w:t>
      </w:r>
    </w:p>
    <w:p w:rsidR="00300FB5" w:rsidRDefault="00300FB5" w:rsidP="00B70D3E">
      <w:pPr>
        <w:spacing w:after="0" w:line="360" w:lineRule="auto"/>
        <w:jc w:val="both"/>
      </w:pPr>
    </w:p>
    <w:p w:rsidR="00252518" w:rsidRDefault="00252518" w:rsidP="00B70D3E">
      <w:pPr>
        <w:spacing w:after="0" w:line="360" w:lineRule="auto"/>
        <w:jc w:val="both"/>
      </w:pPr>
      <w:r>
        <w:t>Da un punto di vista strutturale il Padiglione 16 è stato realizzato negli anni 30’</w:t>
      </w:r>
      <w:r w:rsidR="00300FB5">
        <w:t xml:space="preserve"> del secolo scorso</w:t>
      </w:r>
      <w:r>
        <w:t xml:space="preserve"> ed è costituito da una struttura mista in muratura – c.a. Nell’area oggetto di intervento sono state realizzate nel 2016 delle indagini georadar per identificare la stratigrafia del solaio che è risultato essere in latero</w:t>
      </w:r>
      <w:r w:rsidR="00300FB5">
        <w:t>-</w:t>
      </w:r>
      <w:r>
        <w:t>cemento di altezza pari a 25 cm, caratterizzato da un carico permanente di 600 kg/m</w:t>
      </w:r>
      <w:r w:rsidRPr="00A0508F">
        <w:rPr>
          <w:vertAlign w:val="superscript"/>
        </w:rPr>
        <w:t>2</w:t>
      </w:r>
      <w:r>
        <w:t xml:space="preserve"> e variabile di 300 kg/m</w:t>
      </w:r>
      <w:r w:rsidRPr="00A0508F">
        <w:rPr>
          <w:vertAlign w:val="superscript"/>
        </w:rPr>
        <w:t>2</w:t>
      </w:r>
    </w:p>
    <w:p w:rsidR="00252518" w:rsidRDefault="00D7662E" w:rsidP="002E14E9">
      <w:pPr>
        <w:spacing w:after="0" w:line="360" w:lineRule="auto"/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11650" cy="5765800"/>
            <wp:effectExtent l="0" t="3175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165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18" w:rsidRDefault="00252518" w:rsidP="00B70D3E">
      <w:pPr>
        <w:spacing w:after="0" w:line="360" w:lineRule="auto"/>
        <w:jc w:val="both"/>
      </w:pPr>
      <w:r>
        <w:t>Prove con martinetto piatto e singolo e a taglio scorrimento hanno identificato per la muratura i seguenti parametri:</w:t>
      </w:r>
    </w:p>
    <w:p w:rsidR="00252518" w:rsidRPr="009206E1" w:rsidRDefault="00252518" w:rsidP="00B70D3E">
      <w:pPr>
        <w:spacing w:after="0" w:line="360" w:lineRule="auto"/>
        <w:jc w:val="both"/>
        <w:rPr>
          <w:i/>
        </w:rPr>
      </w:pPr>
      <w:r w:rsidRPr="009206E1">
        <w:rPr>
          <w:i/>
        </w:rPr>
        <w:t>Modulo elastico: 4446 N/mm</w:t>
      </w:r>
      <w:r w:rsidRPr="009206E1">
        <w:rPr>
          <w:i/>
          <w:vertAlign w:val="superscript"/>
        </w:rPr>
        <w:t>2</w:t>
      </w:r>
    </w:p>
    <w:p w:rsidR="00252518" w:rsidRPr="009206E1" w:rsidRDefault="00252518" w:rsidP="00B70D3E">
      <w:pPr>
        <w:spacing w:after="0" w:line="360" w:lineRule="auto"/>
        <w:jc w:val="both"/>
        <w:rPr>
          <w:i/>
        </w:rPr>
      </w:pPr>
      <w:r w:rsidRPr="009206E1">
        <w:rPr>
          <w:i/>
        </w:rPr>
        <w:t>Stato di tensione: 0,83 N/mm</w:t>
      </w:r>
      <w:r w:rsidRPr="009206E1">
        <w:rPr>
          <w:i/>
          <w:vertAlign w:val="superscript"/>
        </w:rPr>
        <w:t>2</w:t>
      </w:r>
    </w:p>
    <w:p w:rsidR="00252518" w:rsidRPr="009206E1" w:rsidRDefault="00252518" w:rsidP="00B70D3E">
      <w:pPr>
        <w:spacing w:after="0" w:line="360" w:lineRule="auto"/>
        <w:jc w:val="both"/>
        <w:rPr>
          <w:i/>
        </w:rPr>
      </w:pPr>
      <w:r w:rsidRPr="009206E1">
        <w:rPr>
          <w:i/>
        </w:rPr>
        <w:t>Resistenza tangenziale: 0,3 N/mm</w:t>
      </w:r>
      <w:r w:rsidRPr="009206E1">
        <w:rPr>
          <w:i/>
          <w:vertAlign w:val="superscript"/>
        </w:rPr>
        <w:t>2</w:t>
      </w:r>
    </w:p>
    <w:p w:rsidR="00252518" w:rsidRDefault="00252518" w:rsidP="00B70D3E">
      <w:pPr>
        <w:spacing w:after="0" w:line="360" w:lineRule="auto"/>
        <w:jc w:val="both"/>
      </w:pPr>
      <w:r>
        <w:t>Per quanto riguarda le opere strutturali, oltre ai necessari rinforzi del solaio su cui poggerà la risonanza magnetica è richiesta la realizzazione, nell’area di intervento, di opere strutturali coerenti con il progetto strutturale agli atti di codesta amministrazione su cui è stata rilasciata un’autorizzazione sismica nel 2019.</w:t>
      </w:r>
    </w:p>
    <w:p w:rsidR="00252518" w:rsidRDefault="00252518" w:rsidP="0046461F">
      <w:pPr>
        <w:spacing w:line="360" w:lineRule="auto"/>
        <w:jc w:val="both"/>
      </w:pPr>
      <w:r>
        <w:t>In particolare tali opere sono classificate come interventi locali ai sensi delle NTC 2008 e sono già coerenti con un progetto di miglioramento sismico di tutto il fabbricato.</w:t>
      </w:r>
    </w:p>
    <w:p w:rsidR="00252518" w:rsidRPr="00AB0432" w:rsidRDefault="00252518" w:rsidP="00AB0432">
      <w:pPr>
        <w:spacing w:line="360" w:lineRule="auto"/>
        <w:jc w:val="both"/>
      </w:pPr>
      <w:r w:rsidRPr="00AB0432">
        <w:t xml:space="preserve">Il progetto dovrà prevedere inoltre </w:t>
      </w:r>
      <w:r w:rsidR="00300FB5">
        <w:t xml:space="preserve">tutti </w:t>
      </w:r>
      <w:r w:rsidRPr="00AB0432">
        <w:t xml:space="preserve">gli accorgimenti </w:t>
      </w:r>
      <w:r w:rsidR="00300FB5">
        <w:t>necessari a garantire il soddisfacimento dell</w:t>
      </w:r>
      <w:r>
        <w:t>e verifiche dettate dalle</w:t>
      </w:r>
      <w:r w:rsidRPr="00AB0432">
        <w:t xml:space="preserve"> NTC 2018 sugli elementi non st</w:t>
      </w:r>
      <w:r w:rsidR="00300FB5">
        <w:t>rutturali</w:t>
      </w:r>
      <w:r w:rsidRPr="00AB0432">
        <w:t>. In particolare:</w:t>
      </w:r>
    </w:p>
    <w:p w:rsidR="00252518" w:rsidRPr="00AB0432" w:rsidRDefault="00252518" w:rsidP="00AB0432">
      <w:pPr>
        <w:pStyle w:val="Paragrafoelenco"/>
        <w:numPr>
          <w:ilvl w:val="0"/>
          <w:numId w:val="26"/>
        </w:numPr>
        <w:spacing w:line="360" w:lineRule="auto"/>
        <w:jc w:val="both"/>
      </w:pPr>
      <w:r w:rsidRPr="00AB0432">
        <w:t>tutti i tamponamenti (esterni ed interni) dovranno essere verificati sotto l'azione sismica di progetto corrispondente allo Stato Limite considerato,</w:t>
      </w:r>
    </w:p>
    <w:p w:rsidR="00252518" w:rsidRPr="00AB0432" w:rsidRDefault="00252518" w:rsidP="00AB0432">
      <w:pPr>
        <w:pStyle w:val="Paragrafoelenco"/>
        <w:numPr>
          <w:ilvl w:val="0"/>
          <w:numId w:val="26"/>
        </w:numPr>
        <w:spacing w:line="360" w:lineRule="auto"/>
        <w:jc w:val="both"/>
      </w:pPr>
      <w:r w:rsidRPr="00AB0432">
        <w:lastRenderedPageBreak/>
        <w:t>dovranno essere previsti presidi antisismici per i controsoffitti, ovvero sistemi di controventi collegati in modo opportuno agli elementi longitudinali e trasversali del controsoffitto, in grado di trasmettere l’azione sismica sul solaio di piano considerato infinitamente rigido,</w:t>
      </w:r>
    </w:p>
    <w:p w:rsidR="00252518" w:rsidRDefault="00252518" w:rsidP="00AB0432">
      <w:pPr>
        <w:pStyle w:val="Paragrafoelenco"/>
        <w:numPr>
          <w:ilvl w:val="0"/>
          <w:numId w:val="26"/>
        </w:numPr>
        <w:spacing w:line="360" w:lineRule="auto"/>
        <w:jc w:val="both"/>
      </w:pPr>
      <w:r w:rsidRPr="00AB0432">
        <w:t xml:space="preserve">dovranno essere previsti sistemi di sostegno antisismici e antivibranti, calcolati in funzione della domanda sismica allo stato limite di riferimento per evitare danneggiamenti agli impianti elettrici, meccanici e </w:t>
      </w:r>
      <w:r>
        <w:t>apparecchiature mediche a pavimento e sospese</w:t>
      </w:r>
    </w:p>
    <w:p w:rsidR="00252518" w:rsidRDefault="00252518" w:rsidP="006E2F14">
      <w:pPr>
        <w:spacing w:after="0" w:line="360" w:lineRule="auto"/>
        <w:jc w:val="both"/>
      </w:pPr>
      <w:r>
        <w:t>Le opere di finitura edile-architettonica saranno concordate durante la realizzazione del progetto esecutivo.</w:t>
      </w:r>
    </w:p>
    <w:p w:rsidR="00252518" w:rsidRPr="00221860" w:rsidRDefault="00252518" w:rsidP="00573E34">
      <w:pPr>
        <w:pStyle w:val="Titolo2"/>
        <w:numPr>
          <w:ilvl w:val="0"/>
          <w:numId w:val="13"/>
        </w:numPr>
        <w:spacing w:before="240" w:after="240"/>
        <w:jc w:val="both"/>
      </w:pPr>
      <w:r>
        <w:t xml:space="preserve">IMPIANTI ELETTRICI, SPECIALI </w:t>
      </w:r>
    </w:p>
    <w:p w:rsidR="00252518" w:rsidRDefault="00252518" w:rsidP="00C30EDB">
      <w:pPr>
        <w:spacing w:after="0" w:line="360" w:lineRule="auto"/>
        <w:jc w:val="both"/>
      </w:pPr>
      <w:r>
        <w:t>In sede di sopralluogo verrà comunicato dai tecnici dell’UO Progettazione, Sviluppo e Investimenti il QE dal quale derivare l’alimentazione elettrica ordinaria e privileg</w:t>
      </w:r>
      <w:r w:rsidR="005B7EFA">
        <w:t xml:space="preserve">iata, nonché </w:t>
      </w:r>
      <w:r>
        <w:t xml:space="preserve">il rack dati </w:t>
      </w:r>
      <w:r w:rsidR="005B7EFA">
        <w:t>al quale</w:t>
      </w:r>
      <w:r>
        <w:t xml:space="preserve"> collegarsi.</w:t>
      </w:r>
    </w:p>
    <w:p w:rsidR="00252518" w:rsidRDefault="00252518" w:rsidP="00C30EDB">
      <w:pPr>
        <w:spacing w:after="0" w:line="360" w:lineRule="auto"/>
        <w:jc w:val="both"/>
      </w:pPr>
      <w:r>
        <w:t>In particolare, per l’alimentazione elettrica, si evidenzia che potrebbe essere derivata da un quadro esistente già sotto gruppo elettrogeno, posto a circa 100m dai locali oggetto di installazione.</w:t>
      </w:r>
    </w:p>
    <w:p w:rsidR="00252518" w:rsidRDefault="00EA742B" w:rsidP="00C30EDB">
      <w:pPr>
        <w:pStyle w:val="Paragrafoelenco"/>
        <w:spacing w:after="0" w:line="360" w:lineRule="auto"/>
        <w:ind w:left="0"/>
        <w:jc w:val="both"/>
      </w:pPr>
      <w:r>
        <w:t>Si segnala che non è disponibile l’alimentazione in continuità</w:t>
      </w:r>
      <w:r w:rsidR="00252518">
        <w:t xml:space="preserve">, </w:t>
      </w:r>
      <w:r>
        <w:t xml:space="preserve">il fornitore </w:t>
      </w:r>
      <w:r w:rsidR="00252518">
        <w:t>dovrà quindi fornire</w:t>
      </w:r>
      <w:r>
        <w:t>, se necessario,</w:t>
      </w:r>
      <w:r w:rsidR="00252518">
        <w:t xml:space="preserve"> un idoneo UPS a servizio dell’area.</w:t>
      </w:r>
    </w:p>
    <w:p w:rsidR="00252518" w:rsidRDefault="00252518" w:rsidP="00C30EDB">
      <w:pPr>
        <w:pStyle w:val="Paragrafoelenco"/>
        <w:spacing w:after="0" w:line="360" w:lineRule="auto"/>
        <w:ind w:left="0"/>
        <w:jc w:val="both"/>
      </w:pPr>
    </w:p>
    <w:p w:rsidR="00252518" w:rsidRDefault="00252518" w:rsidP="00C30EDB">
      <w:pPr>
        <w:pStyle w:val="Paragrafoelenco"/>
        <w:spacing w:after="0" w:line="360" w:lineRule="auto"/>
        <w:ind w:left="0"/>
        <w:jc w:val="both"/>
      </w:pPr>
      <w:r>
        <w:t xml:space="preserve">Gli impianti dei locali dovranno prevedere necessariamente un quadro di zona e le distribuzioni forza motrice e luce necessari ai locali, oltre che illuminazione di sicurezza. </w:t>
      </w:r>
    </w:p>
    <w:p w:rsidR="00252518" w:rsidRDefault="00252518" w:rsidP="00C30EDB">
      <w:pPr>
        <w:pStyle w:val="Paragrafoelenco"/>
        <w:spacing w:after="0" w:line="360" w:lineRule="auto"/>
        <w:ind w:left="0"/>
        <w:jc w:val="both"/>
      </w:pPr>
      <w:r>
        <w:t xml:space="preserve">Nei locali medici dovrà essere realizzato impianto elettrico di gruppo 1 secondo CEI 64-8/7. </w:t>
      </w:r>
    </w:p>
    <w:p w:rsidR="00252518" w:rsidRDefault="00252518" w:rsidP="00C30EDB">
      <w:pPr>
        <w:pStyle w:val="Paragrafoelenco"/>
        <w:spacing w:after="0" w:line="360" w:lineRule="auto"/>
        <w:ind w:left="0"/>
        <w:jc w:val="both"/>
      </w:pPr>
      <w:r>
        <w:t>Più in generale dovranno essere soddisfatti i requisiti del DM 14 gennaio 2021, in particolare dovrà essere garantito:</w:t>
      </w:r>
    </w:p>
    <w:p w:rsidR="00252518" w:rsidRDefault="00252518" w:rsidP="008067A2">
      <w:pPr>
        <w:pStyle w:val="Paragrafoelenco"/>
        <w:numPr>
          <w:ilvl w:val="1"/>
          <w:numId w:val="13"/>
        </w:numPr>
        <w:spacing w:after="0" w:line="360" w:lineRule="auto"/>
        <w:jc w:val="both"/>
      </w:pPr>
      <w:r>
        <w:t xml:space="preserve">il corretto funzionamento di quanto installato con la presenza del campo magnetico; </w:t>
      </w:r>
    </w:p>
    <w:p w:rsidR="00252518" w:rsidRDefault="00252518" w:rsidP="008067A2">
      <w:pPr>
        <w:pStyle w:val="Paragrafoelenco"/>
        <w:numPr>
          <w:ilvl w:val="1"/>
          <w:numId w:val="13"/>
        </w:numPr>
        <w:spacing w:after="0" w:line="360" w:lineRule="auto"/>
        <w:jc w:val="both"/>
      </w:pPr>
      <w:r>
        <w:t>il corretto funzionamento di quanto installato in presenza dell’ascensore esistente frontalmente al locale;</w:t>
      </w:r>
    </w:p>
    <w:p w:rsidR="00252518" w:rsidRDefault="00252518" w:rsidP="008067A2">
      <w:pPr>
        <w:pStyle w:val="Paragrafoelenco"/>
        <w:numPr>
          <w:ilvl w:val="1"/>
          <w:numId w:val="13"/>
        </w:numPr>
        <w:spacing w:after="0" w:line="360" w:lineRule="auto"/>
        <w:jc w:val="both"/>
      </w:pPr>
      <w:r>
        <w:t>il corretto funzionamento di quanto installato in bassa frequenza 0-200Hz in presenza di altre apparecchiature.</w:t>
      </w:r>
    </w:p>
    <w:p w:rsidR="00252518" w:rsidRDefault="00252518" w:rsidP="00C30EDB">
      <w:pPr>
        <w:pStyle w:val="Paragrafoelenco"/>
        <w:spacing w:after="0" w:line="360" w:lineRule="auto"/>
        <w:ind w:left="0"/>
        <w:jc w:val="both"/>
      </w:pPr>
      <w:r>
        <w:t>Inoltre dovranno essere forniti e installati: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after="0" w:line="360" w:lineRule="auto"/>
        <w:jc w:val="both"/>
      </w:pPr>
      <w:r>
        <w:t xml:space="preserve">sistema di accesso al sito RM mediante lettore di badge, il lettore dovrà essere </w:t>
      </w:r>
      <w:r w:rsidR="00EA742B">
        <w:t xml:space="preserve">del tipo già in dotazione al </w:t>
      </w:r>
      <w:r>
        <w:t>personale</w:t>
      </w:r>
      <w:r w:rsidR="00EA742B">
        <w:t xml:space="preserve"> di Aosp Bologna</w:t>
      </w:r>
      <w:r>
        <w:t>;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after="0" w:line="360" w:lineRule="auto"/>
        <w:jc w:val="both"/>
      </w:pPr>
      <w:r>
        <w:t>un rilevatore di componenti ferromagnetiche in ciascun sito RM;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after="0" w:line="360" w:lineRule="auto"/>
        <w:jc w:val="both"/>
      </w:pPr>
      <w:r>
        <w:t>gabbia di Faraday;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after="0" w:line="360" w:lineRule="auto"/>
        <w:jc w:val="both"/>
      </w:pPr>
      <w:r>
        <w:t>pulsanti di emergenza in zona comandi e in sala RM per attivazione distinta di quench, ventilazione, sgancio elettrico;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after="0" w:line="360" w:lineRule="auto"/>
        <w:jc w:val="both"/>
      </w:pPr>
      <w:r>
        <w:lastRenderedPageBreak/>
        <w:t>dispositivi per sorveglianza paziente quali interfono, segnalatore acustico, telecamera se necessaria;</w:t>
      </w:r>
    </w:p>
    <w:p w:rsidR="00252518" w:rsidRDefault="00252518" w:rsidP="008067A2">
      <w:pPr>
        <w:pStyle w:val="Paragrafoelenco"/>
        <w:numPr>
          <w:ilvl w:val="0"/>
          <w:numId w:val="29"/>
        </w:numPr>
        <w:spacing w:before="240" w:after="240"/>
        <w:jc w:val="both"/>
      </w:pPr>
      <w:r>
        <w:t>display in sala consolle indicante la concentrazione di ossigeno, umidità e temperatura in sala magnete.</w:t>
      </w:r>
    </w:p>
    <w:p w:rsidR="00252518" w:rsidRDefault="00252518" w:rsidP="008D0734">
      <w:pPr>
        <w:pStyle w:val="Paragrafoelenco"/>
        <w:spacing w:before="240" w:after="240"/>
        <w:ind w:left="0"/>
        <w:jc w:val="both"/>
      </w:pPr>
    </w:p>
    <w:p w:rsidR="00252518" w:rsidRPr="001B4095" w:rsidRDefault="00252518" w:rsidP="00573E34">
      <w:pPr>
        <w:pStyle w:val="Paragrafoelenco"/>
        <w:numPr>
          <w:ilvl w:val="0"/>
          <w:numId w:val="13"/>
        </w:numPr>
        <w:spacing w:before="240" w:after="240"/>
        <w:jc w:val="both"/>
        <w:rPr>
          <w:b/>
        </w:rPr>
      </w:pPr>
      <w:r>
        <w:rPr>
          <w:b/>
        </w:rPr>
        <w:t>IMPIANTI MECCANICI</w:t>
      </w:r>
    </w:p>
    <w:p w:rsidR="00252518" w:rsidRDefault="00252518" w:rsidP="00573E34">
      <w:pPr>
        <w:spacing w:after="0" w:line="360" w:lineRule="auto"/>
        <w:jc w:val="both"/>
      </w:pPr>
      <w:r>
        <w:t xml:space="preserve">Gli impianti meccanici dovranno garantire le condizioni termoigrometriche fissate alla normativa vigente </w:t>
      </w:r>
      <w:r w:rsidR="00EA742B">
        <w:t>(</w:t>
      </w:r>
      <w:r>
        <w:t>D.M. 14 gennaio 2021</w:t>
      </w:r>
      <w:r w:rsidR="00EA742B">
        <w:t>)</w:t>
      </w:r>
      <w:r>
        <w:t xml:space="preserve"> e le indicaz</w:t>
      </w:r>
      <w:r w:rsidR="00EA742B">
        <w:t xml:space="preserve">ioni operative INAIL del 2022, di seguito </w:t>
      </w:r>
      <w:r>
        <w:t>riportate</w:t>
      </w:r>
      <w:r w:rsidR="00EA742B">
        <w:t xml:space="preserve"> in via esemplificativa</w:t>
      </w:r>
      <w:r>
        <w:t xml:space="preserve"> :</w:t>
      </w:r>
    </w:p>
    <w:p w:rsidR="00252518" w:rsidRDefault="00EA742B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 xml:space="preserve">Temperatura ambienti 22°C </w:t>
      </w:r>
      <w:r>
        <w:rPr>
          <w:rFonts w:cs="Calibri"/>
        </w:rPr>
        <w:t>±</w:t>
      </w:r>
      <w:r w:rsidR="00252518">
        <w:t>2°C;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Umidità sala esami entro il range previsto dal costruttore dell’apparecchiatura;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Ventilazione sala esami a tutt’aria esterna in regime normale di almeno 6 Vol/h (in ripresa e superiore in mandata) con ambiente in pressione positiva;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Ventilazione sala esami a tutt’aria esterna in regime di emergenza di almeno 18 Vol/h (in mandata e superiore in ripresa) con ambiente a pressione negativa</w:t>
      </w:r>
      <w:r w:rsidR="00EA742B">
        <w:t>, se necessaria</w:t>
      </w:r>
      <w:r>
        <w:t>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Ventilazione restanti ambienti a tutt’aria in grado di garantire le condizioni termoigrometriche previste dalle normative applicate secondo le destinazioni d’uso assegnate;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Rilevazione sotto ossigenazione mediante 2 sonde O2 e sistema di segnalazione preallarme alla soglia del 19% e di allarme al raggiungimento soglia rischio del 18%. La suddetta rilevazione e segnalazioni allarmi dovranno essere interfacciati al sistema di telecontrollo Aziendale tipo EBI Honeywell, completo di relativa ingegnerizzazione (es. pagine grafiche);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Se necessaria tubazione di Quench, dovrà essere prevista completa di estrattore e quanto necessario e previsto dalle normative applicate;</w:t>
      </w:r>
    </w:p>
    <w:p w:rsidR="00252518" w:rsidRDefault="00252518" w:rsidP="00FF4000">
      <w:pPr>
        <w:pStyle w:val="Paragrafoelenco"/>
        <w:numPr>
          <w:ilvl w:val="0"/>
          <w:numId w:val="28"/>
        </w:numPr>
        <w:spacing w:after="0" w:line="360" w:lineRule="auto"/>
        <w:jc w:val="both"/>
      </w:pPr>
      <w:r>
        <w:t>Rilevazione in continuo di tutti i parametri termoigrometrici della sala esami, sala macchine e comunque di tutti i locali afferenti completo di interfaccia a sistema di telecontrollo Aziendale tipo EBI Honeywell, completo di relativa ingegnerizzazione (es. pagine grafiche);</w:t>
      </w:r>
    </w:p>
    <w:p w:rsidR="00252518" w:rsidRDefault="00252518" w:rsidP="00573E34">
      <w:pPr>
        <w:spacing w:after="0" w:line="360" w:lineRule="auto"/>
        <w:jc w:val="both"/>
      </w:pPr>
    </w:p>
    <w:p w:rsidR="00252518" w:rsidRDefault="00252518" w:rsidP="00573E34">
      <w:pPr>
        <w:spacing w:after="0" w:line="360" w:lineRule="auto"/>
        <w:jc w:val="both"/>
      </w:pPr>
      <w:r>
        <w:t>Il ricambio e trattamento dell’aria locale RM, e degli ulteriori locali d’intervento, dovrà essere garantito con UTA ed estrattore dedicati di nuova realizzazione a carico del fornitore, come pure tutta la distribuzione aeraulica, regolazione e quant’altro necessario al corretto funzionamento. Il funzionamento del suddetto impianto dovrà prevedere apparecchiature e sistemi di regolazione compatibili con quelli presenti nel Policlinico ed essere interfacciati al sistema di telecontrollo Aziendale tipo EBI Honeywell, completo di relativa ingegnerizzazione (es. pagine grafiche).</w:t>
      </w:r>
    </w:p>
    <w:p w:rsidR="00252518" w:rsidRDefault="00252518" w:rsidP="00573E34">
      <w:pPr>
        <w:spacing w:after="0" w:line="360" w:lineRule="auto"/>
        <w:jc w:val="both"/>
      </w:pPr>
      <w:r>
        <w:t>Il vapore per umidificazione dovrà essere prodotto localmente con umidificatore elettrico.</w:t>
      </w:r>
    </w:p>
    <w:p w:rsidR="00252518" w:rsidRDefault="00252518" w:rsidP="00573E34">
      <w:pPr>
        <w:spacing w:after="0" w:line="360" w:lineRule="auto"/>
        <w:jc w:val="both"/>
      </w:pPr>
      <w:r>
        <w:t xml:space="preserve">Il posizionamento degli </w:t>
      </w:r>
      <w:r w:rsidR="00EA742B">
        <w:t>impianti di climatizzazione potrà essere oggetto di sopralluogo</w:t>
      </w:r>
      <w:r>
        <w:t>.</w:t>
      </w:r>
    </w:p>
    <w:p w:rsidR="00252518" w:rsidRDefault="00252518" w:rsidP="00573E34">
      <w:pPr>
        <w:spacing w:after="0" w:line="360" w:lineRule="auto"/>
        <w:jc w:val="both"/>
      </w:pPr>
      <w:r>
        <w:t>I fluidi necessari, in termini di acqua refrigerata e acqua calda ad uso riscaldamento, sono disponibili a partire dalla sottocentrale al piano -1 del Padiglione considerato.</w:t>
      </w:r>
    </w:p>
    <w:p w:rsidR="00252518" w:rsidRDefault="00EA742B" w:rsidP="00573E34">
      <w:pPr>
        <w:spacing w:after="0" w:line="360" w:lineRule="auto"/>
        <w:jc w:val="both"/>
      </w:pPr>
      <w:r>
        <w:lastRenderedPageBreak/>
        <w:t>Per il raffreddamento della sala magnete e l</w:t>
      </w:r>
      <w:r w:rsidR="00252518">
        <w:t>’eventuale raffreddamento della RM dovrà essere previsto con Refrigeratore d’acqua dedicato</w:t>
      </w:r>
      <w:r>
        <w:t>,</w:t>
      </w:r>
      <w:r w:rsidR="00252518">
        <w:t xml:space="preserve"> a carico del fornitore da posizionarsi in area da condividere ne</w:t>
      </w:r>
      <w:r>
        <w:t>l sopralluogo</w:t>
      </w:r>
      <w:r w:rsidR="00252518">
        <w:t>.</w:t>
      </w:r>
    </w:p>
    <w:p w:rsidR="00252518" w:rsidRDefault="00252518" w:rsidP="00573E34">
      <w:pPr>
        <w:spacing w:after="0" w:line="360" w:lineRule="auto"/>
        <w:jc w:val="both"/>
      </w:pPr>
    </w:p>
    <w:p w:rsidR="00252518" w:rsidRDefault="00252518" w:rsidP="00573E34">
      <w:pPr>
        <w:spacing w:after="0" w:line="360" w:lineRule="auto"/>
        <w:jc w:val="both"/>
      </w:pPr>
      <w:r>
        <w:t>Gli eventuali impianti di adduzione acqua fredda e calda (con ricircolo) ad uso sanitario, dovranno essere allacciati ai collettori nella sottocentrale al piano -1 del Fabbicato ed essere previsti interamente in materiale C-PVC al fine di contenere la proliferazione della Legionella.</w:t>
      </w:r>
    </w:p>
    <w:p w:rsidR="00252518" w:rsidRDefault="00252518" w:rsidP="00573E34">
      <w:pPr>
        <w:spacing w:after="0" w:line="360" w:lineRule="auto"/>
        <w:jc w:val="both"/>
      </w:pPr>
    </w:p>
    <w:p w:rsidR="00252518" w:rsidRDefault="00252518" w:rsidP="00573E34">
      <w:pPr>
        <w:spacing w:after="0" w:line="360" w:lineRule="auto"/>
        <w:jc w:val="both"/>
      </w:pPr>
      <w:r>
        <w:t>Gli impianti distribuzione Gas Medicinali (ad esclusione del Protossi</w:t>
      </w:r>
      <w:r w:rsidR="00EA742B">
        <w:t>do d’Azoto non disponibile) potr</w:t>
      </w:r>
      <w:r>
        <w:t xml:space="preserve">anno </w:t>
      </w:r>
      <w:r w:rsidR="00EA742B">
        <w:t>essere derivati da</w:t>
      </w:r>
      <w:r>
        <w:t>lle dorsali presenti nel piano -1 del Padiglione considerato, previa verifica dimensionamenti delle stesse.</w:t>
      </w:r>
      <w:r w:rsidR="00D10FE5" w:rsidRPr="00D10FE5">
        <w:t xml:space="preserve"> </w:t>
      </w:r>
      <w:r w:rsidR="00D10FE5">
        <w:t>Gli impianti gas medicali dovranno essere realizzati in conformità alla norma UNI EN ISO 7396-1 e dovrà essere prevista in sala magnete e in zona preparazione e zona emergenza almeno una presa per evacuazione gas anestetici.</w:t>
      </w:r>
    </w:p>
    <w:p w:rsidR="00252518" w:rsidRDefault="00252518" w:rsidP="00573E34">
      <w:pPr>
        <w:spacing w:after="0" w:line="360" w:lineRule="auto"/>
        <w:jc w:val="both"/>
      </w:pPr>
    </w:p>
    <w:p w:rsidR="00252518" w:rsidRDefault="00252518" w:rsidP="00573E34">
      <w:pPr>
        <w:spacing w:after="0" w:line="360" w:lineRule="auto"/>
        <w:jc w:val="both"/>
      </w:pPr>
      <w:r>
        <w:t>L’impianto idrico-antincendio dovrà essere coerente con il relativo progetto e allacciarsi alle dorsali presenti o, se necessario, a quelle generali al piano -1.</w:t>
      </w:r>
    </w:p>
    <w:p w:rsidR="00E76215" w:rsidRPr="00444316" w:rsidRDefault="00E76215" w:rsidP="00573E34">
      <w:pPr>
        <w:spacing w:after="0" w:line="360" w:lineRule="auto"/>
        <w:jc w:val="both"/>
      </w:pPr>
    </w:p>
    <w:p w:rsidR="00252518" w:rsidRPr="00C2663C" w:rsidRDefault="00252518" w:rsidP="00573E34">
      <w:pPr>
        <w:spacing w:after="0" w:line="360" w:lineRule="auto"/>
        <w:jc w:val="both"/>
      </w:pPr>
      <w:r>
        <w:t xml:space="preserve">Il fornitore non potrà richiedere il riconoscimento di maggiori o diversi compensi per punti di allaccio individuati all’interno del Pad.16.  </w:t>
      </w:r>
    </w:p>
    <w:p w:rsidR="00252518" w:rsidRDefault="00252518" w:rsidP="00573E34">
      <w:pPr>
        <w:pStyle w:val="Titolo2"/>
        <w:numPr>
          <w:ilvl w:val="0"/>
          <w:numId w:val="13"/>
        </w:numPr>
        <w:spacing w:before="240" w:after="240"/>
        <w:jc w:val="both"/>
      </w:pPr>
      <w:r>
        <w:t>SOPRALLUOGO</w:t>
      </w:r>
    </w:p>
    <w:p w:rsidR="00252518" w:rsidRPr="00C33957" w:rsidRDefault="00252518" w:rsidP="00C33957">
      <w:pPr>
        <w:spacing w:after="0" w:line="360" w:lineRule="auto"/>
        <w:jc w:val="both"/>
      </w:pPr>
      <w:r>
        <w:t xml:space="preserve">La ditta aggiudicataria dovrà effettuare il sopralluogo al fine di accertare il reale stato dei luoghi, i punti di allaccio degli impianti e per conoscere le particolari circostanze che possono influire sull’installazione e messa in funzione dell’apparecchiatura. </w:t>
      </w:r>
    </w:p>
    <w:p w:rsidR="00252518" w:rsidRDefault="00252518" w:rsidP="00573E34">
      <w:pPr>
        <w:pStyle w:val="Paragrafoelenco"/>
        <w:numPr>
          <w:ilvl w:val="0"/>
          <w:numId w:val="13"/>
        </w:numPr>
        <w:spacing w:before="240" w:after="240"/>
        <w:jc w:val="both"/>
        <w:rPr>
          <w:b/>
        </w:rPr>
      </w:pPr>
      <w:r w:rsidRPr="00BB7152">
        <w:rPr>
          <w:b/>
        </w:rPr>
        <w:t>ANTINCENDIO</w:t>
      </w:r>
    </w:p>
    <w:p w:rsidR="00252518" w:rsidRDefault="00252518" w:rsidP="00C33957">
      <w:pPr>
        <w:spacing w:after="0" w:line="360" w:lineRule="auto"/>
        <w:jc w:val="both"/>
      </w:pPr>
      <w:r>
        <w:t>L’appaltatore dovrà fornire e installare le</w:t>
      </w:r>
      <w:r w:rsidR="00EA742B">
        <w:t xml:space="preserve"> soluzioni impiantistiche neces</w:t>
      </w:r>
      <w:r>
        <w:t>sarie per integrare il sistema rilevazione incendi esistente nei locali con quanto necessario alla nuova installazione; dovrà i</w:t>
      </w:r>
      <w:r w:rsidR="00EA742B">
        <w:t>noltre i</w:t>
      </w:r>
      <w:r>
        <w:t>dentificare ad inizio dei lavori un tecnico abilitato ai sensi del D.Lgs 139/2006 per:</w:t>
      </w:r>
    </w:p>
    <w:p w:rsidR="00252518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Sviluppare il progetto dell’area di intervento in coerenza la valutazione progetto di cui al parere 23374-18, individuando le necessarie variazioni in relazione all’intervento in oggetto ed eventualmente ad una nuova valutazione progetto,</w:t>
      </w:r>
    </w:p>
    <w:p w:rsidR="00252518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verifica della certificabilità di tutti gli interventi rilevanti ai fini del rispetto nelle norme di prevenzione incendi, nonché sulle caratteristiche di reazione a fuoco dei materiali,</w:t>
      </w:r>
    </w:p>
    <w:p w:rsidR="00252518" w:rsidRPr="00353D4D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 w:rsidRPr="00353D4D">
        <w:t>la raccolta della documentazione, le</w:t>
      </w:r>
      <w:r>
        <w:t xml:space="preserve"> eventuali relazioni valutative,</w:t>
      </w:r>
    </w:p>
    <w:p w:rsidR="00252518" w:rsidRPr="00353D4D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 w:rsidRPr="00353D4D">
        <w:lastRenderedPageBreak/>
        <w:t>le verifiche in corso di esecuzione e la corretta posa</w:t>
      </w:r>
      <w:r>
        <w:t>,</w:t>
      </w:r>
    </w:p>
    <w:p w:rsidR="00252518" w:rsidRPr="00353D4D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certificazione finale delle opere e dei materiali sull’apposita modulistica predisposta dal Ministero degli Interni e a disposizione del comando provinciale dei VV.F</w:t>
      </w:r>
    </w:p>
    <w:p w:rsidR="00252518" w:rsidRDefault="00252518" w:rsidP="00836FC3">
      <w:pPr>
        <w:pStyle w:val="Paragrafoelenco"/>
        <w:numPr>
          <w:ilvl w:val="0"/>
          <w:numId w:val="20"/>
        </w:numPr>
        <w:spacing w:after="0" w:line="360" w:lineRule="auto"/>
        <w:jc w:val="both"/>
      </w:pPr>
      <w:r w:rsidRPr="00353D4D">
        <w:t>la redazione e presentazione, nel caso sia necessario, della richiesta di rilascio del Certificato di</w:t>
      </w:r>
      <w:r>
        <w:t xml:space="preserve"> </w:t>
      </w:r>
      <w:r w:rsidRPr="00353D4D">
        <w:t>Prevenzione Incendi presso il competente Comando dei Vigili del Fuoco o della SCIA completa di</w:t>
      </w:r>
      <w:r>
        <w:t xml:space="preserve"> </w:t>
      </w:r>
      <w:r w:rsidRPr="00353D4D">
        <w:t>asseverazione sottoscritta attestante la rispondenza delle opere realizzate alle norme di prevenzione incendi</w:t>
      </w:r>
      <w:r>
        <w:t xml:space="preserve"> </w:t>
      </w:r>
      <w:r w:rsidRPr="00353D4D">
        <w:t>e agli atti rilasciati dal Comando Provinciale dei VV.F..</w:t>
      </w:r>
    </w:p>
    <w:p w:rsidR="00252518" w:rsidRPr="00353D4D" w:rsidRDefault="00252518" w:rsidP="0046461F">
      <w:pPr>
        <w:spacing w:after="0" w:line="360" w:lineRule="auto"/>
        <w:jc w:val="both"/>
      </w:pPr>
      <w:r w:rsidRPr="00353D4D">
        <w:t>Tutta la documentazione dovrà essere a firma del suddetto tecnico abilitato.</w:t>
      </w:r>
    </w:p>
    <w:p w:rsidR="00252518" w:rsidRDefault="00252518" w:rsidP="0046461F">
      <w:pPr>
        <w:spacing w:after="0" w:line="360" w:lineRule="auto"/>
        <w:jc w:val="both"/>
      </w:pPr>
      <w:r w:rsidRPr="00353D4D">
        <w:t>Gli oneri relativi alle prestazioni professionali del Tecnico abilitato sono a carico dell’Appaltatore e si intendono compensati all’interno dei prezzi relativi alle prestazioni d’opera previste dal contratto.</w:t>
      </w:r>
    </w:p>
    <w:p w:rsidR="00252518" w:rsidRPr="00012742" w:rsidRDefault="00252518" w:rsidP="00573E34">
      <w:pPr>
        <w:pStyle w:val="Titolo1"/>
        <w:spacing w:after="240"/>
        <w:ind w:left="714" w:hanging="357"/>
        <w:jc w:val="both"/>
      </w:pPr>
      <w:r>
        <w:t>PRATICHE AUTORIZZATIVE</w:t>
      </w:r>
    </w:p>
    <w:p w:rsidR="00252518" w:rsidRDefault="00252518" w:rsidP="0044256F">
      <w:pPr>
        <w:spacing w:after="0" w:line="360" w:lineRule="auto"/>
        <w:jc w:val="both"/>
      </w:pPr>
      <w:r>
        <w:t>Sull’area oggetto di intervento erano già in programmazione dei lavori di ristrutturazione, il cui progetto ha ricevuto le seguenti pratiche autorizzate:</w:t>
      </w:r>
    </w:p>
    <w:p w:rsidR="00252518" w:rsidRPr="00182919" w:rsidRDefault="00252518" w:rsidP="0044256F">
      <w:pPr>
        <w:spacing w:after="0" w:line="360" w:lineRule="auto"/>
        <w:jc w:val="both"/>
        <w:rPr>
          <w:i/>
        </w:rPr>
      </w:pPr>
      <w:r>
        <w:rPr>
          <w:i/>
        </w:rPr>
        <w:t xml:space="preserve">Soprintendenza - </w:t>
      </w:r>
      <w:r w:rsidRPr="00182919">
        <w:rPr>
          <w:i/>
        </w:rPr>
        <w:t>14643 / 2018</w:t>
      </w:r>
    </w:p>
    <w:p w:rsidR="00252518" w:rsidRPr="00182919" w:rsidRDefault="00252518" w:rsidP="0044256F">
      <w:pPr>
        <w:spacing w:after="0" w:line="360" w:lineRule="auto"/>
        <w:jc w:val="both"/>
        <w:rPr>
          <w:i/>
        </w:rPr>
      </w:pPr>
      <w:r w:rsidRPr="00182919">
        <w:rPr>
          <w:i/>
        </w:rPr>
        <w:t xml:space="preserve">VVF </w:t>
      </w:r>
      <w:r>
        <w:rPr>
          <w:i/>
        </w:rPr>
        <w:t xml:space="preserve">- </w:t>
      </w:r>
      <w:r w:rsidRPr="00182919">
        <w:rPr>
          <w:i/>
        </w:rPr>
        <w:t>23374 / 2018</w:t>
      </w:r>
    </w:p>
    <w:p w:rsidR="00252518" w:rsidRPr="00182919" w:rsidRDefault="00252518" w:rsidP="0044256F">
      <w:pPr>
        <w:spacing w:after="0" w:line="360" w:lineRule="auto"/>
        <w:jc w:val="both"/>
        <w:rPr>
          <w:i/>
        </w:rPr>
      </w:pPr>
      <w:r w:rsidRPr="00182919">
        <w:rPr>
          <w:i/>
        </w:rPr>
        <w:t xml:space="preserve">Sismica </w:t>
      </w:r>
      <w:r>
        <w:rPr>
          <w:i/>
        </w:rPr>
        <w:t xml:space="preserve">- </w:t>
      </w:r>
      <w:r w:rsidRPr="00182919">
        <w:rPr>
          <w:i/>
        </w:rPr>
        <w:t>422864 / 2018</w:t>
      </w:r>
    </w:p>
    <w:p w:rsidR="00252518" w:rsidRDefault="00252518" w:rsidP="0044256F">
      <w:pPr>
        <w:spacing w:after="0" w:line="360" w:lineRule="auto"/>
        <w:jc w:val="both"/>
      </w:pPr>
      <w:r>
        <w:t>Sarà cura del soggetto affidatario rendere coerenti il progetto a base di gara con quanto già autorizzato o nel caso, predisporre le necessarie pratiche in variante.</w:t>
      </w:r>
    </w:p>
    <w:p w:rsidR="00252518" w:rsidRDefault="00252518" w:rsidP="0044256F">
      <w:pPr>
        <w:spacing w:after="0" w:line="360" w:lineRule="auto"/>
        <w:jc w:val="both"/>
      </w:pPr>
      <w:r>
        <w:t>Sarà poi cura della Stazione Appaltante procedere all’invio presso gli enti preposti al rilascio delle autorizzazioni.</w:t>
      </w:r>
    </w:p>
    <w:p w:rsidR="00252518" w:rsidRPr="00573E34" w:rsidRDefault="00252518" w:rsidP="00573E34">
      <w:pPr>
        <w:pStyle w:val="Titolo1"/>
        <w:spacing w:after="240"/>
        <w:ind w:left="714" w:hanging="357"/>
        <w:jc w:val="both"/>
      </w:pPr>
      <w:r w:rsidRPr="00EE495F">
        <w:t>COLLAUDI E DICHIARAZIONI DI CONFORMITÀ A FINE LAVORI</w:t>
      </w:r>
    </w:p>
    <w:p w:rsidR="00252518" w:rsidRDefault="00252518" w:rsidP="00573E34">
      <w:pPr>
        <w:spacing w:after="0" w:line="360" w:lineRule="auto"/>
        <w:jc w:val="both"/>
      </w:pPr>
      <w:r>
        <w:t>Per quanto riguarda le opere strutturali, a conclusione dell’intervento, oltre alla regolare attestazione di rispondenza dovuta ai sensi dell’art. 19 comma 4 della L.R. 19/2008, dovrà essere rilasciata una dichiarazione da parte di un professionista strutturista abilitato, inerente la sicurezza strutturale dell’area con riferimento ai carichi statici e sismici.</w:t>
      </w:r>
    </w:p>
    <w:p w:rsidR="00252518" w:rsidRDefault="00252518" w:rsidP="00573E34">
      <w:pPr>
        <w:spacing w:after="0" w:line="360" w:lineRule="auto"/>
        <w:jc w:val="both"/>
      </w:pPr>
      <w:r>
        <w:t>Il professionista dichiarerà che gli spazi a servizio della risonanza magnetica sono, da un punto di vista della sicurezza strutturale, idonei ad ospitare attività clinica.</w:t>
      </w:r>
    </w:p>
    <w:p w:rsidR="00015095" w:rsidRDefault="00015095" w:rsidP="00573E34">
      <w:pPr>
        <w:spacing w:after="0" w:line="360" w:lineRule="auto"/>
        <w:jc w:val="both"/>
      </w:pPr>
      <w:r>
        <w:t>Dovranno inoltre</w:t>
      </w:r>
      <w:r w:rsidR="00252518">
        <w:t xml:space="preserve"> essere cons</w:t>
      </w:r>
      <w:r>
        <w:t>egnati, per gli impianti realizzati dalla Ditta :</w:t>
      </w:r>
    </w:p>
    <w:p w:rsidR="00252518" w:rsidRDefault="00252518" w:rsidP="00015095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certificati di collaudo, di conformità, as built e tutta la documentazione utile alla corretta gestione e manutenzione degli impianti;</w:t>
      </w:r>
    </w:p>
    <w:p w:rsidR="00252518" w:rsidRDefault="00252518" w:rsidP="00621F59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relazione tecnica di garanzia degli standard di sicurezza;</w:t>
      </w:r>
    </w:p>
    <w:p w:rsidR="00252518" w:rsidRDefault="00252518" w:rsidP="00621F59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caratteristiche tecniche dell’apparecchiatura RM;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lastRenderedPageBreak/>
        <w:t>la mappa delle lin</w:t>
      </w:r>
      <w:r w:rsidR="0017135C">
        <w:t>ee isomagnetiche teoriche a cam</w:t>
      </w:r>
      <w:r>
        <w:t xml:space="preserve">po contenuto e le misure del campo magnetico statico disperso; 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 xml:space="preserve">la documentazione tecnica relativa all’impianto di ventilazione/condizionamento della sala RM; 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 xml:space="preserve">il certificato di taratura della cella ossigeno; 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la documentazione tec</w:t>
      </w:r>
      <w:r w:rsidR="0017135C">
        <w:t>nica relativa al tubo di quench (se presente)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documentazione comprovante la corretta installazione e funzionalità dell’apparecchiautra RM;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documentazione tecnica, certificazione di corretta posa e report delle misurazioni a dimostrazione dell’efficacia della gabbia di Faraday;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mappe di distribuzione spaziale del campo disperso e del gradiente spaziale;</w:t>
      </w:r>
    </w:p>
    <w:p w:rsidR="00252518" w:rsidRDefault="00252518" w:rsidP="00573E34">
      <w:pPr>
        <w:pStyle w:val="Paragrafoelenco"/>
        <w:numPr>
          <w:ilvl w:val="0"/>
          <w:numId w:val="20"/>
        </w:numPr>
        <w:spacing w:after="0" w:line="360" w:lineRule="auto"/>
        <w:jc w:val="both"/>
      </w:pPr>
      <w:r>
        <w:t>dichiarazione di conformità dei dispositivi di sicurezza installati.</w:t>
      </w:r>
    </w:p>
    <w:sectPr w:rsidR="00252518" w:rsidSect="00632D06">
      <w:pgSz w:w="11906" w:h="16838"/>
      <w:pgMar w:top="1675" w:right="707" w:bottom="1418" w:left="993" w:header="708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726" w:rsidRDefault="00785726" w:rsidP="00632D06">
      <w:pPr>
        <w:spacing w:after="0" w:line="240" w:lineRule="auto"/>
      </w:pPr>
      <w:r>
        <w:separator/>
      </w:r>
    </w:p>
  </w:endnote>
  <w:endnote w:type="continuationSeparator" w:id="0">
    <w:p w:rsidR="00785726" w:rsidRDefault="00785726" w:rsidP="0063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726" w:rsidRDefault="00785726" w:rsidP="00632D06">
      <w:pPr>
        <w:spacing w:after="0" w:line="240" w:lineRule="auto"/>
      </w:pPr>
      <w:r>
        <w:separator/>
      </w:r>
    </w:p>
  </w:footnote>
  <w:footnote w:type="continuationSeparator" w:id="0">
    <w:p w:rsidR="00785726" w:rsidRDefault="00785726" w:rsidP="00632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2F1751B"/>
    <w:multiLevelType w:val="hybridMultilevel"/>
    <w:tmpl w:val="C944C3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07477"/>
    <w:multiLevelType w:val="hybridMultilevel"/>
    <w:tmpl w:val="F5B85B04"/>
    <w:lvl w:ilvl="0" w:tplc="84681E0C">
      <w:start w:val="1"/>
      <w:numFmt w:val="decimal"/>
      <w:lvlText w:val="%1.2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EA4560"/>
    <w:multiLevelType w:val="hybridMultilevel"/>
    <w:tmpl w:val="0EA06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A078A4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pStyle w:val="Titolo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0077B"/>
    <w:multiLevelType w:val="hybridMultilevel"/>
    <w:tmpl w:val="FD6EF3AC"/>
    <w:lvl w:ilvl="0" w:tplc="0410000F">
      <w:start w:val="1"/>
      <w:numFmt w:val="decimal"/>
      <w:pStyle w:val="Titolo1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FA1865"/>
    <w:multiLevelType w:val="hybridMultilevel"/>
    <w:tmpl w:val="2550EA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D52AB"/>
    <w:multiLevelType w:val="hybridMultilevel"/>
    <w:tmpl w:val="EC82EAF4"/>
    <w:lvl w:ilvl="0" w:tplc="4C68864E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371FE8"/>
    <w:multiLevelType w:val="hybridMultilevel"/>
    <w:tmpl w:val="5D18F5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16265"/>
    <w:multiLevelType w:val="hybridMultilevel"/>
    <w:tmpl w:val="BE86966E"/>
    <w:lvl w:ilvl="0" w:tplc="84681E0C">
      <w:start w:val="1"/>
      <w:numFmt w:val="decimal"/>
      <w:lvlText w:val="%1.2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D6837E7"/>
    <w:multiLevelType w:val="hybridMultilevel"/>
    <w:tmpl w:val="60889B82"/>
    <w:lvl w:ilvl="0" w:tplc="8BD6FE5E">
      <w:start w:val="1"/>
      <w:numFmt w:val="decimal"/>
      <w:lvlText w:val="3.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8267CD"/>
    <w:multiLevelType w:val="hybridMultilevel"/>
    <w:tmpl w:val="ED6625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C61F5"/>
    <w:multiLevelType w:val="hybridMultilevel"/>
    <w:tmpl w:val="B1FA65FA"/>
    <w:lvl w:ilvl="0" w:tplc="3D60F4E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0510F"/>
    <w:multiLevelType w:val="hybridMultilevel"/>
    <w:tmpl w:val="BFA00306"/>
    <w:lvl w:ilvl="0" w:tplc="1E4C98B0">
      <w:start w:val="2"/>
      <w:numFmt w:val="decimal"/>
      <w:lvlText w:val="%1.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8F372B8"/>
    <w:multiLevelType w:val="hybridMultilevel"/>
    <w:tmpl w:val="7988EE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07841"/>
    <w:multiLevelType w:val="hybridMultilevel"/>
    <w:tmpl w:val="70C6DA4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3ADC42B7"/>
    <w:multiLevelType w:val="hybridMultilevel"/>
    <w:tmpl w:val="537C57D2"/>
    <w:lvl w:ilvl="0" w:tplc="8DA2EC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E55E0"/>
    <w:multiLevelType w:val="hybridMultilevel"/>
    <w:tmpl w:val="4F5E3F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80C48"/>
    <w:multiLevelType w:val="hybridMultilevel"/>
    <w:tmpl w:val="C0C4C99C"/>
    <w:lvl w:ilvl="0" w:tplc="A1FA78CA">
      <w:start w:val="2"/>
      <w:numFmt w:val="decimal"/>
      <w:lvlText w:val="%1.2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4C4FDA"/>
    <w:multiLevelType w:val="hybridMultilevel"/>
    <w:tmpl w:val="CBCC08A2"/>
    <w:lvl w:ilvl="0" w:tplc="334C6BF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B3DB5"/>
    <w:multiLevelType w:val="hybridMultilevel"/>
    <w:tmpl w:val="F7E22766"/>
    <w:lvl w:ilvl="0" w:tplc="98AC9B70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B2D09A3"/>
    <w:multiLevelType w:val="hybridMultilevel"/>
    <w:tmpl w:val="A15CB360"/>
    <w:lvl w:ilvl="0" w:tplc="98AC9B70">
      <w:start w:val="1"/>
      <w:numFmt w:val="decimal"/>
      <w:lvlText w:val="2.%1"/>
      <w:lvlJc w:val="left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641F34D7"/>
    <w:multiLevelType w:val="hybridMultilevel"/>
    <w:tmpl w:val="A6627128"/>
    <w:lvl w:ilvl="0" w:tplc="334C6BF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2486B"/>
    <w:multiLevelType w:val="hybridMultilevel"/>
    <w:tmpl w:val="F7E22766"/>
    <w:lvl w:ilvl="0" w:tplc="98AC9B70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DE703A7"/>
    <w:multiLevelType w:val="hybridMultilevel"/>
    <w:tmpl w:val="5080AD62"/>
    <w:lvl w:ilvl="0" w:tplc="98AC9B70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6689C"/>
    <w:multiLevelType w:val="hybridMultilevel"/>
    <w:tmpl w:val="F7E22766"/>
    <w:lvl w:ilvl="0" w:tplc="98AC9B70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0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8"/>
  </w:num>
  <w:num w:numId="9">
    <w:abstractNumId w:val="12"/>
  </w:num>
  <w:num w:numId="10">
    <w:abstractNumId w:val="17"/>
  </w:num>
  <w:num w:numId="11">
    <w:abstractNumId w:val="4"/>
  </w:num>
  <w:num w:numId="12">
    <w:abstractNumId w:val="10"/>
  </w:num>
  <w:num w:numId="13">
    <w:abstractNumId w:val="23"/>
  </w:num>
  <w:num w:numId="14">
    <w:abstractNumId w:val="2"/>
  </w:num>
  <w:num w:numId="15">
    <w:abstractNumId w:val="20"/>
  </w:num>
  <w:num w:numId="16">
    <w:abstractNumId w:val="9"/>
  </w:num>
  <w:num w:numId="17">
    <w:abstractNumId w:val="16"/>
  </w:num>
  <w:num w:numId="18">
    <w:abstractNumId w:val="21"/>
  </w:num>
  <w:num w:numId="19">
    <w:abstractNumId w:val="24"/>
  </w:num>
  <w:num w:numId="20">
    <w:abstractNumId w:val="15"/>
  </w:num>
  <w:num w:numId="21">
    <w:abstractNumId w:val="22"/>
  </w:num>
  <w:num w:numId="22">
    <w:abstractNumId w:val="11"/>
  </w:num>
  <w:num w:numId="23">
    <w:abstractNumId w:val="19"/>
  </w:num>
  <w:num w:numId="24">
    <w:abstractNumId w:val="6"/>
  </w:num>
  <w:num w:numId="25">
    <w:abstractNumId w:val="1"/>
  </w:num>
  <w:num w:numId="26">
    <w:abstractNumId w:val="13"/>
  </w:num>
  <w:num w:numId="27">
    <w:abstractNumId w:val="4"/>
  </w:num>
  <w:num w:numId="28">
    <w:abstractNumId w:val="7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2E"/>
    <w:rsid w:val="00000E86"/>
    <w:rsid w:val="00012104"/>
    <w:rsid w:val="00012742"/>
    <w:rsid w:val="00015095"/>
    <w:rsid w:val="0002154B"/>
    <w:rsid w:val="000329E9"/>
    <w:rsid w:val="00047FEE"/>
    <w:rsid w:val="00051CF7"/>
    <w:rsid w:val="00062AB9"/>
    <w:rsid w:val="00062E9B"/>
    <w:rsid w:val="00071DD1"/>
    <w:rsid w:val="0007604E"/>
    <w:rsid w:val="000876E7"/>
    <w:rsid w:val="00093C35"/>
    <w:rsid w:val="000A07AB"/>
    <w:rsid w:val="000A6CC9"/>
    <w:rsid w:val="000C7F9A"/>
    <w:rsid w:val="000D323E"/>
    <w:rsid w:val="000E527E"/>
    <w:rsid w:val="000F4710"/>
    <w:rsid w:val="00100420"/>
    <w:rsid w:val="00104ED6"/>
    <w:rsid w:val="00115AE6"/>
    <w:rsid w:val="00116C02"/>
    <w:rsid w:val="00121E49"/>
    <w:rsid w:val="00135FA7"/>
    <w:rsid w:val="001542BC"/>
    <w:rsid w:val="0017135C"/>
    <w:rsid w:val="00171BC8"/>
    <w:rsid w:val="00182919"/>
    <w:rsid w:val="001829BC"/>
    <w:rsid w:val="0019557F"/>
    <w:rsid w:val="001B4095"/>
    <w:rsid w:val="001C64F1"/>
    <w:rsid w:val="001E43CC"/>
    <w:rsid w:val="001F555B"/>
    <w:rsid w:val="001F6756"/>
    <w:rsid w:val="0021067C"/>
    <w:rsid w:val="00220A3F"/>
    <w:rsid w:val="00221860"/>
    <w:rsid w:val="00226876"/>
    <w:rsid w:val="00227564"/>
    <w:rsid w:val="00252518"/>
    <w:rsid w:val="0029490B"/>
    <w:rsid w:val="00296441"/>
    <w:rsid w:val="002D670C"/>
    <w:rsid w:val="002E14E9"/>
    <w:rsid w:val="002E2D86"/>
    <w:rsid w:val="00300475"/>
    <w:rsid w:val="00300FB5"/>
    <w:rsid w:val="003057F7"/>
    <w:rsid w:val="003066DD"/>
    <w:rsid w:val="00310E7F"/>
    <w:rsid w:val="00323F25"/>
    <w:rsid w:val="00340037"/>
    <w:rsid w:val="00353D4D"/>
    <w:rsid w:val="0035432A"/>
    <w:rsid w:val="00370D9B"/>
    <w:rsid w:val="00375E27"/>
    <w:rsid w:val="00387058"/>
    <w:rsid w:val="00390D17"/>
    <w:rsid w:val="00391B7C"/>
    <w:rsid w:val="003B2F00"/>
    <w:rsid w:val="003C692E"/>
    <w:rsid w:val="003E1B1E"/>
    <w:rsid w:val="00412EC9"/>
    <w:rsid w:val="00414EE9"/>
    <w:rsid w:val="00425357"/>
    <w:rsid w:val="0044256F"/>
    <w:rsid w:val="00444316"/>
    <w:rsid w:val="004505B3"/>
    <w:rsid w:val="00450BB4"/>
    <w:rsid w:val="0046461F"/>
    <w:rsid w:val="00482DB8"/>
    <w:rsid w:val="00485957"/>
    <w:rsid w:val="004923D8"/>
    <w:rsid w:val="00497A60"/>
    <w:rsid w:val="004A39D7"/>
    <w:rsid w:val="004E0E59"/>
    <w:rsid w:val="004E4572"/>
    <w:rsid w:val="00504090"/>
    <w:rsid w:val="00510BBD"/>
    <w:rsid w:val="0053078E"/>
    <w:rsid w:val="00540E36"/>
    <w:rsid w:val="00542D7C"/>
    <w:rsid w:val="005651C3"/>
    <w:rsid w:val="00573E34"/>
    <w:rsid w:val="005919A9"/>
    <w:rsid w:val="00593407"/>
    <w:rsid w:val="005A3773"/>
    <w:rsid w:val="005B7EFA"/>
    <w:rsid w:val="005F0637"/>
    <w:rsid w:val="005F3E9D"/>
    <w:rsid w:val="00611418"/>
    <w:rsid w:val="00621991"/>
    <w:rsid w:val="00621F59"/>
    <w:rsid w:val="00626009"/>
    <w:rsid w:val="00632D06"/>
    <w:rsid w:val="00645B3F"/>
    <w:rsid w:val="00657685"/>
    <w:rsid w:val="0066252C"/>
    <w:rsid w:val="00684632"/>
    <w:rsid w:val="00693F0C"/>
    <w:rsid w:val="006A75F6"/>
    <w:rsid w:val="006C6114"/>
    <w:rsid w:val="006D61BD"/>
    <w:rsid w:val="006E2F14"/>
    <w:rsid w:val="006F7443"/>
    <w:rsid w:val="00706D49"/>
    <w:rsid w:val="00746765"/>
    <w:rsid w:val="0078086E"/>
    <w:rsid w:val="007817B4"/>
    <w:rsid w:val="00785726"/>
    <w:rsid w:val="007A554F"/>
    <w:rsid w:val="007C7AEB"/>
    <w:rsid w:val="007E5842"/>
    <w:rsid w:val="007E7A72"/>
    <w:rsid w:val="007F255F"/>
    <w:rsid w:val="008035F8"/>
    <w:rsid w:val="008067A2"/>
    <w:rsid w:val="008071B9"/>
    <w:rsid w:val="008077C7"/>
    <w:rsid w:val="00834795"/>
    <w:rsid w:val="00836FC3"/>
    <w:rsid w:val="00845978"/>
    <w:rsid w:val="00867D0D"/>
    <w:rsid w:val="00876DF8"/>
    <w:rsid w:val="0088078D"/>
    <w:rsid w:val="008911E8"/>
    <w:rsid w:val="008A31F0"/>
    <w:rsid w:val="008A5BCC"/>
    <w:rsid w:val="008A71AC"/>
    <w:rsid w:val="008D0734"/>
    <w:rsid w:val="008D31B8"/>
    <w:rsid w:val="009206E1"/>
    <w:rsid w:val="00923DE0"/>
    <w:rsid w:val="009325BE"/>
    <w:rsid w:val="00932B7C"/>
    <w:rsid w:val="0093322E"/>
    <w:rsid w:val="00943A26"/>
    <w:rsid w:val="0095254A"/>
    <w:rsid w:val="0095491E"/>
    <w:rsid w:val="00970941"/>
    <w:rsid w:val="009765FB"/>
    <w:rsid w:val="00992461"/>
    <w:rsid w:val="009A11C0"/>
    <w:rsid w:val="009A1563"/>
    <w:rsid w:val="009A2F20"/>
    <w:rsid w:val="009B149B"/>
    <w:rsid w:val="009D737D"/>
    <w:rsid w:val="009F3C8A"/>
    <w:rsid w:val="009F50E3"/>
    <w:rsid w:val="009F5660"/>
    <w:rsid w:val="00A008A6"/>
    <w:rsid w:val="00A04F8B"/>
    <w:rsid w:val="00A0508F"/>
    <w:rsid w:val="00A1071E"/>
    <w:rsid w:val="00A21D9D"/>
    <w:rsid w:val="00A221DF"/>
    <w:rsid w:val="00A33E80"/>
    <w:rsid w:val="00A41AF2"/>
    <w:rsid w:val="00A76850"/>
    <w:rsid w:val="00A849B0"/>
    <w:rsid w:val="00AA65E5"/>
    <w:rsid w:val="00AA7484"/>
    <w:rsid w:val="00AB0432"/>
    <w:rsid w:val="00AC319C"/>
    <w:rsid w:val="00AC38A7"/>
    <w:rsid w:val="00AD1E46"/>
    <w:rsid w:val="00AE1213"/>
    <w:rsid w:val="00AE4F42"/>
    <w:rsid w:val="00AF6029"/>
    <w:rsid w:val="00B311A2"/>
    <w:rsid w:val="00B33B7E"/>
    <w:rsid w:val="00B42B39"/>
    <w:rsid w:val="00B55800"/>
    <w:rsid w:val="00B70D3E"/>
    <w:rsid w:val="00B746F5"/>
    <w:rsid w:val="00B90AA5"/>
    <w:rsid w:val="00B91135"/>
    <w:rsid w:val="00B97D47"/>
    <w:rsid w:val="00BB7152"/>
    <w:rsid w:val="00BC474D"/>
    <w:rsid w:val="00C02C34"/>
    <w:rsid w:val="00C03969"/>
    <w:rsid w:val="00C263C7"/>
    <w:rsid w:val="00C2663C"/>
    <w:rsid w:val="00C30EDB"/>
    <w:rsid w:val="00C333B4"/>
    <w:rsid w:val="00C33957"/>
    <w:rsid w:val="00C373B8"/>
    <w:rsid w:val="00C42BF3"/>
    <w:rsid w:val="00C66435"/>
    <w:rsid w:val="00C749B9"/>
    <w:rsid w:val="00C92B22"/>
    <w:rsid w:val="00CA05C7"/>
    <w:rsid w:val="00CA4FD8"/>
    <w:rsid w:val="00CC7F0E"/>
    <w:rsid w:val="00CD5CEF"/>
    <w:rsid w:val="00CE5DB0"/>
    <w:rsid w:val="00CF0D3F"/>
    <w:rsid w:val="00D10FE5"/>
    <w:rsid w:val="00D25441"/>
    <w:rsid w:val="00D27A01"/>
    <w:rsid w:val="00D45ADA"/>
    <w:rsid w:val="00D7662E"/>
    <w:rsid w:val="00DA0CFF"/>
    <w:rsid w:val="00DC29BF"/>
    <w:rsid w:val="00DE02F9"/>
    <w:rsid w:val="00DE3B88"/>
    <w:rsid w:val="00DE695B"/>
    <w:rsid w:val="00E14A1B"/>
    <w:rsid w:val="00E4093A"/>
    <w:rsid w:val="00E71C02"/>
    <w:rsid w:val="00E75288"/>
    <w:rsid w:val="00E76215"/>
    <w:rsid w:val="00E95E72"/>
    <w:rsid w:val="00EA742B"/>
    <w:rsid w:val="00EA754A"/>
    <w:rsid w:val="00EC077E"/>
    <w:rsid w:val="00EC6B32"/>
    <w:rsid w:val="00EC7D94"/>
    <w:rsid w:val="00EE0B01"/>
    <w:rsid w:val="00EE495F"/>
    <w:rsid w:val="00EF405D"/>
    <w:rsid w:val="00F04B47"/>
    <w:rsid w:val="00F04EEE"/>
    <w:rsid w:val="00F26FFB"/>
    <w:rsid w:val="00F436E8"/>
    <w:rsid w:val="00F63921"/>
    <w:rsid w:val="00F741F3"/>
    <w:rsid w:val="00F7704F"/>
    <w:rsid w:val="00F776EA"/>
    <w:rsid w:val="00FA187F"/>
    <w:rsid w:val="00FA7C3E"/>
    <w:rsid w:val="00FB04B2"/>
    <w:rsid w:val="00FD2FD6"/>
    <w:rsid w:val="00FF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70D0F6-A518-4451-A204-B41F6FBF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43A26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12742"/>
    <w:pPr>
      <w:keepNext/>
      <w:numPr>
        <w:numId w:val="5"/>
      </w:numPr>
      <w:suppressAutoHyphens/>
      <w:spacing w:before="240" w:after="60" w:line="240" w:lineRule="auto"/>
      <w:outlineLvl w:val="0"/>
    </w:pPr>
    <w:rPr>
      <w:rFonts w:eastAsia="Times New Roman"/>
      <w:b/>
      <w:bCs/>
      <w:kern w:val="2"/>
      <w:sz w:val="24"/>
      <w:szCs w:val="32"/>
      <w:lang w:eastAsia="zh-CN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12742"/>
    <w:pPr>
      <w:keepNext/>
      <w:keepLines/>
      <w:spacing w:before="200" w:after="0"/>
      <w:outlineLvl w:val="1"/>
    </w:pPr>
    <w:rPr>
      <w:rFonts w:eastAsia="Times New Roman"/>
      <w:b/>
      <w:bCs/>
      <w:szCs w:val="26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66435"/>
    <w:pPr>
      <w:keepNext/>
      <w:numPr>
        <w:ilvl w:val="4"/>
        <w:numId w:val="1"/>
      </w:numPr>
      <w:suppressAutoHyphens/>
      <w:spacing w:after="0" w:line="240" w:lineRule="auto"/>
      <w:jc w:val="both"/>
      <w:outlineLvl w:val="4"/>
    </w:pPr>
    <w:rPr>
      <w:rFonts w:ascii="Tahoma" w:eastAsia="Times New Roman" w:hAnsi="Tahoma" w:cs="Tahoma"/>
      <w:b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12742"/>
    <w:rPr>
      <w:rFonts w:ascii="Calibri" w:hAnsi="Calibri" w:cs="Times New Roman"/>
      <w:b/>
      <w:bCs/>
      <w:kern w:val="2"/>
      <w:sz w:val="32"/>
      <w:szCs w:val="32"/>
      <w:lang w:eastAsia="zh-CN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12742"/>
    <w:rPr>
      <w:rFonts w:ascii="Calibri" w:hAnsi="Calibri" w:cs="Times New Roman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9"/>
    <w:locked/>
    <w:rsid w:val="00C66435"/>
    <w:rPr>
      <w:rFonts w:ascii="Tahoma" w:hAnsi="Tahoma" w:cs="Tahoma"/>
      <w:b/>
      <w:sz w:val="20"/>
      <w:szCs w:val="20"/>
      <w:lang w:eastAsia="zh-CN"/>
    </w:rPr>
  </w:style>
  <w:style w:type="table" w:styleId="Grigliatabella">
    <w:name w:val="Table Grid"/>
    <w:basedOn w:val="Tabellanormale"/>
    <w:uiPriority w:val="99"/>
    <w:rsid w:val="00062E9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Carpredefinitoparagrafo"/>
    <w:uiPriority w:val="99"/>
    <w:rsid w:val="0035432A"/>
    <w:rPr>
      <w:rFonts w:cs="Times New Roman"/>
    </w:rPr>
  </w:style>
  <w:style w:type="paragraph" w:styleId="Paragrafoelenco">
    <w:name w:val="List Paragraph"/>
    <w:aliases w:val="Normal bullet 2,Paragrafo elenco puntato"/>
    <w:basedOn w:val="Normale"/>
    <w:link w:val="ParagrafoelencoCarattere"/>
    <w:uiPriority w:val="99"/>
    <w:qFormat/>
    <w:rsid w:val="00296441"/>
    <w:pPr>
      <w:ind w:left="720"/>
      <w:contextualSpacing/>
    </w:pPr>
  </w:style>
  <w:style w:type="character" w:styleId="Enfasicorsivo">
    <w:name w:val="Emphasis"/>
    <w:basedOn w:val="Carpredefinitoparagrafo"/>
    <w:uiPriority w:val="99"/>
    <w:qFormat/>
    <w:rsid w:val="00A41AF2"/>
    <w:rPr>
      <w:rFonts w:cs="Times New Roman"/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rsid w:val="004A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A39D7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9325BE"/>
    <w:pPr>
      <w:spacing w:after="200" w:line="240" w:lineRule="auto"/>
    </w:pPr>
    <w:rPr>
      <w:b/>
      <w:bCs/>
      <w:color w:val="5B9BD5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32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32D0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32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32D06"/>
    <w:rPr>
      <w:rFonts w:cs="Times New Roman"/>
    </w:rPr>
  </w:style>
  <w:style w:type="character" w:customStyle="1" w:styleId="ParagrafoelencoCarattere">
    <w:name w:val="Paragrafo elenco Carattere"/>
    <w:aliases w:val="Normal bullet 2 Carattere,Paragrafo elenco puntato Carattere"/>
    <w:link w:val="Paragrafoelenco"/>
    <w:uiPriority w:val="99"/>
    <w:locked/>
    <w:rsid w:val="00AB0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Policlinico S.Orsola-Malpighi</Company>
  <LinksUpToDate>false</LinksUpToDate>
  <CharactersWithSpaces>14639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Ghini</dc:creator>
  <cp:lastModifiedBy>Silvia De Meis</cp:lastModifiedBy>
  <cp:revision>15</cp:revision>
  <cp:lastPrinted>2024-01-31T10:19:00Z</cp:lastPrinted>
  <dcterms:created xsi:type="dcterms:W3CDTF">2024-02-01T16:54:00Z</dcterms:created>
  <dcterms:modified xsi:type="dcterms:W3CDTF">2024-02-04T17:20:00Z</dcterms:modified>
</cp:coreProperties>
</file>