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60" w:after="60"/>
        <w:jc w:val="center"/>
        <w:rPr>
          <w:rFonts w:ascii="Titillium" w:hAnsi="Titillium"/>
          <w:b/>
          <w:sz w:val="36"/>
          <w:szCs w:val="36"/>
          <w:lang w:eastAsia="it-IT"/>
        </w:rPr>
      </w:pPr>
      <w:r>
        <w:rPr>
          <w:rFonts w:ascii="Titillium" w:hAnsi="Titillium"/>
          <w:b/>
          <w:sz w:val="36"/>
          <w:szCs w:val="36"/>
          <w:lang w:eastAsia="it-IT"/>
        </w:rPr>
      </w:r>
    </w:p>
    <w:p>
      <w:pPr>
        <w:pStyle w:val="Normal"/>
        <w:widowControl w:val="false"/>
        <w:spacing w:before="60" w:after="60"/>
        <w:jc w:val="center"/>
        <w:rPr>
          <w:rFonts w:ascii="Titillium" w:hAnsi="Titillium"/>
          <w:b/>
          <w:sz w:val="36"/>
          <w:szCs w:val="36"/>
          <w:lang w:eastAsia="it-IT"/>
        </w:rPr>
      </w:pPr>
      <w:r>
        <w:rPr>
          <w:rFonts w:ascii="Titillium" w:hAnsi="Titillium"/>
          <w:b/>
          <w:sz w:val="36"/>
          <w:szCs w:val="36"/>
          <w:lang w:eastAsia="it-IT"/>
        </w:rPr>
      </w:r>
    </w:p>
    <w:p>
      <w:pPr>
        <w:pStyle w:val="Normal"/>
        <w:widowControl w:val="false"/>
        <w:spacing w:lineRule="atLeast" w:line="23"/>
        <w:ind w:left="567"/>
        <w:jc w:val="center"/>
        <w:rPr>
          <w:rFonts w:ascii="Titillium" w:hAnsi="Titillium"/>
          <w:b/>
          <w:szCs w:val="24"/>
          <w:lang w:eastAsia="it-IT"/>
        </w:rPr>
      </w:pPr>
      <w:r>
        <w:rPr>
          <w:rFonts w:ascii="Titillium" w:hAnsi="Titillium"/>
          <w:b/>
          <w:szCs w:val="24"/>
          <w:lang w:eastAsia="it-IT"/>
        </w:rPr>
        <w:t>Disciplinare di gara</w:t>
      </w:r>
    </w:p>
    <w:p>
      <w:pPr>
        <w:pStyle w:val="Normal"/>
        <w:widowControl w:val="false"/>
        <w:spacing w:lineRule="atLeast" w:line="23"/>
        <w:ind w:left="567"/>
        <w:rPr>
          <w:rFonts w:ascii="Titillium" w:hAnsi="Titillium"/>
          <w:b/>
          <w:szCs w:val="24"/>
          <w:lang w:eastAsia="it-IT"/>
        </w:rPr>
      </w:pPr>
      <w:r>
        <w:rPr>
          <w:rFonts w:ascii="Titillium" w:hAnsi="Titillium"/>
          <w:b/>
          <w:szCs w:val="24"/>
          <w:lang w:eastAsia="it-IT"/>
        </w:rPr>
      </w:r>
    </w:p>
    <w:p>
      <w:pPr>
        <w:pStyle w:val="Normal"/>
        <w:widowControl w:val="false"/>
        <w:spacing w:lineRule="atLeast" w:line="23"/>
        <w:ind w:left="567"/>
        <w:rPr>
          <w:rFonts w:ascii="Titillium" w:hAnsi="Titillium"/>
          <w:b/>
          <w:szCs w:val="24"/>
          <w:lang w:eastAsia="it-IT"/>
        </w:rPr>
      </w:pPr>
      <w:r>
        <w:rPr>
          <w:rFonts w:ascii="Titillium" w:hAnsi="Titillium"/>
          <w:b/>
          <w:szCs w:val="24"/>
          <w:lang w:eastAsia="it-IT"/>
        </w:rPr>
      </w:r>
    </w:p>
    <w:p>
      <w:pPr>
        <w:pStyle w:val="Normal"/>
        <w:widowControl w:val="false"/>
        <w:spacing w:lineRule="atLeast" w:line="23"/>
        <w:ind w:left="567"/>
        <w:rPr>
          <w:rFonts w:ascii="Titillium" w:hAnsi="Titillium"/>
          <w:b/>
          <w:szCs w:val="24"/>
          <w:lang w:eastAsia="it-IT"/>
        </w:rPr>
      </w:pPr>
      <w:r>
        <w:rPr>
          <w:rFonts w:ascii="Titillium" w:hAnsi="Titillium"/>
          <w:b/>
          <w:szCs w:val="24"/>
          <w:lang w:eastAsia="it-IT"/>
        </w:rPr>
      </w:r>
    </w:p>
    <w:p>
      <w:pPr>
        <w:pStyle w:val="BodyText"/>
        <w:tabs>
          <w:tab w:val="clear" w:pos="708"/>
          <w:tab w:val="left" w:pos="0" w:leader="none"/>
          <w:tab w:val="left" w:pos="5580" w:leader="none"/>
        </w:tabs>
        <w:jc w:val="both"/>
        <w:rPr>
          <w:rFonts w:ascii="Calibri" w:hAnsi="Calibri" w:cs="Calibri"/>
          <w:b/>
          <w:bCs/>
          <w:i w:val="false"/>
          <w:iCs w:val="false"/>
          <w:sz w:val="28"/>
          <w:szCs w:val="28"/>
          <w:highlight w:val="none"/>
          <w:shd w:fill="FFFFFF" w:val="clear"/>
        </w:rPr>
      </w:pPr>
      <w:r>
        <w:rPr>
          <w:rFonts w:cs="Arial" w:ascii="Arial" w:hAnsi="Arial"/>
          <w:b/>
          <w:bCs/>
          <w:i w:val="false"/>
          <w:iCs w:val="false"/>
          <w:sz w:val="22"/>
          <w:szCs w:val="28"/>
          <w:shd w:fill="FFFFFF" w:val="clear"/>
        </w:rPr>
        <w:t>Gara Europea a Procedura Aperta per il servizio di trasporto persone con natanti a supporto dell’attività istituzionale di sorveglianza veterinaria delle zone di produzione dei molluschi bivalvi per la durata di anni due per l’Azienda USL di Ferrara</w:t>
      </w:r>
    </w:p>
    <w:p>
      <w:pPr>
        <w:pStyle w:val="BodyText"/>
        <w:tabs>
          <w:tab w:val="clear" w:pos="708"/>
          <w:tab w:val="left" w:pos="0" w:leader="none"/>
          <w:tab w:val="left" w:pos="5580" w:leader="none"/>
        </w:tabs>
        <w:jc w:val="both"/>
        <w:rPr>
          <w:rFonts w:ascii="Calibri" w:hAnsi="Calibri" w:cs="Calibri"/>
          <w:b/>
          <w:bCs/>
          <w:i w:val="false"/>
          <w:iCs w:val="false"/>
          <w:sz w:val="28"/>
          <w:szCs w:val="28"/>
          <w:highlight w:val="none"/>
          <w:shd w:fill="FFFFFF" w:val="clear"/>
        </w:rPr>
      </w:pPr>
      <w:r>
        <w:rPr>
          <w:rFonts w:cs="Calibri" w:ascii="Calibri" w:hAnsi="Calibri"/>
          <w:b/>
          <w:bCs/>
          <w:i w:val="false"/>
          <w:iCs w:val="false"/>
          <w:sz w:val="28"/>
          <w:szCs w:val="28"/>
          <w:shd w:fill="FFFFFF" w:val="clear"/>
        </w:rPr>
      </w:r>
    </w:p>
    <w:p>
      <w:pPr>
        <w:pStyle w:val="BodyText"/>
        <w:tabs>
          <w:tab w:val="clear" w:pos="708"/>
          <w:tab w:val="left" w:pos="0" w:leader="none"/>
          <w:tab w:val="left" w:pos="5580" w:leader="none"/>
        </w:tabs>
        <w:suppressAutoHyphens w:val="true"/>
        <w:bidi w:val="0"/>
        <w:spacing w:before="0" w:after="0"/>
        <w:jc w:val="both"/>
        <w:rPr>
          <w:shd w:fill="FFFFFF" w:val="clear"/>
        </w:rPr>
      </w:pPr>
      <w:r>
        <w:rPr>
          <w:rFonts w:eastAsia="Times New Roman" w:cs="Arial" w:ascii="Arial" w:hAnsi="Arial"/>
          <w:b/>
          <w:bCs/>
          <w:i w:val="false"/>
          <w:iCs w:val="false"/>
          <w:color w:val="000000"/>
          <w:kern w:val="0"/>
          <w:sz w:val="22"/>
          <w:szCs w:val="28"/>
          <w:shd w:fill="FFFFFF" w:val="clear"/>
          <w:lang w:bidi="ar-SA"/>
        </w:rPr>
        <w:t>Importo biennale a base d’asta: 107.000,00</w:t>
      </w:r>
    </w:p>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shd w:fill="FFFFFF" w:val="clear"/>
          <w:lang w:bidi="ar-SA"/>
        </w:rPr>
      </w:pPr>
      <w:r>
        <w:rPr>
          <w:rFonts w:eastAsia="Times New Roman" w:cs="Arial" w:ascii="Arial" w:hAnsi="Arial"/>
          <w:b/>
          <w:bCs/>
          <w:i w:val="false"/>
          <w:iCs w:val="false"/>
          <w:color w:val="auto"/>
          <w:kern w:val="0"/>
          <w:sz w:val="22"/>
          <w:szCs w:val="28"/>
          <w:shd w:fill="FFFFFF" w:val="clear"/>
          <w:lang w:bidi="ar-SA"/>
        </w:rPr>
      </w:r>
    </w:p>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shd w:fill="FFFFFF" w:val="clear"/>
          <w:lang w:bidi="ar-SA"/>
        </w:rPr>
      </w:pPr>
      <w:r>
        <w:rPr>
          <w:rFonts w:eastAsia="Times New Roman" w:cs="Arial" w:ascii="Arial" w:hAnsi="Arial"/>
          <w:b/>
          <w:bCs/>
          <w:i w:val="false"/>
          <w:iCs w:val="false"/>
          <w:color w:val="000000"/>
          <w:kern w:val="0"/>
          <w:sz w:val="22"/>
          <w:szCs w:val="28"/>
          <w:shd w:fill="FFFFFF" w:val="clear"/>
          <w:lang w:bidi="ar-SA"/>
        </w:rPr>
        <w:t>RUP: Dr.ssa Burattini Rita - Direttore Servizio Comune Economato e Gestione Contratti</w:t>
      </w:r>
    </w:p>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shd w:fill="FFFFFF" w:val="clear"/>
          <w:lang w:bidi="ar-SA"/>
        </w:rPr>
      </w:pPr>
      <w:r>
        <w:rPr>
          <w:rFonts w:eastAsia="Times New Roman" w:cs="Arial" w:ascii="Arial" w:hAnsi="Arial"/>
          <w:b/>
          <w:bCs/>
          <w:i w:val="false"/>
          <w:iCs w:val="false"/>
          <w:color w:val="000000"/>
          <w:kern w:val="0"/>
          <w:sz w:val="22"/>
          <w:szCs w:val="28"/>
          <w:shd w:fill="FFFFFF" w:val="clear"/>
          <w:lang w:bidi="ar-SA"/>
        </w:rPr>
        <w:t>RP esecuzione</w:t>
      </w:r>
      <w:r>
        <w:rPr>
          <w:rFonts w:eastAsia="Times New Roman" w:cs="Arial" w:ascii="Arial" w:hAnsi="Arial"/>
          <w:b/>
          <w:bCs/>
          <w:i w:val="false"/>
          <w:iCs w:val="false"/>
          <w:color w:val="000000"/>
          <w:kern w:val="0"/>
          <w:sz w:val="22"/>
          <w:szCs w:val="28"/>
          <w:shd w:fill="FFFFFF" w:val="clear"/>
          <w:lang w:bidi="ar-SA"/>
        </w:rPr>
        <w:t>: Fabbri Anna - Servizio Comune Economato e Gestione Contratti</w:t>
      </w:r>
    </w:p>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shd w:fill="FFFFFF" w:val="clear"/>
          <w:lang w:bidi="ar-SA"/>
        </w:rPr>
      </w:pPr>
      <w:r>
        <w:rPr>
          <w:rFonts w:eastAsia="Times New Roman" w:cs="Arial" w:ascii="Arial" w:hAnsi="Arial"/>
          <w:b/>
          <w:bCs/>
          <w:i w:val="false"/>
          <w:iCs w:val="false"/>
          <w:color w:val="000000"/>
          <w:kern w:val="0"/>
          <w:sz w:val="22"/>
          <w:szCs w:val="28"/>
          <w:shd w:fill="FFFFFF" w:val="clear"/>
          <w:lang w:bidi="ar-SA"/>
        </w:rPr>
        <w:t>DEC: Paola Rizzi – Dirigente Veterinario DSP</w:t>
      </w:r>
    </w:p>
    <w:p>
      <w:pPr>
        <w:pStyle w:val="Normal"/>
        <w:widowControl w:val="false"/>
        <w:spacing w:before="60" w:after="60"/>
        <w:ind w:left="567"/>
        <w:rPr>
          <w:rFonts w:ascii="Arial" w:hAnsi="Arial" w:cs="Arial"/>
          <w:b/>
          <w:i/>
          <w:sz w:val="22"/>
        </w:rPr>
      </w:pPr>
      <w:r>
        <w:rPr>
          <w:rFonts w:cs="Arial" w:ascii="Arial" w:hAnsi="Arial"/>
          <w:b/>
          <w:i/>
          <w:sz w:val="22"/>
        </w:rPr>
      </w:r>
    </w:p>
    <w:p>
      <w:pPr>
        <w:pStyle w:val="Normal"/>
        <w:widowControl w:val="false"/>
        <w:spacing w:before="60" w:after="60"/>
        <w:ind w:left="567"/>
        <w:rPr>
          <w:rFonts w:ascii="Arial" w:hAnsi="Arial" w:cs="Arial"/>
          <w:b/>
          <w:i/>
          <w:sz w:val="20"/>
          <w:szCs w:val="20"/>
        </w:rPr>
      </w:pPr>
      <w:r>
        <w:rPr>
          <w:rFonts w:cs="Arial" w:ascii="Arial" w:hAnsi="Arial"/>
          <w:b/>
          <w:i/>
          <w:sz w:val="20"/>
          <w:szCs w:val="20"/>
        </w:rPr>
        <w:t xml:space="preserve">Il presente documento è stato redatto in conformità al Bando-tipo n. 1/2023 aggiornato al decreto legislativo 31 dicembre 2024 n. 209 </w:t>
      </w:r>
      <w:r>
        <w:rPr>
          <w:rFonts w:cs="Calibri" w:ascii="Calibri" w:hAnsi="Calibri"/>
          <w:b/>
          <w:i/>
          <w:sz w:val="22"/>
          <w:szCs w:val="20"/>
          <w:lang w:eastAsia="it-IT"/>
        </w:rPr>
        <w:t xml:space="preserve">e al parere del Consiglio di Stato </w:t>
      </w:r>
      <w:r>
        <w:rPr>
          <w:rFonts w:cs="Calibri" w:ascii="Calibri" w:hAnsi="Calibri"/>
          <w:b/>
          <w:bCs/>
          <w:i/>
          <w:sz w:val="22"/>
          <w:szCs w:val="20"/>
          <w:lang w:eastAsia="it-IT"/>
        </w:rPr>
        <w:t>n. 61 del 13/01/2026. A</w:t>
      </w:r>
      <w:r>
        <w:rPr>
          <w:rFonts w:cs="Arial" w:ascii="Arial" w:hAnsi="Arial"/>
          <w:b/>
          <w:i/>
          <w:sz w:val="20"/>
          <w:szCs w:val="20"/>
        </w:rPr>
        <w:t xml:space="preserve">pprovato dal Consiglio dell’Autorità Nazionale Anticorruzione con delibera n. 365 del 16 settembre 2025 </w:t>
      </w:r>
      <w:r>
        <w:rPr>
          <w:rFonts w:cs="Calibri" w:ascii="Calibri" w:hAnsi="Calibri"/>
          <w:b/>
          <w:i/>
          <w:sz w:val="22"/>
          <w:szCs w:val="20"/>
          <w:lang w:eastAsia="it-IT"/>
        </w:rPr>
        <w:t>e modificato con delibera n. 148 del 1° aprile 2026</w:t>
      </w:r>
      <w:r>
        <w:rPr>
          <w:rFonts w:cs="Arial" w:ascii="Arial" w:hAnsi="Arial"/>
          <w:b/>
          <w:i/>
          <w:sz w:val="20"/>
          <w:szCs w:val="20"/>
        </w:rPr>
        <w:t>.</w:t>
      </w:r>
    </w:p>
    <w:p>
      <w:pPr>
        <w:pStyle w:val="Normal"/>
        <w:widowControl w:val="false"/>
        <w:spacing w:before="60" w:after="60"/>
        <w:jc w:val="left"/>
        <w:rPr>
          <w:rFonts w:ascii="Titillium" w:hAnsi="Titillium"/>
          <w:b/>
          <w:w w:val="66"/>
          <w:szCs w:val="24"/>
          <w:lang w:eastAsia="it-IT"/>
        </w:rPr>
      </w:pPr>
      <w:r>
        <w:rPr>
          <w:rFonts w:ascii="Titillium" w:hAnsi="Titillium"/>
          <w:sz w:val="18"/>
          <w:szCs w:val="18"/>
          <w:lang w:eastAsia="it-IT"/>
        </w:rPr>
        <w:t xml:space="preserve"> </w:t>
      </w:r>
      <w:r>
        <w:br w:type="page"/>
      </w:r>
    </w:p>
    <w:p>
      <w:pPr>
        <w:pStyle w:val="Normal"/>
        <w:spacing w:lineRule="auto" w:line="240" w:before="0" w:after="0"/>
        <w:jc w:val="left"/>
        <w:rPr>
          <w:rFonts w:ascii="Titillium" w:hAnsi="Titillium"/>
          <w:b/>
          <w:w w:val="66"/>
          <w:szCs w:val="24"/>
          <w:lang w:eastAsia="it-IT"/>
        </w:rPr>
      </w:pPr>
      <w:r>
        <w:rPr>
          <w:rFonts w:ascii="Titillium" w:hAnsi="Titillium"/>
          <w:b/>
          <w:w w:val="66"/>
          <w:szCs w:val="24"/>
          <w:lang w:eastAsia="it-IT"/>
        </w:rPr>
      </w:r>
    </w:p>
    <w:sdt>
      <w:sdtPr>
        <w:docPartObj>
          <w:docPartGallery w:val="Table of Contents"/>
          <w:docPartUnique w:val="true"/>
        </w:docPartObj>
      </w:sdtPr>
      <w:sdtContent>
        <w:p>
          <w:pPr>
            <w:pStyle w:val="TOC1"/>
            <w:tabs>
              <w:tab w:val="clear" w:pos="284"/>
              <w:tab w:val="clear" w:pos="9629"/>
              <w:tab w:val="right" w:pos="9223" w:leader="dot"/>
            </w:tabs>
            <w:rPr/>
          </w:pPr>
          <w:r>
            <w:fldChar w:fldCharType="begin"/>
          </w:r>
          <w:r>
            <w:rPr/>
            <w:instrText xml:space="preserve"> TOC \o "1-3" \h</w:instrText>
          </w:r>
          <w:r>
            <w:rPr/>
            <w:fldChar w:fldCharType="separate"/>
          </w:r>
          <w:r>
            <w:rPr/>
            <w:t>Dipartimento Amministrativo</w:t>
            <w:tab/>
            <w:t>1</w:t>
          </w:r>
        </w:p>
        <w:p>
          <w:pPr>
            <w:pStyle w:val="TOC1"/>
            <w:tabs>
              <w:tab w:val="clear" w:pos="284"/>
              <w:tab w:val="clear" w:pos="9629"/>
              <w:tab w:val="right" w:pos="9223" w:leader="dot"/>
            </w:tabs>
            <w:rPr/>
          </w:pPr>
          <w:r>
            <w:rPr/>
            <w:t>Servizio Acquisti di Area Vasta</w:t>
            <w:tab/>
            <w:t>1</w:t>
          </w:r>
        </w:p>
        <w:p>
          <w:pPr>
            <w:pStyle w:val="TOC1"/>
            <w:tabs>
              <w:tab w:val="clear" w:pos="284"/>
              <w:tab w:val="clear" w:pos="9629"/>
              <w:tab w:val="right" w:pos="9223" w:leader="dot"/>
            </w:tabs>
            <w:rPr/>
          </w:pPr>
          <w:r>
            <w:rPr/>
            <w:t>Settore</w:t>
            <w:tab/>
            <w:t>1</w:t>
          </w:r>
        </w:p>
        <w:p>
          <w:pPr>
            <w:pStyle w:val="TOC2"/>
            <w:tabs>
              <w:tab w:val="clear" w:pos="440"/>
              <w:tab w:val="clear" w:pos="9629"/>
              <w:tab w:val="right" w:pos="9223" w:leader="dot"/>
            </w:tabs>
            <w:rPr/>
          </w:pPr>
          <w:r>
            <w:rPr/>
            <w:t>RICHIAMATE</w:t>
            <w:tab/>
            <w:t>4</w:t>
          </w:r>
        </w:p>
        <w:p>
          <w:pPr>
            <w:pStyle w:val="TOC2"/>
            <w:tabs>
              <w:tab w:val="clear" w:pos="440"/>
              <w:tab w:val="clear" w:pos="9629"/>
              <w:tab w:val="right" w:pos="9223" w:leader="dot"/>
            </w:tabs>
            <w:rPr/>
          </w:pPr>
          <w:r>
            <w:rPr/>
            <w:t>PREMESSE</w:t>
            <w:tab/>
            <w:t>4</w:t>
          </w:r>
        </w:p>
        <w:p>
          <w:pPr>
            <w:pStyle w:val="TOC2"/>
            <w:tabs>
              <w:tab w:val="clear" w:pos="440"/>
              <w:tab w:val="clear" w:pos="9629"/>
              <w:tab w:val="right" w:pos="9223" w:leader="dot"/>
            </w:tabs>
            <w:rPr/>
          </w:pPr>
          <w:r>
            <w:rPr/>
            <w:t>1. PIATTAFORMA</w:t>
            <w:tab/>
            <w:t>5</w:t>
          </w:r>
        </w:p>
        <w:p>
          <w:pPr>
            <w:pStyle w:val="TOC3"/>
            <w:tabs>
              <w:tab w:val="clear" w:pos="1100"/>
              <w:tab w:val="clear" w:pos="9629"/>
              <w:tab w:val="right" w:pos="9223" w:leader="dot"/>
            </w:tabs>
            <w:rPr/>
          </w:pPr>
          <w:r>
            <w:rPr/>
            <w:t xml:space="preserve">1.1. </w:t>
          </w:r>
          <w:r>
            <w:rPr>
              <w:iCs/>
            </w:rPr>
            <w:t>LA PIATTAFORMA DI APPROVVIGIONAMENTO DIGITALE (PAD)</w:t>
          </w:r>
          <w:r>
            <w:rPr/>
            <w:tab/>
            <w:t>5</w:t>
          </w:r>
        </w:p>
        <w:p>
          <w:pPr>
            <w:pStyle w:val="TOC3"/>
            <w:tabs>
              <w:tab w:val="clear" w:pos="1100"/>
              <w:tab w:val="clear" w:pos="9629"/>
              <w:tab w:val="right" w:pos="9223" w:leader="dot"/>
            </w:tabs>
            <w:rPr/>
          </w:pPr>
          <w:r>
            <w:rPr/>
            <w:t xml:space="preserve">1.2. </w:t>
          </w:r>
          <w:r>
            <w:rPr>
              <w:iCs/>
            </w:rPr>
            <w:t>DOTAZIONI TECNICHE</w:t>
          </w:r>
          <w:r>
            <w:rPr/>
            <w:tab/>
            <w:t>6</w:t>
          </w:r>
        </w:p>
        <w:p>
          <w:pPr>
            <w:pStyle w:val="TOC3"/>
            <w:tabs>
              <w:tab w:val="clear" w:pos="1100"/>
              <w:tab w:val="clear" w:pos="9629"/>
              <w:tab w:val="right" w:pos="9223" w:leader="dot"/>
            </w:tabs>
            <w:rPr/>
          </w:pPr>
          <w:r>
            <w:rPr/>
            <w:t xml:space="preserve">1.3. </w:t>
          </w:r>
          <w:r>
            <w:rPr>
              <w:iCs/>
            </w:rPr>
            <w:t>IDENTIFICAZIONE</w:t>
          </w:r>
          <w:r>
            <w:rPr/>
            <w:tab/>
            <w:t>6</w:t>
          </w:r>
        </w:p>
        <w:p>
          <w:pPr>
            <w:pStyle w:val="TOC2"/>
            <w:tabs>
              <w:tab w:val="clear" w:pos="440"/>
              <w:tab w:val="clear" w:pos="9629"/>
              <w:tab w:val="right" w:pos="9223" w:leader="dot"/>
            </w:tabs>
            <w:rPr/>
          </w:pPr>
          <w:r>
            <w:rPr/>
            <w:t>2. DOCUMENTAZIONE DI GARA, CHIARIMENTI E COMUNICAZIONI</w:t>
            <w:tab/>
            <w:t>7</w:t>
          </w:r>
        </w:p>
        <w:p>
          <w:pPr>
            <w:pStyle w:val="TOC3"/>
            <w:tabs>
              <w:tab w:val="clear" w:pos="1100"/>
              <w:tab w:val="clear" w:pos="9629"/>
              <w:tab w:val="right" w:pos="9223" w:leader="dot"/>
            </w:tabs>
            <w:rPr/>
          </w:pPr>
          <w:r>
            <w:rPr/>
            <w:t xml:space="preserve">2.1. </w:t>
          </w:r>
          <w:r>
            <w:rPr>
              <w:iCs/>
            </w:rPr>
            <w:t>DOCUMENTI DI GARA</w:t>
          </w:r>
          <w:r>
            <w:rPr/>
            <w:tab/>
            <w:t>7</w:t>
          </w:r>
        </w:p>
        <w:p>
          <w:pPr>
            <w:pStyle w:val="TOC3"/>
            <w:tabs>
              <w:tab w:val="clear" w:pos="1100"/>
              <w:tab w:val="clear" w:pos="9629"/>
              <w:tab w:val="right" w:pos="9223" w:leader="dot"/>
            </w:tabs>
            <w:rPr/>
          </w:pPr>
          <w:r>
            <w:rPr/>
            <w:t>2.2. CHIARIMENTI</w:t>
            <w:tab/>
            <w:t>7</w:t>
          </w:r>
        </w:p>
        <w:p>
          <w:pPr>
            <w:pStyle w:val="TOC3"/>
            <w:tabs>
              <w:tab w:val="clear" w:pos="1100"/>
              <w:tab w:val="clear" w:pos="9629"/>
              <w:tab w:val="right" w:pos="9223" w:leader="dot"/>
            </w:tabs>
            <w:rPr/>
          </w:pPr>
          <w:r>
            <w:rPr/>
            <w:t>2.3. COMUNICAZIONI</w:t>
            <w:tab/>
            <w:t>7</w:t>
          </w:r>
        </w:p>
        <w:p>
          <w:pPr>
            <w:pStyle w:val="TOC2"/>
            <w:tabs>
              <w:tab w:val="clear" w:pos="440"/>
              <w:tab w:val="clear" w:pos="9629"/>
              <w:tab w:val="right" w:pos="9223" w:leader="dot"/>
            </w:tabs>
            <w:rPr/>
          </w:pPr>
          <w:r>
            <w:rPr/>
            <w:t>3. OGGETTO DELL’APPALTO, IMPORTO E SUDDIVISIONE IN LOTTI</w:t>
            <w:tab/>
            <w:t>8</w:t>
          </w:r>
        </w:p>
        <w:p>
          <w:pPr>
            <w:pStyle w:val="TOC3"/>
            <w:tabs>
              <w:tab w:val="clear" w:pos="1100"/>
              <w:tab w:val="clear" w:pos="9629"/>
              <w:tab w:val="right" w:pos="9223" w:leader="dot"/>
            </w:tabs>
            <w:rPr/>
          </w:pPr>
          <w:r>
            <w:rPr/>
            <w:t>3.1. DURATA</w:t>
            <w:tab/>
            <w:t>10</w:t>
          </w:r>
        </w:p>
        <w:p>
          <w:pPr>
            <w:pStyle w:val="TOC3"/>
            <w:tabs>
              <w:tab w:val="clear" w:pos="1100"/>
              <w:tab w:val="clear" w:pos="9629"/>
              <w:tab w:val="right" w:pos="9223" w:leader="dot"/>
            </w:tabs>
            <w:rPr/>
          </w:pPr>
          <w:r>
            <w:rPr/>
            <w:t>3.2. REVISIONE PREZZI</w:t>
            <w:tab/>
            <w:t>11</w:t>
          </w:r>
        </w:p>
        <w:p>
          <w:pPr>
            <w:pStyle w:val="TOC3"/>
            <w:tabs>
              <w:tab w:val="clear" w:pos="1100"/>
              <w:tab w:val="clear" w:pos="9629"/>
              <w:tab w:val="right" w:pos="9223" w:leader="dot"/>
            </w:tabs>
            <w:rPr/>
          </w:pPr>
          <w:r>
            <w:rPr/>
            <w:t>3.3. MODIFICA DEL CONTRATTO IN FASE DI ESECUZIONE</w:t>
            <w:tab/>
            <w:t>11</w:t>
          </w:r>
        </w:p>
        <w:p>
          <w:pPr>
            <w:pStyle w:val="TOC2"/>
            <w:tabs>
              <w:tab w:val="clear" w:pos="440"/>
              <w:tab w:val="clear" w:pos="9629"/>
              <w:tab w:val="right" w:pos="9223" w:leader="dot"/>
            </w:tabs>
            <w:rPr/>
          </w:pPr>
          <w:r>
            <w:rPr/>
            <w:t>4. SOGGETTI AMMESSI IN FORMA SINGOLA E ASSOCIATA E CONDIZIONI DI PARTECIPAZIONE</w:t>
            <w:tab/>
            <w:t>11</w:t>
          </w:r>
        </w:p>
        <w:p>
          <w:pPr>
            <w:pStyle w:val="TOC2"/>
            <w:tabs>
              <w:tab w:val="clear" w:pos="440"/>
              <w:tab w:val="clear" w:pos="9629"/>
              <w:tab w:val="right" w:pos="9223" w:leader="dot"/>
            </w:tabs>
            <w:rPr/>
          </w:pPr>
          <w:r>
            <w:rPr/>
            <w:t>5. REQUISITI DI ORDINE GENERALE E ALTRE CAUSE DI ESCLUSIONE</w:t>
            <w:tab/>
            <w:t>12</w:t>
          </w:r>
        </w:p>
        <w:p>
          <w:pPr>
            <w:pStyle w:val="TOC2"/>
            <w:tabs>
              <w:tab w:val="clear" w:pos="440"/>
              <w:tab w:val="clear" w:pos="9629"/>
              <w:tab w:val="right" w:pos="9223" w:leader="dot"/>
            </w:tabs>
            <w:rPr/>
          </w:pPr>
          <w:r>
            <w:rPr/>
            <w:t>6. REQUISITI DI ORDINE SPECIALE E MEZZI DI PROVA</w:t>
            <w:tab/>
            <w:t>14</w:t>
          </w:r>
        </w:p>
        <w:p>
          <w:pPr>
            <w:pStyle w:val="TOC3"/>
            <w:tabs>
              <w:tab w:val="clear" w:pos="1100"/>
              <w:tab w:val="clear" w:pos="9629"/>
              <w:tab w:val="right" w:pos="9223" w:leader="dot"/>
            </w:tabs>
            <w:rPr/>
          </w:pPr>
          <w:r>
            <w:rPr/>
            <w:t>6.1. REQUISITI DI IDONEITÀ PROFESSIONALE</w:t>
            <w:tab/>
            <w:t>14</w:t>
          </w:r>
        </w:p>
        <w:p>
          <w:pPr>
            <w:pStyle w:val="TOC3"/>
            <w:tabs>
              <w:tab w:val="clear" w:pos="1100"/>
              <w:tab w:val="clear" w:pos="9629"/>
              <w:tab w:val="right" w:pos="9223" w:leader="dot"/>
            </w:tabs>
            <w:rPr/>
          </w:pPr>
          <w:r>
            <w:rPr/>
            <w:t>6.2. REQUISITI DI CAPACITÀ ECONOMICA E FINANZIARIA</w:t>
            <w:tab/>
            <w:t>15</w:t>
          </w:r>
        </w:p>
        <w:p>
          <w:pPr>
            <w:pStyle w:val="TOC3"/>
            <w:tabs>
              <w:tab w:val="clear" w:pos="1100"/>
              <w:tab w:val="clear" w:pos="9629"/>
              <w:tab w:val="right" w:pos="9223" w:leader="dot"/>
            </w:tabs>
            <w:rPr/>
          </w:pPr>
          <w:r>
            <w:rPr/>
            <w:t>6.3. REQUISITI DI CAPACITÀ TECNICA E PROFESSIONALE</w:t>
            <w:tab/>
            <w:t>15</w:t>
          </w:r>
        </w:p>
        <w:p>
          <w:pPr>
            <w:pStyle w:val="TOC3"/>
            <w:tabs>
              <w:tab w:val="clear" w:pos="1100"/>
              <w:tab w:val="clear" w:pos="9629"/>
              <w:tab w:val="right" w:pos="9223" w:leader="dot"/>
            </w:tabs>
            <w:rPr/>
          </w:pPr>
          <w:r>
            <w:rPr/>
            <w:t>6.4. INDICAZIONI SUI REQUISITI SPECIALI NEI RAGGRUPPAMENTI TEMPORANEI, CONSORZI ORDINARI, AGGREGAZIONI DI IMPRESE DI RETE, GEIE</w:t>
            <w:tab/>
            <w:t>15</w:t>
          </w:r>
        </w:p>
        <w:p>
          <w:pPr>
            <w:pStyle w:val="TOC3"/>
            <w:tabs>
              <w:tab w:val="clear" w:pos="1100"/>
              <w:tab w:val="clear" w:pos="9629"/>
              <w:tab w:val="right" w:pos="9223" w:leader="dot"/>
            </w:tabs>
            <w:rPr/>
          </w:pPr>
          <w:r>
            <w:rPr/>
            <w:t>6.5. INDICAZIONI SUI REQUISITI SPECIALI NEI CONSORZI DI COOPERATIVE, CONSORZI DI IMPRESE ARTIGIANE, CONSORZI STABILI</w:t>
            <w:tab/>
            <w:t>15</w:t>
          </w:r>
        </w:p>
        <w:p>
          <w:pPr>
            <w:pStyle w:val="TOC2"/>
            <w:tabs>
              <w:tab w:val="clear" w:pos="440"/>
              <w:tab w:val="clear" w:pos="9629"/>
              <w:tab w:val="right" w:pos="9223" w:leader="dot"/>
            </w:tabs>
            <w:rPr/>
          </w:pPr>
          <w:r>
            <w:rPr/>
            <w:t>7. AVVALIMENTO</w:t>
            <w:tab/>
            <w:t>15</w:t>
          </w:r>
        </w:p>
        <w:p>
          <w:pPr>
            <w:pStyle w:val="TOC2"/>
            <w:tabs>
              <w:tab w:val="clear" w:pos="440"/>
              <w:tab w:val="clear" w:pos="9629"/>
              <w:tab w:val="right" w:pos="9223" w:leader="dot"/>
            </w:tabs>
            <w:rPr/>
          </w:pPr>
          <w:r>
            <w:rPr/>
            <w:t>8. SUBAPPALTO</w:t>
            <w:tab/>
            <w:t>16</w:t>
          </w:r>
        </w:p>
        <w:p>
          <w:pPr>
            <w:pStyle w:val="TOC2"/>
            <w:tabs>
              <w:tab w:val="clear" w:pos="440"/>
              <w:tab w:val="clear" w:pos="9629"/>
              <w:tab w:val="right" w:pos="9223" w:leader="dot"/>
            </w:tabs>
            <w:rPr/>
          </w:pPr>
          <w:r>
            <w:rPr/>
            <w:t>9. REQUISITI DI PARTECIPAZIONE E/O CONDIZIONI DI ESECUZIONE</w:t>
            <w:tab/>
            <w:t>17</w:t>
          </w:r>
        </w:p>
        <w:p>
          <w:pPr>
            <w:pStyle w:val="TOC3"/>
            <w:tabs>
              <w:tab w:val="clear" w:pos="1100"/>
              <w:tab w:val="clear" w:pos="9629"/>
              <w:tab w:val="right" w:pos="9223" w:leader="dot"/>
            </w:tabs>
            <w:rPr/>
          </w:pPr>
          <w:r>
            <w:rPr/>
            <w:t>9.1. SOVVENZIONI ESTERE DISTORSIVE</w:t>
            <w:tab/>
            <w:t>18</w:t>
          </w:r>
        </w:p>
        <w:p>
          <w:pPr>
            <w:pStyle w:val="TOC2"/>
            <w:tabs>
              <w:tab w:val="clear" w:pos="440"/>
              <w:tab w:val="clear" w:pos="9629"/>
              <w:tab w:val="right" w:pos="9223" w:leader="dot"/>
            </w:tabs>
            <w:rPr/>
          </w:pPr>
          <w:r>
            <w:rPr/>
            <w:t>10. GARANZIA PROVVISORIA</w:t>
            <w:tab/>
            <w:t>19</w:t>
          </w:r>
        </w:p>
        <w:p>
          <w:pPr>
            <w:pStyle w:val="TOC2"/>
            <w:tabs>
              <w:tab w:val="clear" w:pos="440"/>
              <w:tab w:val="clear" w:pos="9629"/>
              <w:tab w:val="right" w:pos="9223" w:leader="dot"/>
            </w:tabs>
            <w:rPr/>
          </w:pPr>
          <w:r>
            <w:rPr/>
            <w:t>11. SOPRALLUOGO</w:t>
            <w:tab/>
            <w:t>21</w:t>
          </w:r>
        </w:p>
        <w:p>
          <w:pPr>
            <w:pStyle w:val="TOC2"/>
            <w:tabs>
              <w:tab w:val="clear" w:pos="440"/>
              <w:tab w:val="clear" w:pos="9629"/>
              <w:tab w:val="right" w:pos="9223" w:leader="dot"/>
            </w:tabs>
            <w:rPr/>
          </w:pPr>
          <w:r>
            <w:rPr/>
            <w:t>12. PAGAMENTO DEL CONTRIBUTO A FAVORE DELL’ANAC</w:t>
            <w:tab/>
            <w:t>22</w:t>
          </w:r>
        </w:p>
        <w:p>
          <w:pPr>
            <w:pStyle w:val="TOC2"/>
            <w:tabs>
              <w:tab w:val="clear" w:pos="440"/>
              <w:tab w:val="clear" w:pos="9629"/>
              <w:tab w:val="right" w:pos="9223" w:leader="dot"/>
            </w:tabs>
            <w:rPr/>
          </w:pPr>
          <w:r>
            <w:rPr/>
            <w:t>13. MODALITÀ DI PRESENTAZIONE DELL’OFFERTA E SOTTOSCRIZIONE DEI DOCUMENTI DI GARA</w:t>
            <w:tab/>
            <w:t>23</w:t>
          </w:r>
        </w:p>
        <w:p>
          <w:pPr>
            <w:pStyle w:val="TOC3"/>
            <w:tabs>
              <w:tab w:val="clear" w:pos="1100"/>
              <w:tab w:val="clear" w:pos="9629"/>
              <w:tab w:val="right" w:pos="9223" w:leader="dot"/>
            </w:tabs>
            <w:rPr/>
          </w:pPr>
          <w:r>
            <w:rPr/>
            <w:t>13.1. REGOLE PER LA PRESENTAZIONE DELL’OFFERTA</w:t>
            <w:tab/>
            <w:t>23</w:t>
          </w:r>
        </w:p>
        <w:p>
          <w:pPr>
            <w:pStyle w:val="TOC2"/>
            <w:tabs>
              <w:tab w:val="clear" w:pos="440"/>
              <w:tab w:val="clear" w:pos="9629"/>
              <w:tab w:val="right" w:pos="9223" w:leader="dot"/>
            </w:tabs>
            <w:rPr/>
          </w:pPr>
          <w:r>
            <w:rPr/>
            <w:t>14. SOCCORSO ISTRUTTORIO</w:t>
            <w:tab/>
            <w:t>24</w:t>
          </w:r>
        </w:p>
        <w:p>
          <w:pPr>
            <w:pStyle w:val="TOC2"/>
            <w:tabs>
              <w:tab w:val="clear" w:pos="440"/>
              <w:tab w:val="clear" w:pos="9629"/>
              <w:tab w:val="right" w:pos="9223" w:leader="dot"/>
            </w:tabs>
            <w:rPr/>
          </w:pPr>
          <w:r>
            <w:rPr/>
            <w:t>15. DOMANDA DI PARTECIPAZIONE E DOCUMENTAZIONE AMMINISTRATIVA</w:t>
            <w:tab/>
            <w:t>26</w:t>
          </w:r>
        </w:p>
        <w:p>
          <w:pPr>
            <w:pStyle w:val="TOC3"/>
            <w:tabs>
              <w:tab w:val="clear" w:pos="1100"/>
              <w:tab w:val="clear" w:pos="9629"/>
              <w:tab w:val="right" w:pos="9223" w:leader="dot"/>
            </w:tabs>
            <w:rPr/>
          </w:pPr>
          <w:r>
            <w:rPr/>
            <w:t>15.1. DOMANDA DI PARTECIPAZIONE ED EVENTUALE PROCURA</w:t>
            <w:tab/>
            <w:t>26</w:t>
          </w:r>
        </w:p>
        <w:p>
          <w:pPr>
            <w:pStyle w:val="TOC3"/>
            <w:tabs>
              <w:tab w:val="clear" w:pos="1100"/>
              <w:tab w:val="clear" w:pos="9629"/>
              <w:tab w:val="right" w:pos="9223" w:leader="dot"/>
            </w:tabs>
            <w:rPr/>
          </w:pPr>
          <w:r>
            <w:rPr/>
            <w:t>15.2. DICHIARAZIONI DA RENDERE A CURA DEGLI OPERATORI ECONOMICI AMMESSI AL CONCORDATO PREVENTIVO CON CONTINUITÀ AZIENDALE DI CUI ALL’ARTICOLO 372 del DECRETO LEGISLATIVO 12 GENNAIO 2019, n. 14</w:t>
            <w:tab/>
            <w:t>28</w:t>
          </w:r>
        </w:p>
        <w:p>
          <w:pPr>
            <w:pStyle w:val="TOC3"/>
            <w:tabs>
              <w:tab w:val="clear" w:pos="1100"/>
              <w:tab w:val="clear" w:pos="9629"/>
              <w:tab w:val="right" w:pos="9223" w:leader="dot"/>
            </w:tabs>
            <w:rPr/>
          </w:pPr>
          <w:r>
            <w:rPr/>
            <w:t>15.3. DICHIARAZIONI DA RENDERE NEL DGUE</w:t>
            <w:tab/>
            <w:t>28</w:t>
          </w:r>
        </w:p>
        <w:p>
          <w:pPr>
            <w:pStyle w:val="TOC3"/>
            <w:tabs>
              <w:tab w:val="clear" w:pos="1100"/>
              <w:tab w:val="clear" w:pos="9629"/>
              <w:tab w:val="right" w:pos="9223" w:leader="dot"/>
            </w:tabs>
            <w:rPr/>
          </w:pPr>
          <w:r>
            <w:rPr/>
            <w:t>15.4. DOCUMENTAZIONE IN CASO DI AVVALIMENTO</w:t>
            <w:tab/>
            <w:t>29</w:t>
          </w:r>
        </w:p>
        <w:p>
          <w:pPr>
            <w:pStyle w:val="TOC3"/>
            <w:tabs>
              <w:tab w:val="clear" w:pos="1100"/>
              <w:tab w:val="clear" w:pos="9629"/>
              <w:tab w:val="right" w:pos="9223" w:leader="dot"/>
            </w:tabs>
            <w:rPr/>
          </w:pPr>
          <w:r>
            <w:rPr/>
            <w:t>15.5. DOCUMENTAZIONE ULTERIORE PER I SOGGETTI ASSOCIATI</w:t>
            <w:tab/>
            <w:t>29</w:t>
          </w:r>
        </w:p>
        <w:p>
          <w:pPr>
            <w:pStyle w:val="TOC2"/>
            <w:tabs>
              <w:tab w:val="clear" w:pos="440"/>
              <w:tab w:val="clear" w:pos="9629"/>
              <w:tab w:val="right" w:pos="9223" w:leader="dot"/>
            </w:tabs>
            <w:rPr/>
          </w:pPr>
          <w:r>
            <w:rPr/>
            <w:t>16.  OFFERTA TECNICA</w:t>
            <w:tab/>
            <w:t>31</w:t>
          </w:r>
        </w:p>
        <w:p>
          <w:pPr>
            <w:pStyle w:val="TOC2"/>
            <w:tabs>
              <w:tab w:val="clear" w:pos="440"/>
              <w:tab w:val="clear" w:pos="9629"/>
              <w:tab w:val="right" w:pos="9223" w:leader="dot"/>
            </w:tabs>
            <w:rPr/>
          </w:pPr>
          <w:r>
            <w:rPr/>
            <w:t>17. OFFERTA ECONOMICA</w:t>
            <w:tab/>
            <w:t>33</w:t>
          </w:r>
        </w:p>
        <w:p>
          <w:pPr>
            <w:pStyle w:val="TOC2"/>
            <w:tabs>
              <w:tab w:val="clear" w:pos="440"/>
              <w:tab w:val="clear" w:pos="9629"/>
              <w:tab w:val="right" w:pos="9223" w:leader="dot"/>
            </w:tabs>
            <w:rPr/>
          </w:pPr>
          <w:r>
            <w:rPr/>
            <w:t>18. CRITERIO DI AGGIUDICAZIONE</w:t>
            <w:tab/>
            <w:t>33</w:t>
          </w:r>
        </w:p>
        <w:p>
          <w:pPr>
            <w:pStyle w:val="TOC3"/>
            <w:tabs>
              <w:tab w:val="clear" w:pos="1100"/>
              <w:tab w:val="clear" w:pos="9629"/>
              <w:tab w:val="right" w:pos="9223" w:leader="dot"/>
            </w:tabs>
            <w:rPr/>
          </w:pPr>
          <w:r>
            <w:rPr/>
            <w:t xml:space="preserve">18.1. </w:t>
          </w:r>
          <w:r>
            <w:rPr>
              <w:iCs/>
            </w:rPr>
            <w:t>CRITERI DI VALUTAZIONE DELL’OFFERTA TECNICA</w:t>
          </w:r>
          <w:r>
            <w:rPr/>
            <w:tab/>
            <w:t>33</w:t>
          </w:r>
        </w:p>
        <w:p>
          <w:pPr>
            <w:pStyle w:val="TOC3"/>
            <w:tabs>
              <w:tab w:val="clear" w:pos="1100"/>
              <w:tab w:val="clear" w:pos="9629"/>
              <w:tab w:val="right" w:pos="9223" w:leader="dot"/>
            </w:tabs>
            <w:rPr/>
          </w:pPr>
          <w:r>
            <w:rPr/>
            <w:t xml:space="preserve">18.2. </w:t>
          </w:r>
          <w:r>
            <w:rPr>
              <w:iCs/>
            </w:rPr>
            <w:t>METODO DI ATTRIBUZIONE DEL COEFFICIENTE PER IL CALCOLO DEL PUNTEGGIO DELL’OFFERTA TECNICA</w:t>
          </w:r>
          <w:r>
            <w:rPr/>
            <w:tab/>
            <w:t>35</w:t>
          </w:r>
        </w:p>
        <w:p>
          <w:pPr>
            <w:pStyle w:val="TOC3"/>
            <w:tabs>
              <w:tab w:val="clear" w:pos="1100"/>
              <w:tab w:val="clear" w:pos="9629"/>
              <w:tab w:val="right" w:pos="9223" w:leader="dot"/>
            </w:tabs>
            <w:rPr/>
          </w:pPr>
          <w:r>
            <w:rPr/>
            <w:t xml:space="preserve">18.3. </w:t>
          </w:r>
          <w:r>
            <w:rPr>
              <w:iCs/>
            </w:rPr>
            <w:t>METODO DI ATTRIBUZIONE DEL COEFFICIENTE PER IL CALCOLO DEL PUNTEGGIO DELL’OFFERTA ECONOMICA</w:t>
          </w:r>
          <w:r>
            <w:rPr/>
            <w:tab/>
            <w:t>35</w:t>
          </w:r>
        </w:p>
        <w:p>
          <w:pPr>
            <w:pStyle w:val="TOC3"/>
            <w:tabs>
              <w:tab w:val="clear" w:pos="1100"/>
              <w:tab w:val="clear" w:pos="9629"/>
              <w:tab w:val="right" w:pos="9223" w:leader="dot"/>
            </w:tabs>
            <w:rPr/>
          </w:pPr>
          <w:r>
            <w:rPr/>
            <w:t xml:space="preserve">18.4. </w:t>
          </w:r>
          <w:r>
            <w:rPr>
              <w:iCs/>
            </w:rPr>
            <w:t>METODO DI CALCOLO DEI PUNTEGGI</w:t>
          </w:r>
          <w:r>
            <w:rPr/>
            <w:tab/>
            <w:t>37</w:t>
          </w:r>
        </w:p>
        <w:p>
          <w:pPr>
            <w:pStyle w:val="TOC2"/>
            <w:tabs>
              <w:tab w:val="clear" w:pos="440"/>
              <w:tab w:val="clear" w:pos="9629"/>
              <w:tab w:val="right" w:pos="9223" w:leader="dot"/>
            </w:tabs>
            <w:rPr/>
          </w:pPr>
          <w:r>
            <w:rPr/>
            <w:t>19. COMMISSIONE GIUDICATRICE</w:t>
            <w:tab/>
            <w:t>37</w:t>
          </w:r>
        </w:p>
        <w:p>
          <w:pPr>
            <w:pStyle w:val="TOC2"/>
            <w:tabs>
              <w:tab w:val="clear" w:pos="440"/>
              <w:tab w:val="clear" w:pos="9629"/>
              <w:tab w:val="right" w:pos="9223" w:leader="dot"/>
            </w:tabs>
            <w:rPr/>
          </w:pPr>
          <w:r>
            <w:rPr/>
            <w:t>20. SVOLGIMENTO DELLE OPERAZIONI DI GARA</w:t>
            <w:tab/>
            <w:t>38</w:t>
          </w:r>
        </w:p>
        <w:p>
          <w:pPr>
            <w:pStyle w:val="TOC2"/>
            <w:tabs>
              <w:tab w:val="clear" w:pos="440"/>
              <w:tab w:val="clear" w:pos="9629"/>
              <w:tab w:val="right" w:pos="9223" w:leader="dot"/>
            </w:tabs>
            <w:rPr/>
          </w:pPr>
          <w:r>
            <w:rPr/>
            <w:t>21. VERIFICA DOCUMENTAZIONE AMMINISTRATIVA</w:t>
            <w:tab/>
            <w:t>38</w:t>
          </w:r>
        </w:p>
        <w:p>
          <w:pPr>
            <w:pStyle w:val="TOC2"/>
            <w:tabs>
              <w:tab w:val="clear" w:pos="440"/>
              <w:tab w:val="clear" w:pos="9629"/>
              <w:tab w:val="right" w:pos="9223" w:leader="dot"/>
            </w:tabs>
            <w:rPr/>
          </w:pPr>
          <w:r>
            <w:rPr/>
            <w:t>22. VALUTAZIONE DELLE OFFERTE TECNICHE ED ECONOMICHE.</w:t>
            <w:tab/>
            <w:t>38</w:t>
          </w:r>
        </w:p>
        <w:p>
          <w:pPr>
            <w:pStyle w:val="TOC2"/>
            <w:tabs>
              <w:tab w:val="clear" w:pos="440"/>
              <w:tab w:val="clear" w:pos="9629"/>
              <w:tab w:val="right" w:pos="9223" w:leader="dot"/>
            </w:tabs>
            <w:rPr/>
          </w:pPr>
          <w:r>
            <w:rPr/>
            <w:t>23. VERIFICA DI ANOMALIA DELLE OFFERTE</w:t>
            <w:tab/>
            <w:t>39</w:t>
          </w:r>
        </w:p>
        <w:p>
          <w:pPr>
            <w:pStyle w:val="TOC2"/>
            <w:tabs>
              <w:tab w:val="clear" w:pos="440"/>
              <w:tab w:val="clear" w:pos="9629"/>
              <w:tab w:val="right" w:pos="9223" w:leader="dot"/>
            </w:tabs>
            <w:rPr/>
          </w:pPr>
          <w:r>
            <w:rPr/>
            <w:t>24. AGGIUDICAZIONE DELL’APPALTO E STIPULA DEL CONTRATTO</w:t>
            <w:tab/>
            <w:t>39</w:t>
          </w:r>
        </w:p>
        <w:p>
          <w:pPr>
            <w:pStyle w:val="TOC2"/>
            <w:tabs>
              <w:tab w:val="clear" w:pos="440"/>
              <w:tab w:val="clear" w:pos="9629"/>
              <w:tab w:val="right" w:pos="9223" w:leader="dot"/>
            </w:tabs>
            <w:rPr/>
          </w:pPr>
          <w:r>
            <w:rPr/>
            <w:t>25. OBBLIGHI RELATIVI ALLA TRACCIABILITÀ DEI FLUSSI FINANZIARI</w:t>
            <w:tab/>
            <w:t>41</w:t>
          </w:r>
        </w:p>
        <w:p>
          <w:pPr>
            <w:pStyle w:val="TOC2"/>
            <w:tabs>
              <w:tab w:val="clear" w:pos="440"/>
              <w:tab w:val="clear" w:pos="9629"/>
              <w:tab w:val="right" w:pos="9223" w:leader="dot"/>
            </w:tabs>
            <w:rPr/>
          </w:pPr>
          <w:r>
            <w:rPr/>
            <w:t>26. CODICE DI COMPORTAMENTO</w:t>
            <w:tab/>
            <w:t>42</w:t>
          </w:r>
        </w:p>
        <w:p>
          <w:pPr>
            <w:pStyle w:val="TOC2"/>
            <w:tabs>
              <w:tab w:val="clear" w:pos="440"/>
              <w:tab w:val="clear" w:pos="9629"/>
              <w:tab w:val="right" w:pos="9223" w:leader="dot"/>
            </w:tabs>
            <w:rPr/>
          </w:pPr>
          <w:r>
            <w:rPr/>
            <w:t>27. ACCESSO AGLI ATTI</w:t>
            <w:tab/>
            <w:t>42</w:t>
          </w:r>
        </w:p>
        <w:p>
          <w:pPr>
            <w:pStyle w:val="TOC2"/>
            <w:tabs>
              <w:tab w:val="clear" w:pos="440"/>
              <w:tab w:val="clear" w:pos="9629"/>
              <w:tab w:val="right" w:pos="9223" w:leader="dot"/>
            </w:tabs>
            <w:rPr/>
          </w:pPr>
          <w:r>
            <w:rPr/>
            <w:t>28. DEFINIZIONE DELLE CONTROVERSIE</w:t>
            <w:tab/>
            <w:t>42</w:t>
          </w:r>
        </w:p>
        <w:p>
          <w:pPr>
            <w:pStyle w:val="TOC2"/>
            <w:tabs>
              <w:tab w:val="clear" w:pos="440"/>
              <w:tab w:val="clear" w:pos="9629"/>
              <w:tab w:val="right" w:pos="9223" w:leader="dot"/>
            </w:tabs>
            <w:rPr/>
          </w:pPr>
          <w:r>
            <w:rPr/>
            <w:t>29. TRATTAMENTO DEI DATI PERSONALI</w:t>
            <w:tab/>
            <w:t>42</w:t>
          </w:r>
          <w:r>
            <w:rPr/>
            <w:fldChar w:fldCharType="end"/>
          </w:r>
        </w:p>
      </w:sdtContent>
    </w:sdt>
    <w:p>
      <w:pPr>
        <w:pStyle w:val="TOC2"/>
        <w:rPr>
          <w:rFonts w:ascii="Aptos" w:hAnsi="Aptos" w:eastAsia="" w:cs="" w:asciiTheme="minorHAnsi" w:cstheme="minorBidi" w:eastAsiaTheme="minorEastAsia" w:hAnsiTheme="minorHAnsi"/>
          <w:sz w:val="22"/>
          <w:szCs w:val="22"/>
          <w:lang w:eastAsia="it-IT"/>
        </w:rPr>
      </w:pPr>
      <w:r>
        <w:rPr>
          <w:rFonts w:eastAsia="" w:cs="" w:cstheme="minorBidi" w:eastAsiaTheme="minorEastAsia" w:ascii="Aptos" w:hAnsi="Aptos"/>
          <w:sz w:val="22"/>
          <w:szCs w:val="22"/>
          <w:lang w:eastAsia="it-IT"/>
        </w:rPr>
      </w:r>
    </w:p>
    <w:p>
      <w:pPr>
        <w:pStyle w:val="TOC1"/>
        <w:rPr/>
      </w:pPr>
      <w:r>
        <w:rPr/>
      </w:r>
    </w:p>
    <w:p>
      <w:pPr>
        <w:pStyle w:val="TOC2"/>
        <w:rPr>
          <w:lang w:eastAsia="it-IT"/>
        </w:rPr>
      </w:pPr>
      <w:r>
        <w:rPr>
          <w:lang w:eastAsia="it-IT"/>
        </w:rPr>
      </w:r>
    </w:p>
    <w:p>
      <w:pPr>
        <w:pStyle w:val="TOC2"/>
        <w:rPr>
          <w:lang w:eastAsia="it-IT"/>
        </w:rPr>
      </w:pPr>
      <w:r>
        <w:rPr>
          <w:lang w:eastAsia="it-IT"/>
        </w:rPr>
      </w:r>
    </w:p>
    <w:p>
      <w:pPr>
        <w:pStyle w:val="TOC2"/>
        <w:rPr>
          <w:lang w:eastAsia="it-IT"/>
        </w:rPr>
      </w:pPr>
      <w:r>
        <w:rPr>
          <w:lang w:eastAsia="it-IT"/>
        </w:rPr>
      </w:r>
    </w:p>
    <w:p>
      <w:pPr>
        <w:pStyle w:val="TOC2"/>
        <w:rPr>
          <w:lang w:eastAsia="it-IT"/>
        </w:rPr>
      </w:pPr>
      <w:r>
        <w:rPr>
          <w:lang w:eastAsia="it-IT"/>
        </w:rPr>
      </w:r>
    </w:p>
    <w:p>
      <w:pPr>
        <w:pStyle w:val="TOC2"/>
        <w:rPr>
          <w:lang w:eastAsia="it-IT"/>
        </w:rPr>
      </w:pPr>
      <w:r>
        <w:rPr>
          <w:lang w:eastAsia="it-IT"/>
        </w:rPr>
      </w:r>
    </w:p>
    <w:p>
      <w:pPr>
        <w:pStyle w:val="Normal"/>
        <w:widowControl w:val="false"/>
        <w:spacing w:before="60" w:after="60"/>
        <w:rPr>
          <w:rFonts w:ascii="Titillium" w:hAnsi="Titillium" w:cs="Calibri"/>
          <w:szCs w:val="24"/>
          <w:lang w:eastAsia="it-IT"/>
        </w:rPr>
      </w:pPr>
      <w:r>
        <w:rPr>
          <w:rFonts w:cs="Calibri" w:ascii="Titillium" w:hAnsi="Titillium"/>
          <w:szCs w:val="24"/>
          <w:lang w:eastAsia="it-IT"/>
        </w:rPr>
      </w:r>
      <w:r>
        <w:br w:type="page"/>
      </w:r>
    </w:p>
    <w:p>
      <w:pPr>
        <w:pStyle w:val="Heading2"/>
        <w:spacing w:before="0" w:after="80"/>
        <w:rPr/>
      </w:pPr>
      <w:bookmarkStart w:id="0" w:name="__RefHeading___Toc11664_2735037374"/>
      <w:bookmarkEnd w:id="0"/>
      <w:r>
        <w:rPr/>
        <w:t>RICHIAMATE</w:t>
      </w:r>
    </w:p>
    <w:p>
      <w:pPr>
        <w:pStyle w:val="CommentText"/>
        <w:numPr>
          <w:ilvl w:val="0"/>
          <w:numId w:val="30"/>
        </w:numPr>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La delibera n.115 del 13.06.2011 di unificazione di servizi amministrativi in ambito metropolitano con la quale è stato istituito il Servizio Acquisti Metropolitano;</w:t>
      </w:r>
    </w:p>
    <w:p>
      <w:pPr>
        <w:pStyle w:val="CommentText"/>
        <w:numPr>
          <w:ilvl w:val="0"/>
          <w:numId w:val="30"/>
        </w:numPr>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Le delibere n. 268 del 29.06.2022 dell’Azienda USL di Bologna, n.204 del 29.06.2022 dell’IRCCS Azienda Ospedaliero-Universitaria di Bologna Policlinico di Sant’Orsola, n.193 del 30.06.2022 dell’IRCCS – Istituto Ortopedico Rizzoli, n.149 del 29.06.2022 dell’Azienda USL di Imola, n.129 del 29.06.2022 dell’Azienda Ospedaliero Universitaria di Ferrara, n.179 del 01.07.2022 dell’Azienda USL di Ferrara con le quali è stato costituito il Servizio Acquisti di Area Vasta Emilia Centrale (SAAV) ed è stata contestualmente approvata la convenzione attuativa per lo svolgimento delle relative funzioni unificate con decorrenza dal 1 luglio 2022;</w:t>
      </w:r>
    </w:p>
    <w:p>
      <w:pPr>
        <w:pStyle w:val="CommentText"/>
        <w:numPr>
          <w:ilvl w:val="0"/>
          <w:numId w:val="30"/>
        </w:numPr>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che con le sopra citate delibere sono state altresì individuate le funzioni delegate al SAAV e quelle di competenza esclusiva delle Aziende deleganti;</w:t>
      </w:r>
    </w:p>
    <w:p>
      <w:pPr>
        <w:pStyle w:val="CommentText"/>
        <w:numPr>
          <w:ilvl w:val="0"/>
          <w:numId w:val="30"/>
        </w:numPr>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la delibera n.404 del 08.11.2022 di conferimento dell'incarico dirigenziale di Direttore del SAAV;</w:t>
      </w:r>
    </w:p>
    <w:p>
      <w:pPr>
        <w:pStyle w:val="CommentText"/>
        <w:numPr>
          <w:ilvl w:val="0"/>
          <w:numId w:val="30"/>
        </w:numPr>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la delibera di recepimento della convenzione attuativa n.62 del 12.02.2024 delle funzioni unificate del Servizio Acquisti di Area Vasta dell’Area Vasta Emilia Centrale;</w:t>
      </w:r>
    </w:p>
    <w:p>
      <w:pPr>
        <w:pStyle w:val="Heading2"/>
        <w:spacing w:before="0" w:after="80"/>
        <w:rPr/>
      </w:pPr>
      <w:bookmarkStart w:id="1" w:name="__RefHeading___Toc11666_2735037374"/>
      <w:bookmarkStart w:id="2" w:name="_Toc207275717"/>
      <w:bookmarkStart w:id="3" w:name="_Toc482102001"/>
      <w:bookmarkStart w:id="4" w:name="_Toc482102096"/>
      <w:bookmarkStart w:id="5" w:name="_Toc493500867"/>
      <w:bookmarkStart w:id="6" w:name="_Toc494358965"/>
      <w:bookmarkStart w:id="7" w:name="_Toc494359014"/>
      <w:bookmarkStart w:id="8" w:name="_Toc497484932"/>
      <w:bookmarkStart w:id="9" w:name="_Toc497728130"/>
      <w:bookmarkStart w:id="10" w:name="_Toc497831524"/>
      <w:bookmarkStart w:id="11" w:name="_Toc498419716"/>
      <w:bookmarkStart w:id="12" w:name="_Toc493500868"/>
      <w:bookmarkStart w:id="13" w:name="_Toc494358966"/>
      <w:bookmarkStart w:id="14" w:name="_Toc494359015"/>
      <w:bookmarkStart w:id="15" w:name="_Toc497484933"/>
      <w:bookmarkStart w:id="16" w:name="_Toc497728131"/>
      <w:bookmarkStart w:id="17" w:name="_Toc497831525"/>
      <w:bookmarkStart w:id="18" w:name="_Toc498419717"/>
      <w:bookmarkStart w:id="19" w:name="_Toc374025745"/>
      <w:bookmarkStart w:id="20" w:name="_Toc374025834"/>
      <w:bookmarkStart w:id="21" w:name="_Toc374025928"/>
      <w:bookmarkStart w:id="22" w:name="_Toc374025981"/>
      <w:bookmarkStart w:id="23" w:name="_Toc374026426"/>
      <w:bookmarkStart w:id="24" w:name="_Toc482101429"/>
      <w:bookmarkStart w:id="25" w:name="_Toc482101544"/>
      <w:bookmarkStart w:id="26" w:name="_Toc482101719"/>
      <w:bookmarkStart w:id="27" w:name="_Toc482101812"/>
      <w:bookmarkStart w:id="28" w:name="_Toc482101906"/>
      <w:bookmarkEnd w:id="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t>PREMESSE</w:t>
      </w:r>
      <w:bookmarkEnd w:id="2"/>
    </w:p>
    <w:p>
      <w:pPr>
        <w:pStyle w:val="Normal"/>
        <w:spacing w:before="60" w:after="60"/>
        <w:rPr>
          <w:bCs/>
          <w:i/>
        </w:rPr>
      </w:pPr>
      <w:r>
        <w:rPr>
          <w:rFonts w:cs="Calibri" w:ascii="Titillium" w:hAnsi="Titillium"/>
          <w:bCs/>
          <w:iCs/>
          <w:sz w:val="18"/>
          <w:szCs w:val="18"/>
        </w:rPr>
        <w:t xml:space="preserve">Con atto n. </w:t>
      </w:r>
      <w:r>
        <w:rPr>
          <w:rFonts w:cs="Calibri" w:ascii="Titillium" w:hAnsi="Titillium"/>
          <w:bCs/>
          <w:iCs/>
          <w:sz w:val="18"/>
          <w:szCs w:val="18"/>
          <w:shd w:fill="FFFFFF" w:val="clear"/>
        </w:rPr>
        <w:t>2307 del 18/09/2026</w:t>
      </w:r>
      <w:r>
        <w:rPr>
          <w:rFonts w:cs="Calibri" w:ascii="Titillium" w:hAnsi="Titillium"/>
          <w:bCs/>
          <w:iCs/>
          <w:sz w:val="18"/>
          <w:szCs w:val="18"/>
          <w:shd w:fill="FFFFFF" w:val="clear"/>
        </w:rPr>
        <w:t xml:space="preserve">, </w:t>
      </w:r>
      <w:r>
        <w:rPr>
          <w:rFonts w:cs="Calibri" w:ascii="Titillium" w:hAnsi="Titillium"/>
          <w:bCs/>
          <w:iCs/>
          <w:sz w:val="18"/>
          <w:szCs w:val="18"/>
        </w:rPr>
        <w:t>questa Amministrazione (codice AUSA 0000202387) ha deciso di affid</w:t>
      </w:r>
      <w:r>
        <w:rPr>
          <w:rFonts w:cs="Calibri" w:ascii="Titillium" w:hAnsi="Titillium"/>
          <w:bCs/>
          <w:iCs/>
          <w:sz w:val="18"/>
          <w:szCs w:val="18"/>
          <w:shd w:fill="FFFFFF" w:val="clear"/>
        </w:rPr>
        <w:t>are i</w:t>
      </w:r>
      <w:r>
        <w:rPr>
          <w:rFonts w:eastAsia="Times New Roman" w:cs="Calibri" w:ascii="Titillium" w:hAnsi="Titillium"/>
          <w:bCs/>
          <w:iCs/>
          <w:color w:val="000000"/>
          <w:kern w:val="0"/>
          <w:sz w:val="18"/>
          <w:szCs w:val="18"/>
          <w:shd w:fill="FFFFFF" w:val="clear"/>
          <w:lang w:val="it-IT" w:eastAsia="en-US" w:bidi="ar-SA"/>
          <w14:ligatures w14:val="none"/>
        </w:rPr>
        <w:t>l servizio di trasporto persone con natanti a supporto dell’attività istituzionale di sorveglianza veterinaria delle zone di produzione dei mollu</w:t>
      </w:r>
      <w:r>
        <w:rPr>
          <w:rFonts w:eastAsia="Times New Roman" w:cs="Calibri" w:ascii="Titillium" w:hAnsi="Titillium"/>
          <w:bCs/>
          <w:iCs/>
          <w:color w:val="auto"/>
          <w:kern w:val="0"/>
          <w:sz w:val="18"/>
          <w:szCs w:val="18"/>
          <w:lang w:val="it-IT" w:eastAsia="en-US" w:bidi="ar-SA"/>
          <w14:ligatures w14:val="none"/>
        </w:rPr>
        <w:t>schi bivalvi per l’Azienda USL di Ferrara.</w:t>
      </w:r>
    </w:p>
    <w:p>
      <w:pPr>
        <w:pStyle w:val="CommentText"/>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La presente procedura è interamente svolta tramite la PAD accessibile all’indirizzo http://intercent.regione.emilia-romagna.it.</w:t>
      </w:r>
    </w:p>
    <w:p>
      <w:pPr>
        <w:pStyle w:val="CommentText"/>
        <w:spacing w:before="60" w:after="60"/>
        <w:rPr>
          <w:rFonts w:ascii="Titillium" w:hAnsi="Titillium" w:cs="Calibri"/>
          <w:bCs/>
          <w:iCs/>
          <w:sz w:val="18"/>
          <w:szCs w:val="18"/>
          <w:lang w:val="it-IT" w:eastAsia="it-IT"/>
        </w:rPr>
      </w:pPr>
      <w:r>
        <w:rPr>
          <w:rFonts w:cs="Calibri" w:ascii="Titillium" w:hAnsi="Titillium"/>
          <w:bCs/>
          <w:iCs/>
          <w:sz w:val="18"/>
          <w:szCs w:val="18"/>
          <w:lang w:val="it-IT" w:eastAsia="it-IT"/>
        </w:rPr>
        <w:t>L’affidamento avviene mediante procedura aperta con applicazione del criterio dell’offerta</w:t>
      </w:r>
      <w:r>
        <w:rPr>
          <w:rFonts w:cs="Calibri" w:ascii="Titillium" w:hAnsi="Titillium"/>
          <w:bCs/>
          <w:iCs/>
          <w:sz w:val="18"/>
          <w:szCs w:val="18"/>
          <w:shd w:fill="FFFFFF" w:val="clear"/>
          <w:lang w:val="it-IT" w:eastAsia="it-IT"/>
        </w:rPr>
        <w:t xml:space="preserve"> economicamente più vantaggiosa individuata sulla base del miglior rapporto qualità prezzo.</w:t>
      </w:r>
    </w:p>
    <w:p>
      <w:pPr>
        <w:pStyle w:val="CommentText"/>
        <w:spacing w:before="60" w:after="60"/>
        <w:rPr>
          <w:i/>
        </w:rPr>
      </w:pPr>
      <w:r>
        <w:rPr>
          <w:rFonts w:cs="Calibri" w:ascii="Titillium" w:hAnsi="Titillium"/>
          <w:bCs/>
          <w:iCs/>
          <w:sz w:val="18"/>
          <w:szCs w:val="18"/>
          <w:lang w:val="it-IT" w:eastAsia="it-IT"/>
        </w:rPr>
        <w:t xml:space="preserve">La durata del procedimento prevista è pari </w:t>
      </w:r>
      <w:r>
        <w:rPr>
          <w:rFonts w:cs="Calibri" w:ascii="Titillium" w:hAnsi="Titillium"/>
          <w:bCs/>
          <w:iCs/>
          <w:sz w:val="18"/>
          <w:szCs w:val="18"/>
          <w:shd w:fill="FFFFFF" w:val="clear"/>
          <w:lang w:val="it-IT" w:eastAsia="it-IT"/>
        </w:rPr>
        <w:t>a 9 mesi d</w:t>
      </w:r>
      <w:r>
        <w:rPr>
          <w:rFonts w:cs="Calibri" w:ascii="Titillium" w:hAnsi="Titillium"/>
          <w:bCs/>
          <w:iCs/>
          <w:sz w:val="18"/>
          <w:szCs w:val="18"/>
          <w:lang w:val="it-IT" w:eastAsia="it-IT"/>
        </w:rPr>
        <w:t>alla pubblicazione del bando.</w:t>
      </w:r>
      <w:r>
        <w:rPr>
          <w:rFonts w:cs="Calibri" w:ascii="Titillium" w:hAnsi="Titillium"/>
          <w:bCs/>
          <w:i/>
          <w:sz w:val="18"/>
          <w:szCs w:val="18"/>
          <w:lang w:val="it-IT" w:eastAsia="it-IT"/>
        </w:rPr>
        <w:t xml:space="preserve"> </w:t>
      </w:r>
    </w:p>
    <w:p>
      <w:pPr>
        <w:pStyle w:val="Normal"/>
        <w:tabs>
          <w:tab w:val="clear" w:pos="708"/>
          <w:tab w:val="left" w:pos="360" w:leader="none"/>
        </w:tabs>
        <w:spacing w:before="60" w:after="60"/>
        <w:rPr>
          <w:i/>
          <w:iCs/>
        </w:rPr>
      </w:pPr>
      <w:r>
        <w:rPr>
          <w:rFonts w:cs="Calibri" w:ascii="Titillium" w:hAnsi="Titillium"/>
          <w:sz w:val="18"/>
          <w:szCs w:val="18"/>
        </w:rPr>
        <w:t>Il luogo di svolgimento del servizio è FERRARA</w:t>
      </w:r>
      <w:r>
        <w:rPr>
          <w:rFonts w:cs="Calibri" w:ascii="Titillium" w:hAnsi="Titillium"/>
          <w:sz w:val="18"/>
          <w:szCs w:val="18"/>
          <w:shd w:fill="FFFFFF" w:val="clear"/>
        </w:rPr>
        <w:t xml:space="preserve">... </w:t>
      </w:r>
      <w:r>
        <w:rPr>
          <w:rFonts w:cs="Calibri" w:ascii="Titillium" w:hAnsi="Titillium"/>
          <w:i/>
          <w:iCs/>
          <w:sz w:val="18"/>
          <w:szCs w:val="18"/>
          <w:shd w:fill="FFFFFF" w:val="clear"/>
        </w:rPr>
        <w:t>codice NUTS ... ITH56</w:t>
      </w:r>
    </w:p>
    <w:p>
      <w:pPr>
        <w:pStyle w:val="CommentText"/>
        <w:widowControl/>
        <w:suppressAutoHyphens w:val="true"/>
        <w:bidi w:val="0"/>
        <w:spacing w:lineRule="auto" w:line="276" w:before="60" w:after="60"/>
        <w:jc w:val="both"/>
        <w:rPr>
          <w:rFonts w:ascii="Titillium" w:hAnsi="Titillium" w:eastAsia="Times New Roman" w:cs="Calibri"/>
          <w:bCs/>
          <w:iCs/>
          <w:color w:val="auto"/>
          <w:kern w:val="0"/>
          <w:sz w:val="18"/>
          <w:szCs w:val="18"/>
          <w:lang w:val="it-IT" w:eastAsia="it-IT" w:bidi="ar-SA"/>
          <w14:ligatures w14:val="none"/>
        </w:rPr>
      </w:pPr>
      <w:r>
        <w:rPr>
          <w:rFonts w:eastAsia="Times New Roman" w:cs="Calibri" w:ascii="Titillium" w:hAnsi="Titillium"/>
          <w:bCs/>
          <w:iCs/>
          <w:color w:val="auto"/>
          <w:kern w:val="0"/>
          <w:sz w:val="18"/>
          <w:szCs w:val="18"/>
          <w:lang w:val="it-IT" w:eastAsia="it-IT" w:bidi="ar-SA"/>
          <w14:ligatures w14:val="none"/>
        </w:rPr>
        <w:t>RUP: Dr.ssa Burattini Rita - Direttore Servizio Comune Economato e Gestione Contratti</w:t>
      </w:r>
    </w:p>
    <w:p>
      <w:pPr>
        <w:pStyle w:val="CommentText"/>
        <w:widowControl/>
        <w:suppressAutoHyphens w:val="true"/>
        <w:bidi w:val="0"/>
        <w:spacing w:lineRule="auto" w:line="276" w:before="60" w:after="60"/>
        <w:jc w:val="both"/>
        <w:rPr>
          <w:rFonts w:ascii="Titillium" w:hAnsi="Titillium" w:eastAsia="Times New Roman" w:cs="Calibri"/>
          <w:bCs/>
          <w:iCs/>
          <w:color w:val="auto"/>
          <w:kern w:val="0"/>
          <w:sz w:val="18"/>
          <w:szCs w:val="18"/>
          <w:lang w:val="it-IT" w:eastAsia="it-IT" w:bidi="ar-SA"/>
          <w14:ligatures w14:val="none"/>
        </w:rPr>
      </w:pPr>
      <w:r>
        <w:rPr>
          <w:rFonts w:eastAsia="Times New Roman" w:cs="Calibri" w:ascii="Titillium" w:hAnsi="Titillium"/>
          <w:bCs/>
          <w:iCs/>
          <w:color w:val="auto"/>
          <w:kern w:val="0"/>
          <w:sz w:val="18"/>
          <w:szCs w:val="18"/>
          <w:lang w:val="it-IT" w:eastAsia="it-IT" w:bidi="ar-SA"/>
          <w14:ligatures w14:val="none"/>
        </w:rPr>
        <w:t>RP esecuzione</w:t>
      </w:r>
      <w:r>
        <w:rPr>
          <w:rFonts w:eastAsia="Times New Roman" w:cs="Calibri" w:ascii="Titillium" w:hAnsi="Titillium"/>
          <w:bCs/>
          <w:iCs/>
          <w:color w:val="auto"/>
          <w:kern w:val="0"/>
          <w:sz w:val="18"/>
          <w:szCs w:val="18"/>
          <w:lang w:val="it-IT" w:eastAsia="it-IT" w:bidi="ar-SA"/>
          <w14:ligatures w14:val="none"/>
        </w:rPr>
        <w:t>: Fabbri Anna - Servizio Comune Economato e Gestione Contratti</w:t>
      </w:r>
    </w:p>
    <w:p>
      <w:pPr>
        <w:pStyle w:val="CommentText"/>
        <w:widowControl/>
        <w:suppressAutoHyphens w:val="true"/>
        <w:bidi w:val="0"/>
        <w:spacing w:lineRule="auto" w:line="276" w:before="60" w:after="60"/>
        <w:jc w:val="both"/>
        <w:rPr>
          <w:rFonts w:ascii="Titillium" w:hAnsi="Titillium" w:eastAsia="Times New Roman" w:cs="Calibri"/>
          <w:bCs/>
          <w:iCs/>
          <w:color w:val="auto"/>
          <w:kern w:val="0"/>
          <w:sz w:val="18"/>
          <w:szCs w:val="18"/>
          <w:lang w:val="it-IT" w:eastAsia="it-IT" w:bidi="ar-SA"/>
          <w14:ligatures w14:val="none"/>
        </w:rPr>
      </w:pPr>
      <w:r>
        <w:rPr>
          <w:rFonts w:eastAsia="Times New Roman" w:cs="Calibri" w:ascii="Titillium" w:hAnsi="Titillium"/>
          <w:bCs/>
          <w:iCs/>
          <w:color w:val="auto"/>
          <w:kern w:val="0"/>
          <w:sz w:val="18"/>
          <w:szCs w:val="18"/>
          <w:lang w:val="it-IT" w:eastAsia="it-IT" w:bidi="ar-SA"/>
          <w14:ligatures w14:val="none"/>
        </w:rPr>
        <w:t>DEC: Paola Rizzi – Dirigente Veterinario DSP</w:t>
      </w:r>
    </w:p>
    <w:p>
      <w:pPr>
        <w:pStyle w:val="Normal"/>
        <w:spacing w:before="60" w:after="60"/>
        <w:rPr>
          <w:rFonts w:ascii="Titillium" w:hAnsi="Titillium" w:cs="Calibri"/>
          <w:sz w:val="18"/>
          <w:szCs w:val="18"/>
        </w:rPr>
      </w:pPr>
      <w:r>
        <w:rPr>
          <w:rFonts w:cs="Calibri" w:ascii="Titillium" w:hAnsi="Titillium"/>
          <w:sz w:val="18"/>
          <w:szCs w:val="18"/>
        </w:rPr>
        <w:t>Il Responsabile del procedimento per la fase di affidamento (RUPA) è la Dott.ssa Antonia Crugliano, Direttore del Servizio Acquisti Area Vasta, mail: servizio.acquisti@pec.ausl.bologna.it</w:t>
      </w:r>
      <w:r>
        <w:rPr>
          <w:rFonts w:cs="Calibri" w:ascii="Titillium" w:hAnsi="Titillium"/>
          <w:i/>
          <w:iCs/>
          <w:sz w:val="18"/>
          <w:szCs w:val="18"/>
        </w:rPr>
        <w:t>.</w:t>
      </w:r>
    </w:p>
    <w:p>
      <w:pPr>
        <w:pStyle w:val="Normal"/>
        <w:spacing w:before="60" w:after="60"/>
        <w:rPr/>
      </w:pPr>
      <w:r>
        <w:rPr/>
      </w:r>
    </w:p>
    <w:p>
      <w:pPr>
        <w:pStyle w:val="Heading2"/>
        <w:numPr>
          <w:ilvl w:val="0"/>
          <w:numId w:val="3"/>
        </w:numPr>
        <w:rPr>
          <w:caps/>
        </w:rPr>
      </w:pPr>
      <w:bookmarkStart w:id="29" w:name="__RefHeading___Toc11668_2735037374"/>
      <w:bookmarkStart w:id="30" w:name="_Ref132303744"/>
      <w:bookmarkStart w:id="31" w:name="_Toc207275718"/>
      <w:bookmarkEnd w:id="29"/>
      <w:r>
        <w:rPr/>
        <w:t>PIATTAFORMA</w:t>
      </w:r>
      <w:bookmarkEnd w:id="31"/>
      <w:r>
        <w:rPr/>
        <w:t xml:space="preserve"> </w:t>
      </w:r>
      <w:bookmarkEnd w:id="30"/>
    </w:p>
    <w:p>
      <w:pPr>
        <w:pStyle w:val="Heading3"/>
        <w:numPr>
          <w:ilvl w:val="1"/>
          <w:numId w:val="3"/>
        </w:numPr>
        <w:ind w:hanging="432" w:left="426"/>
        <w:rPr>
          <w:rFonts w:ascii="Titillium" w:hAnsi="Titillium"/>
          <w:iCs/>
          <w:caps/>
          <w:sz w:val="18"/>
          <w:szCs w:val="18"/>
        </w:rPr>
      </w:pPr>
      <w:bookmarkStart w:id="32" w:name="__RefHeading___Toc11670_2735037374"/>
      <w:bookmarkStart w:id="33" w:name="_Toc207275719"/>
      <w:bookmarkStart w:id="34" w:name="_Ref132303729"/>
      <w:bookmarkEnd w:id="32"/>
      <w:r>
        <w:rPr>
          <w:rFonts w:ascii="Titillium" w:hAnsi="Titillium"/>
          <w:iCs/>
          <w:sz w:val="18"/>
          <w:szCs w:val="18"/>
        </w:rPr>
        <w:t xml:space="preserve">LA PIATTAFORMA </w:t>
      </w:r>
      <w:bookmarkEnd w:id="34"/>
      <w:r>
        <w:rPr>
          <w:rFonts w:ascii="Titillium" w:hAnsi="Titillium"/>
          <w:iCs/>
          <w:sz w:val="18"/>
          <w:szCs w:val="18"/>
        </w:rPr>
        <w:t>DI APPROVVIGIONAMENTO DIGITALE (PAD)</w:t>
      </w:r>
      <w:bookmarkEnd w:id="33"/>
    </w:p>
    <w:p>
      <w:pPr>
        <w:pStyle w:val="NoSpacing"/>
        <w:tabs>
          <w:tab w:val="clear" w:pos="708"/>
          <w:tab w:val="left" w:pos="567" w:leader="none"/>
        </w:tabs>
        <w:spacing w:lineRule="auto" w:line="276" w:before="60" w:after="60"/>
        <w:rPr>
          <w:rFonts w:ascii="Titillium" w:hAnsi="Titillium" w:cs="Calibri"/>
          <w:bCs/>
          <w:iCs/>
          <w:sz w:val="18"/>
          <w:szCs w:val="18"/>
        </w:rPr>
      </w:pPr>
      <w:r>
        <w:rPr>
          <w:rFonts w:cs="Calibri" w:ascii="Titillium" w:hAnsi="Titillium"/>
          <w:bCs/>
          <w:iCs/>
          <w:sz w:val="18"/>
          <w:szCs w:val="18"/>
        </w:rPr>
        <w:t>L’utilizzo della PAD comporta l’accettazione tacita ed incondizionata di tutti i termini, le condizioni di utilizzo e le avvertenze contenute nei documenti di gara, in particolare, del Regolamento UE n. 910/2014 (di seguito Regolamento eIDAS - electronic IDentification Authentication and Signature), del decreto legislativo n. 82/2005 recante Codice dell’amministrazione digitale (CAD) e delle Linee guida dell’AGID, nonché di quanto portato a conoscenza degli utenti tramite le comunicazioni sulla PAD.</w:t>
      </w:r>
    </w:p>
    <w:p>
      <w:pPr>
        <w:pStyle w:val="NoSpacing"/>
        <w:tabs>
          <w:tab w:val="clear" w:pos="708"/>
          <w:tab w:val="left" w:pos="567" w:leader="none"/>
        </w:tabs>
        <w:spacing w:before="60" w:after="60"/>
        <w:rPr>
          <w:rFonts w:ascii="Titillium" w:hAnsi="Titillium" w:cs="Calibri"/>
          <w:bCs/>
          <w:iCs/>
          <w:sz w:val="18"/>
          <w:szCs w:val="18"/>
        </w:rPr>
      </w:pPr>
      <w:r>
        <w:rPr>
          <w:rFonts w:cs="Calibri" w:ascii="Titillium" w:hAnsi="Titillium"/>
          <w:bCs/>
          <w:iCs/>
          <w:sz w:val="18"/>
          <w:szCs w:val="18"/>
        </w:rPr>
        <w:t xml:space="preserve">L’utilizzo della PAD avviene nel rispetto dei principi di autoresponsabilità e di diligenza professionale, secondo quanto previsto dall’articolo 1176, comma 2, del Codice civile. </w:t>
      </w:r>
    </w:p>
    <w:p>
      <w:pPr>
        <w:pStyle w:val="Default"/>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La stazione appaltante non assume alcuna responsabilità per perdita di documenti e dati, danneggiamento di file e documenti, ritardi nell’inserimento di dati, documenti e/o nella presentazione della domanda, malfunzionamento, danni, pregiudizi derivanti all’operatore economico, da:</w:t>
      </w:r>
    </w:p>
    <w:p>
      <w:pPr>
        <w:pStyle w:val="Default"/>
        <w:numPr>
          <w:ilvl w:val="1"/>
          <w:numId w:val="13"/>
        </w:numPr>
        <w:ind w:hanging="284" w:left="284"/>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difetti di funzionamento delle apparecchiature e dei sistemi di collegamento e programmi impiegati dal singolo operatore economico per il collegamento alla PAD;</w:t>
      </w:r>
    </w:p>
    <w:p>
      <w:pPr>
        <w:pStyle w:val="Default"/>
        <w:numPr>
          <w:ilvl w:val="1"/>
          <w:numId w:val="13"/>
        </w:numPr>
        <w:ind w:hanging="284" w:left="284"/>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utilizzo della PAD da parte dell’operatore economico in maniera non conforme al Disciplinare</w:t>
      </w:r>
      <w:r>
        <w:rPr>
          <w:rFonts w:eastAsia="Times New Roman" w:cs="Calibri" w:ascii="Titillium" w:hAnsi="Titillium"/>
          <w:bCs/>
          <w:i/>
          <w:iCs/>
          <w:color w:val="auto"/>
          <w:sz w:val="18"/>
          <w:szCs w:val="18"/>
        </w:rPr>
        <w:t>.</w:t>
      </w:r>
    </w:p>
    <w:p>
      <w:pPr>
        <w:pStyle w:val="Default"/>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In caso di mancato funzionamento della PAD o di malfunzionamento della stessa, non dovuti alle predette circostanze, che impediscono la corretta presentazione delle offerte, al fine di assicurare la massima partecipazione, la stazione appaltante valuta la necessità di disporre la sospensione del termine per la presentazione delle offerte per il periodo di tempo strettamente necessario a ripristinare il normale funzionamento e la proroga dello stesso per una durata proporzionale alla durata del mancato o non corretto funzionamento, tenuto conto della gravità dello stesso</w:t>
      </w:r>
      <w:r>
        <w:rPr>
          <w:color w:val="auto"/>
        </w:rPr>
        <w:t xml:space="preserve"> </w:t>
      </w:r>
      <w:r>
        <w:rPr>
          <w:rFonts w:eastAsia="Times New Roman" w:cs="Calibri" w:ascii="Titillium" w:hAnsi="Titillium"/>
          <w:bCs/>
          <w:iCs/>
          <w:color w:val="auto"/>
          <w:sz w:val="18"/>
          <w:szCs w:val="18"/>
        </w:rPr>
        <w:t xml:space="preserve">e del momento in cui si verifica. La proroga o la riapertura del termine di scadenza di presentazione delle offerte limitata ad un periodo massimo di 48 ore dalla data di scadenza indicata nel bando è resa nota sulla PAD e sul sito internet della stazione appaltante, unitamente all’indicazione della durata e dei motivi del malfunzionamento. In tali casi, non è richiesta la pubblicazione di una rettifica al bando di gara ai sensi dell’articolo 27 del codice, né la riedizione della procedura. </w:t>
      </w:r>
    </w:p>
    <w:p>
      <w:pPr>
        <w:pStyle w:val="Default"/>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 xml:space="preserve">Nel caso in cui la proroga dei termini per la presentazione delle offerte abbia una durata superiore, la stazione appaltante rettifica il bando di gara con indicazione della nuova scadenza. </w:t>
      </w:r>
    </w:p>
    <w:p>
      <w:pPr>
        <w:pStyle w:val="Default"/>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 xml:space="preserve">Nei soli casi in cui la sospensione o la proroga dei termini non siano considerati idonei a garantire la </w:t>
      </w:r>
      <w:r>
        <w:rPr>
          <w:rFonts w:eastAsia="Times New Roman" w:cs="Calibri" w:ascii="Titillium" w:hAnsi="Titillium"/>
          <w:bCs/>
          <w:i/>
          <w:color w:val="auto"/>
          <w:sz w:val="18"/>
          <w:szCs w:val="18"/>
        </w:rPr>
        <w:t>par condicio</w:t>
      </w:r>
      <w:r>
        <w:rPr>
          <w:rFonts w:eastAsia="Times New Roman" w:cs="Calibri" w:ascii="Titillium" w:hAnsi="Titillium"/>
          <w:bCs/>
          <w:iCs/>
          <w:color w:val="auto"/>
          <w:sz w:val="18"/>
          <w:szCs w:val="18"/>
        </w:rPr>
        <w:t xml:space="preserve"> dei partecipanti e/o la segretezza delle offerte, la stazione appaltante procede alla riedizione della procedura.</w:t>
      </w:r>
    </w:p>
    <w:p>
      <w:pPr>
        <w:pStyle w:val="Default"/>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La stazione appaltante si riserva di agire in tal modo anche quando, esclusa la negligenza dell’operatore economico, non sia possibile accertare la causa del mancato funzionamento o del malfunzionamento.</w:t>
      </w:r>
    </w:p>
    <w:p>
      <w:pPr>
        <w:pStyle w:val="Default"/>
        <w:tabs>
          <w:tab w:val="clear" w:pos="708"/>
          <w:tab w:val="left" w:pos="567" w:leader="none"/>
        </w:tabs>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r>
    </w:p>
    <w:p>
      <w:pPr>
        <w:pStyle w:val="Default"/>
        <w:tabs>
          <w:tab w:val="clear" w:pos="708"/>
          <w:tab w:val="left" w:pos="567" w:leader="none"/>
        </w:tabs>
        <w:rPr>
          <w:rFonts w:ascii="Titillium" w:hAnsi="Titillium" w:eastAsia="Times New Roman" w:cs="Calibri"/>
          <w:bCs/>
          <w:iCs/>
          <w:color w:val="auto"/>
          <w:sz w:val="18"/>
          <w:szCs w:val="18"/>
        </w:rPr>
      </w:pPr>
      <w:r>
        <w:rPr>
          <w:rFonts w:eastAsia="Times New Roman" w:cs="Calibri" w:ascii="Titillium" w:hAnsi="Titillium"/>
          <w:bCs/>
          <w:iCs/>
          <w:color w:val="auto"/>
          <w:sz w:val="18"/>
          <w:szCs w:val="18"/>
        </w:rPr>
        <w:t xml:space="preserve">Le attività e le operazioni effettuate nell'ambito della PAD sono registrate e attribuite all’operatore economico e si intendono compiute nell’ora e nel giorno risultanti dalle registrazioni di sistema. </w:t>
      </w:r>
    </w:p>
    <w:p>
      <w:pPr>
        <w:pStyle w:val="Default"/>
        <w:tabs>
          <w:tab w:val="clear" w:pos="708"/>
          <w:tab w:val="left" w:pos="567" w:leader="none"/>
        </w:tabs>
        <w:rPr/>
      </w:pPr>
      <w:r>
        <w:rPr>
          <w:rFonts w:eastAsia="Times New Roman" w:cs="Calibri" w:ascii="Titillium" w:hAnsi="Titillium"/>
          <w:bCs/>
          <w:iCs/>
          <w:color w:val="auto"/>
          <w:sz w:val="18"/>
          <w:szCs w:val="18"/>
        </w:rPr>
        <w:t>Il sistema operativo della PAD è sincronizzato sulla scala di tempo nazionale di cui al</w:t>
      </w:r>
      <w:r>
        <w:rPr>
          <w:rFonts w:eastAsia="Times New Roman" w:cs="Calibri" w:ascii="Calibri" w:hAnsi="Calibri"/>
          <w:bCs/>
          <w:iCs/>
          <w:color w:val="auto"/>
          <w:sz w:val="18"/>
          <w:szCs w:val="18"/>
        </w:rPr>
        <w:t xml:space="preserve"> </w:t>
      </w:r>
      <w:r>
        <w:rPr>
          <w:rFonts w:eastAsia="Times New Roman" w:cs="Calibri" w:ascii="Titillium" w:hAnsi="Titillium"/>
          <w:bCs/>
          <w:iCs/>
          <w:color w:val="auto"/>
          <w:sz w:val="18"/>
          <w:szCs w:val="18"/>
        </w:rPr>
        <w:t xml:space="preserve">decreto del Ministro dell'industria, del commercio e dell'artigianato 30 novembre 1993, n. 591, tramite protocollo NTP o standard superiore. </w:t>
      </w:r>
    </w:p>
    <w:p>
      <w:pPr>
        <w:pStyle w:val="Default"/>
        <w:rPr>
          <w:rFonts w:ascii="Titillium" w:hAnsi="Titillium" w:cs="Calibri"/>
          <w:bCs/>
          <w:iCs/>
          <w:sz w:val="18"/>
          <w:szCs w:val="18"/>
        </w:rPr>
      </w:pPr>
      <w:r>
        <w:rPr>
          <w:rFonts w:cs="Calibri" w:ascii="Titillium" w:hAnsi="Titillium"/>
          <w:bCs/>
          <w:iCs/>
          <w:sz w:val="18"/>
          <w:szCs w:val="18"/>
        </w:rPr>
        <w:t>L’utilizzo e il funzionamento della PAD avvengono in conformità a quanto riportato http://intercenter.regione.emilia-romagna.it/agenzia/utilizzo-del-sistema/guide/, che costituisce parte integrante del presente disciplinare.</w:t>
      </w:r>
    </w:p>
    <w:p>
      <w:pPr>
        <w:pStyle w:val="Default"/>
        <w:rPr/>
      </w:pPr>
      <w:r>
        <w:rPr>
          <w:rFonts w:eastAsia="Times New Roman" w:cs="Calibri" w:ascii="Titillium" w:hAnsi="Titillium"/>
          <w:bCs/>
          <w:iCs/>
          <w:color w:val="auto"/>
          <w:sz w:val="18"/>
          <w:szCs w:val="18"/>
        </w:rPr>
        <w:t>L’acquisto, l’installazione e la configurazione dell’</w:t>
      </w:r>
      <w:r>
        <w:rPr>
          <w:rFonts w:eastAsia="Times New Roman" w:cs="Calibri" w:ascii="Titillium" w:hAnsi="Titillium"/>
          <w:bCs/>
          <w:i/>
          <w:iCs/>
          <w:color w:val="auto"/>
          <w:sz w:val="18"/>
          <w:szCs w:val="18"/>
        </w:rPr>
        <w:t>hardware</w:t>
      </w:r>
      <w:r>
        <w:rPr>
          <w:rFonts w:eastAsia="Times New Roman" w:cs="Calibri" w:ascii="Titillium" w:hAnsi="Titillium"/>
          <w:bCs/>
          <w:iCs/>
          <w:color w:val="auto"/>
          <w:sz w:val="18"/>
          <w:szCs w:val="18"/>
        </w:rPr>
        <w:t xml:space="preserve">, del </w:t>
      </w:r>
      <w:r>
        <w:rPr>
          <w:rFonts w:eastAsia="Times New Roman" w:cs="Calibri" w:ascii="Titillium" w:hAnsi="Titillium"/>
          <w:bCs/>
          <w:i/>
          <w:iCs/>
          <w:color w:val="auto"/>
          <w:sz w:val="18"/>
          <w:szCs w:val="18"/>
        </w:rPr>
        <w:t>software</w:t>
      </w:r>
      <w:r>
        <w:rPr>
          <w:rFonts w:eastAsia="Times New Roman" w:cs="Calibri" w:ascii="Titillium" w:hAnsi="Titillium"/>
          <w:bCs/>
          <w:iCs/>
          <w:color w:val="auto"/>
          <w:sz w:val="18"/>
          <w:szCs w:val="18"/>
        </w:rPr>
        <w:t xml:space="preserve">, dei certificati digitali di firma, della casella di PEC o comunque di un indirizzo di servizio elettronico di recapito certificato qualificato, nonché dei collegamenti per l’accesso alla rete </w:t>
      </w:r>
      <w:r>
        <w:rPr>
          <w:rFonts w:eastAsia="Times New Roman" w:cs="Calibri" w:ascii="Titillium" w:hAnsi="Titillium"/>
          <w:bCs/>
          <w:i/>
          <w:iCs/>
          <w:color w:val="auto"/>
          <w:sz w:val="18"/>
          <w:szCs w:val="18"/>
        </w:rPr>
        <w:t>Internet</w:t>
      </w:r>
      <w:r>
        <w:rPr>
          <w:rFonts w:eastAsia="Times New Roman" w:cs="Calibri" w:ascii="Titillium" w:hAnsi="Titillium"/>
          <w:bCs/>
          <w:iCs/>
          <w:color w:val="auto"/>
          <w:sz w:val="18"/>
          <w:szCs w:val="18"/>
        </w:rPr>
        <w:t>, restano a esclusivo carico dell’operatore economico.</w:t>
      </w:r>
    </w:p>
    <w:p>
      <w:pPr>
        <w:pStyle w:val="Default"/>
        <w:tabs>
          <w:tab w:val="clear" w:pos="708"/>
          <w:tab w:val="left" w:pos="567" w:leader="none"/>
        </w:tabs>
        <w:rPr>
          <w:rFonts w:ascii="Titillium" w:hAnsi="Titillium" w:eastAsia="Times New Roman" w:cs="Calibri"/>
          <w:bCs/>
          <w:iCs/>
          <w:sz w:val="18"/>
          <w:szCs w:val="18"/>
        </w:rPr>
      </w:pPr>
      <w:r>
        <w:rPr>
          <w:rFonts w:eastAsia="Times New Roman" w:cs="Calibri" w:ascii="Titillium" w:hAnsi="Titillium"/>
          <w:bCs/>
          <w:iCs/>
          <w:color w:val="auto"/>
          <w:sz w:val="18"/>
          <w:szCs w:val="18"/>
        </w:rPr>
        <w:t xml:space="preserve">La PAD è accessibile </w:t>
      </w:r>
      <w:r>
        <w:rPr>
          <w:rFonts w:eastAsia="Times New Roman" w:cs="Calibri" w:ascii="Titillium" w:hAnsi="Titillium"/>
          <w:bCs/>
          <w:color w:val="auto"/>
          <w:sz w:val="18"/>
          <w:szCs w:val="18"/>
        </w:rPr>
        <w:t>in qualsiasi orario dalla data di pubblicazione del bando alla data di scadenza del termine di presentazione delle offerte ad eccezione delle ore dedicate all’aggiornamento della Piattaforma espressamente indicate nella stessa (solitamente nel pomeriggio dell’ultimo venerdì del mese).</w:t>
      </w:r>
    </w:p>
    <w:p>
      <w:pPr>
        <w:pStyle w:val="Heading3"/>
        <w:numPr>
          <w:ilvl w:val="1"/>
          <w:numId w:val="3"/>
        </w:numPr>
        <w:ind w:hanging="432" w:left="426"/>
        <w:rPr>
          <w:rFonts w:ascii="Titillium" w:hAnsi="Titillium"/>
          <w:iCs/>
          <w:caps/>
          <w:sz w:val="18"/>
          <w:szCs w:val="18"/>
        </w:rPr>
      </w:pPr>
      <w:bookmarkStart w:id="35" w:name="__RefHeading___Toc11672_2735037374"/>
      <w:bookmarkStart w:id="36" w:name="_Toc207275720"/>
      <w:bookmarkStart w:id="37" w:name="_Toc763991891111111111111111111111"/>
      <w:bookmarkStart w:id="38" w:name="_Toc7655640811111"/>
      <w:bookmarkStart w:id="39" w:name="_Toc7655646911111"/>
      <w:bookmarkStart w:id="40" w:name="_Toc7655653011111"/>
      <w:bookmarkStart w:id="41" w:name="_Toc7655659111111"/>
      <w:bookmarkStart w:id="42" w:name="_Toc763991881111111111111111111111"/>
      <w:bookmarkStart w:id="43" w:name="_Toc7655640711111"/>
      <w:bookmarkStart w:id="44" w:name="_Toc7655646811111"/>
      <w:bookmarkStart w:id="45" w:name="_Toc7655652911111"/>
      <w:bookmarkStart w:id="46" w:name="_Toc7655659011111"/>
      <w:bookmarkStart w:id="47" w:name="_Toc763991871111111111111111111111"/>
      <w:bookmarkStart w:id="48" w:name="_Toc7655640611111"/>
      <w:bookmarkStart w:id="49" w:name="_Toc7655646711111"/>
      <w:bookmarkStart w:id="50" w:name="_Toc7655652811111"/>
      <w:bookmarkStart w:id="51" w:name="_Toc7655658911111"/>
      <w:bookmarkStart w:id="52" w:name="_Toc763991861111111111111111111111"/>
      <w:bookmarkStart w:id="53" w:name="_Toc7655640511111"/>
      <w:bookmarkStart w:id="54" w:name="_Toc7655646611111"/>
      <w:bookmarkStart w:id="55" w:name="_Toc7655652711111"/>
      <w:bookmarkStart w:id="56" w:name="_Toc7655658811111"/>
      <w:bookmarkEnd w:id="3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Fonts w:ascii="Titillium" w:hAnsi="Titillium"/>
          <w:iCs/>
          <w:sz w:val="18"/>
          <w:szCs w:val="18"/>
        </w:rPr>
        <w:t>DOTAZIONI TECNICHE</w:t>
      </w:r>
      <w:bookmarkEnd w:id="36"/>
    </w:p>
    <w:p>
      <w:pPr>
        <w:pStyle w:val="Normal"/>
        <w:tabs>
          <w:tab w:val="clear" w:pos="708"/>
          <w:tab w:val="left" w:pos="709" w:leader="none"/>
        </w:tabs>
        <w:spacing w:before="60" w:after="60"/>
        <w:rPr/>
      </w:pPr>
      <w:r>
        <w:rPr>
          <w:rFonts w:cs="Calibri" w:ascii="Titillium" w:hAnsi="Titillium"/>
          <w:bCs/>
          <w:color w:val="000000"/>
          <w:sz w:val="18"/>
          <w:szCs w:val="18"/>
        </w:rPr>
        <w:t xml:space="preserve">Ai fini della partecipazione alla presente procedura, ogni operatore economico deve dotarsi, a propria cura, spesa e responsabilità della strumentazione tecnica ed informatica conforme a quella indicata nel presente disciplinare e nel documento e nei manuali pubblicati sulla piattaforma https://intercent.regione.emilia-romagna.it, </w:t>
      </w:r>
      <w:r>
        <w:rPr>
          <w:rFonts w:cs="Calibri" w:ascii="Titillium" w:hAnsi="Titillium"/>
          <w:bCs/>
          <w:iCs/>
          <w:color w:val="000000"/>
          <w:sz w:val="18"/>
          <w:szCs w:val="18"/>
        </w:rPr>
        <w:t>che disciplina il funzionamento e l’utilizzo della PAD</w:t>
      </w:r>
      <w:r>
        <w:rPr>
          <w:rFonts w:cs="Calibri" w:ascii="Titillium" w:hAnsi="Titillium"/>
          <w:bCs/>
          <w:color w:val="000000"/>
          <w:sz w:val="18"/>
          <w:szCs w:val="18"/>
        </w:rPr>
        <w:t>.</w:t>
      </w:r>
    </w:p>
    <w:p>
      <w:pPr>
        <w:pStyle w:val="Normal"/>
        <w:tabs>
          <w:tab w:val="clear" w:pos="708"/>
          <w:tab w:val="left" w:pos="709" w:leader="none"/>
        </w:tabs>
        <w:spacing w:before="60" w:after="60"/>
        <w:rPr>
          <w:rFonts w:ascii="Titillium" w:hAnsi="Titillium" w:cs="Calibri"/>
          <w:bCs/>
          <w:color w:val="000000"/>
          <w:sz w:val="18"/>
          <w:szCs w:val="18"/>
        </w:rPr>
      </w:pPr>
      <w:r>
        <w:rPr>
          <w:rFonts w:cs="Calibri" w:ascii="Titillium" w:hAnsi="Titillium"/>
          <w:bCs/>
          <w:color w:val="000000"/>
          <w:sz w:val="18"/>
          <w:szCs w:val="18"/>
        </w:rPr>
        <w:t>In ogni caso è indispensabile:</w:t>
      </w:r>
    </w:p>
    <w:p>
      <w:pPr>
        <w:pStyle w:val="Default"/>
        <w:numPr>
          <w:ilvl w:val="1"/>
          <w:numId w:val="14"/>
        </w:numPr>
        <w:tabs>
          <w:tab w:val="clear" w:pos="708"/>
          <w:tab w:val="left" w:pos="360" w:leader="none"/>
        </w:tabs>
        <w:ind w:hanging="357" w:left="709"/>
        <w:rPr>
          <w:rFonts w:ascii="Titillium" w:hAnsi="Titillium" w:eastAsia="Times New Roman" w:cs="Calibri"/>
          <w:bCs/>
          <w:sz w:val="18"/>
          <w:szCs w:val="18"/>
          <w:lang w:eastAsia="en-US"/>
        </w:rPr>
      </w:pPr>
      <w:r>
        <w:rPr>
          <w:rFonts w:eastAsia="Times New Roman" w:cs="Calibri" w:ascii="Titillium" w:hAnsi="Titillium"/>
          <w:bCs/>
          <w:sz w:val="18"/>
          <w:szCs w:val="18"/>
          <w:lang w:eastAsia="en-US"/>
        </w:rPr>
        <w:t xml:space="preserve">disporre almeno di un personal computer conforme agli standard aggiornati di mercato, con connessione internet e dotato di un comune browser idoneo ad operare in modo corretto sulla PAD; </w:t>
      </w:r>
    </w:p>
    <w:p>
      <w:pPr>
        <w:pStyle w:val="Default"/>
        <w:numPr>
          <w:ilvl w:val="1"/>
          <w:numId w:val="14"/>
        </w:numPr>
        <w:tabs>
          <w:tab w:val="clear" w:pos="708"/>
          <w:tab w:val="left" w:pos="360" w:leader="none"/>
        </w:tabs>
        <w:ind w:hanging="357" w:left="709"/>
        <w:rPr>
          <w:rFonts w:ascii="Titillium" w:hAnsi="Titillium" w:eastAsia="Times New Roman" w:cs="Calibri"/>
          <w:sz w:val="18"/>
          <w:szCs w:val="18"/>
          <w:lang w:eastAsia="en-US"/>
        </w:rPr>
      </w:pPr>
      <w:r>
        <w:rPr>
          <w:rFonts w:eastAsia="Times New Roman" w:cs="Calibri" w:ascii="Titillium" w:hAnsi="Titillium"/>
          <w:sz w:val="18"/>
          <w:szCs w:val="18"/>
          <w:lang w:eastAsia="en-US"/>
        </w:rPr>
        <w:t xml:space="preserve">disporre di una identità digitale SPID (Sistema Pubblico di Identità Digitale) o di altri mezzi di identificazione elettronica (CIE e CNS) di cui all’articolo 64 del Codice dell'Amministrazione Digitale (decreto legislativo 7 marzo 2005, n. 82 e successive modificazioni), nonché di mezzi di identificazione elettronica per il riconoscimento reciproco transfrontaliero ai sensi del Regolamento eIDAS; in caso di operatore economico extra-UE, disporre di un’identità digitale </w:t>
      </w:r>
      <w:r>
        <w:rPr>
          <w:rFonts w:ascii="Titillium" w:hAnsi="Titillium"/>
          <w:sz w:val="18"/>
          <w:szCs w:val="18"/>
        </w:rPr>
        <w:t>compatibile con il framework</w:t>
      </w:r>
      <w:r>
        <w:rPr>
          <w:rFonts w:eastAsia="Times New Roman" w:cs="Calibri" w:ascii="Titillium" w:hAnsi="Titillium"/>
          <w:sz w:val="18"/>
          <w:szCs w:val="18"/>
          <w:lang w:eastAsia="en-US"/>
        </w:rPr>
        <w:t xml:space="preserve"> di autenticazione stabilito dalla PAD di riferimento e caratterizzata da un Level of Assurance (LoA) pari o superiore a 3, in conformità allo standard ISO/IEC 29115 (e relative evoluzioni). </w:t>
      </w:r>
    </w:p>
    <w:p>
      <w:pPr>
        <w:pStyle w:val="Default"/>
        <w:numPr>
          <w:ilvl w:val="1"/>
          <w:numId w:val="14"/>
        </w:numPr>
        <w:tabs>
          <w:tab w:val="clear" w:pos="708"/>
          <w:tab w:val="left" w:pos="360" w:leader="none"/>
        </w:tabs>
        <w:ind w:hanging="360" w:left="709"/>
        <w:rPr>
          <w:rFonts w:ascii="Titillium" w:hAnsi="Titillium" w:eastAsia="Times New Roman" w:cs="Calibri"/>
          <w:bCs/>
          <w:sz w:val="18"/>
          <w:szCs w:val="18"/>
          <w:lang w:eastAsia="en-US"/>
        </w:rPr>
      </w:pPr>
      <w:r>
        <w:rPr>
          <w:rFonts w:eastAsia="Times New Roman" w:cs="Calibri" w:ascii="Titillium" w:hAnsi="Titillium"/>
          <w:bCs/>
          <w:sz w:val="18"/>
          <w:szCs w:val="18"/>
          <w:lang w:eastAsia="en-US"/>
        </w:rPr>
        <w:t>avere un domicilio digitale presente negli indici di cui agli articoli 6-bis e 6-ter del decreto legislativo 7 marzo 2005, n. 82 o, per l’operatore economico transfrontaliero, un indirizzo di servizio elettronico di recapito certificato qualificato ai sensi del Regolamento eIDAS;</w:t>
      </w:r>
    </w:p>
    <w:p>
      <w:pPr>
        <w:pStyle w:val="Default"/>
        <w:numPr>
          <w:ilvl w:val="1"/>
          <w:numId w:val="14"/>
        </w:numPr>
        <w:tabs>
          <w:tab w:val="clear" w:pos="708"/>
          <w:tab w:val="left" w:pos="360" w:leader="none"/>
        </w:tabs>
        <w:ind w:hanging="360" w:left="709"/>
        <w:rPr>
          <w:rFonts w:ascii="Titillium" w:hAnsi="Titillium" w:eastAsia="Times New Roman" w:cs="Calibri"/>
          <w:bCs/>
          <w:sz w:val="18"/>
          <w:szCs w:val="18"/>
          <w:lang w:eastAsia="en-US"/>
        </w:rPr>
      </w:pPr>
      <w:r>
        <w:rPr>
          <w:rFonts w:eastAsia="Times New Roman" w:cs="Calibri" w:ascii="Titillium" w:hAnsi="Titillium"/>
          <w:bCs/>
          <w:sz w:val="18"/>
          <w:szCs w:val="18"/>
          <w:lang w:eastAsia="en-US"/>
        </w:rPr>
        <w:t>avere da parte del legale rappresentante dell’operatore economico (o da persona munita di idonei poteri di firma) un certificato di firma digitale, in corso di validità, rilasciato da:</w:t>
      </w:r>
    </w:p>
    <w:p>
      <w:pPr>
        <w:pStyle w:val="Default"/>
        <w:numPr>
          <w:ilvl w:val="1"/>
          <w:numId w:val="13"/>
        </w:numPr>
        <w:tabs>
          <w:tab w:val="clear" w:pos="708"/>
          <w:tab w:val="left" w:pos="360" w:leader="none"/>
        </w:tabs>
        <w:ind w:hanging="360" w:left="1134"/>
        <w:rPr>
          <w:rFonts w:ascii="Titillium" w:hAnsi="Titillium" w:eastAsia="Times New Roman" w:cs="Calibri"/>
          <w:bCs/>
          <w:sz w:val="18"/>
          <w:szCs w:val="18"/>
          <w:lang w:eastAsia="en-US"/>
        </w:rPr>
      </w:pPr>
      <w:r>
        <w:rPr>
          <w:rFonts w:eastAsia="Times New Roman" w:cs="Calibri" w:ascii="Titillium" w:hAnsi="Titillium"/>
          <w:bCs/>
          <w:sz w:val="18"/>
          <w:szCs w:val="18"/>
          <w:lang w:eastAsia="en-US"/>
        </w:rPr>
        <w:t xml:space="preserve">un organismo incluso nell’elenco pubblico dei certificatori tenuto dall’Agenzia per l’Italia Digitale (previsto dall’articolo 29 del decreto legislativo n. 82/05); </w:t>
      </w:r>
    </w:p>
    <w:p>
      <w:pPr>
        <w:pStyle w:val="Default"/>
        <w:numPr>
          <w:ilvl w:val="1"/>
          <w:numId w:val="13"/>
        </w:numPr>
        <w:tabs>
          <w:tab w:val="clear" w:pos="708"/>
          <w:tab w:val="left" w:pos="360" w:leader="none"/>
        </w:tabs>
        <w:ind w:hanging="360" w:left="1134"/>
        <w:rPr>
          <w:rFonts w:ascii="Titillium" w:hAnsi="Titillium" w:eastAsia="Times New Roman" w:cs="Calibri"/>
          <w:bCs/>
          <w:sz w:val="18"/>
          <w:szCs w:val="18"/>
          <w:lang w:eastAsia="en-US"/>
        </w:rPr>
      </w:pPr>
      <w:r>
        <w:rPr>
          <w:rFonts w:eastAsia="Times New Roman" w:cs="Calibri" w:ascii="Titillium" w:hAnsi="Titillium"/>
          <w:bCs/>
          <w:sz w:val="18"/>
          <w:szCs w:val="18"/>
          <w:lang w:eastAsia="en-US"/>
        </w:rPr>
        <w:t xml:space="preserve">un certificatore operante in base a una licenza o autorizzazione rilasciata da uno Stato membro dell’Unione europea e in possesso dei requisiti previsti dal Regolamento n. 910/14; </w:t>
      </w:r>
    </w:p>
    <w:p>
      <w:pPr>
        <w:pStyle w:val="Default"/>
        <w:numPr>
          <w:ilvl w:val="1"/>
          <w:numId w:val="13"/>
        </w:numPr>
        <w:tabs>
          <w:tab w:val="clear" w:pos="708"/>
          <w:tab w:val="left" w:pos="360" w:leader="none"/>
        </w:tabs>
        <w:ind w:hanging="360" w:left="1134"/>
        <w:rPr/>
      </w:pPr>
      <w:r>
        <w:rPr>
          <w:rFonts w:eastAsia="Times New Roman" w:cs="Calibri" w:ascii="Titillium" w:hAnsi="Titillium"/>
          <w:bCs/>
          <w:sz w:val="18"/>
          <w:szCs w:val="18"/>
          <w:lang w:eastAsia="en-US"/>
        </w:rPr>
        <w:t>un certificatore stabilito in uno Stato non facente parte dell’Unione europea quando ricorre una delle seguenti condizioni</w:t>
      </w:r>
      <w:r>
        <w:rPr>
          <w:rFonts w:eastAsia="Times New Roman" w:cs="Calibri" w:ascii="Titillium" w:hAnsi="Titillium"/>
          <w:bCs/>
          <w:iCs/>
          <w:sz w:val="18"/>
          <w:szCs w:val="18"/>
        </w:rPr>
        <w:t xml:space="preserve">: </w:t>
      </w:r>
    </w:p>
    <w:p>
      <w:pPr>
        <w:pStyle w:val="Default"/>
        <w:numPr>
          <w:ilvl w:val="0"/>
          <w:numId w:val="23"/>
        </w:numPr>
        <w:rPr/>
      </w:pPr>
      <w:r>
        <w:rPr>
          <w:rFonts w:eastAsia="Times New Roman" w:cs="Calibri" w:ascii="Titillium" w:hAnsi="Titillium"/>
          <w:bCs/>
          <w:iCs/>
          <w:sz w:val="18"/>
          <w:szCs w:val="18"/>
        </w:rPr>
        <w:t xml:space="preserve">il certificatore possiede i requisiti previsti dal Regolamento </w:t>
      </w:r>
      <w:r>
        <w:rPr>
          <w:rFonts w:cs="Calibri" w:ascii="Titillium" w:hAnsi="Titillium"/>
          <w:bCs/>
          <w:iCs/>
          <w:sz w:val="18"/>
          <w:szCs w:val="18"/>
        </w:rPr>
        <w:t xml:space="preserve">n. 910/14 </w:t>
      </w:r>
      <w:r>
        <w:rPr>
          <w:rFonts w:eastAsia="Times New Roman" w:cs="Calibri" w:ascii="Titillium" w:hAnsi="Titillium"/>
          <w:bCs/>
          <w:iCs/>
          <w:sz w:val="18"/>
          <w:szCs w:val="18"/>
        </w:rPr>
        <w:t xml:space="preserve">ed è qualificato in uno stato membro; </w:t>
      </w:r>
    </w:p>
    <w:p>
      <w:pPr>
        <w:pStyle w:val="Default"/>
        <w:numPr>
          <w:ilvl w:val="0"/>
          <w:numId w:val="23"/>
        </w:numPr>
        <w:rPr>
          <w:rFonts w:ascii="Titillium" w:hAnsi="Titillium" w:eastAsia="Times New Roman" w:cs="Calibri"/>
          <w:bCs/>
          <w:iCs/>
          <w:sz w:val="18"/>
          <w:szCs w:val="18"/>
        </w:rPr>
      </w:pPr>
      <w:r>
        <w:rPr>
          <w:rFonts w:eastAsia="Times New Roman" w:cs="Calibri" w:ascii="Titillium" w:hAnsi="Titillium"/>
          <w:bCs/>
          <w:iCs/>
          <w:sz w:val="18"/>
          <w:szCs w:val="18"/>
        </w:rPr>
        <w:t xml:space="preserve">il certificato qualificato è garantito da un certificatore stabilito nell’Unione Europea, in possesso dei requisiti di cui al regolamento n. 9100/14; </w:t>
      </w:r>
    </w:p>
    <w:p>
      <w:pPr>
        <w:pStyle w:val="Default"/>
        <w:numPr>
          <w:ilvl w:val="0"/>
          <w:numId w:val="23"/>
        </w:numPr>
        <w:rPr>
          <w:rFonts w:ascii="Titillium" w:hAnsi="Titillium" w:eastAsia="Times New Roman" w:cs="Calibri"/>
          <w:bCs/>
          <w:iCs/>
          <w:sz w:val="18"/>
          <w:szCs w:val="18"/>
        </w:rPr>
      </w:pPr>
      <w:r>
        <w:rPr>
          <w:rFonts w:eastAsia="Times New Roman" w:cs="Calibri" w:ascii="Titillium" w:hAnsi="Titillium"/>
          <w:bCs/>
          <w:iCs/>
          <w:sz w:val="18"/>
          <w:szCs w:val="18"/>
        </w:rPr>
        <w:t xml:space="preserve">il certificato qualificato, o il certificatore, è riconosciuto in forza di un accordo bilaterale o multilaterale tra l’Unione Europea e paesi terzi o organizzazioni internazionali. </w:t>
      </w:r>
    </w:p>
    <w:p>
      <w:pPr>
        <w:pStyle w:val="Default"/>
        <w:ind w:left="1277"/>
        <w:rPr>
          <w:rFonts w:ascii="Titillium" w:hAnsi="Titillium" w:eastAsia="Times New Roman" w:cs="Calibri"/>
          <w:bCs/>
          <w:iCs/>
          <w:sz w:val="18"/>
          <w:szCs w:val="18"/>
        </w:rPr>
      </w:pPr>
      <w:r>
        <w:rPr>
          <w:rFonts w:eastAsia="Times New Roman" w:cs="Calibri" w:ascii="Titillium" w:hAnsi="Titillium"/>
          <w:bCs/>
          <w:iCs/>
          <w:sz w:val="18"/>
          <w:szCs w:val="18"/>
        </w:rPr>
      </w:r>
    </w:p>
    <w:p>
      <w:pPr>
        <w:pStyle w:val="Heading3"/>
        <w:numPr>
          <w:ilvl w:val="1"/>
          <w:numId w:val="3"/>
        </w:numPr>
        <w:ind w:hanging="432" w:left="426"/>
        <w:rPr>
          <w:rFonts w:ascii="Titillium" w:hAnsi="Titillium"/>
          <w:iCs/>
          <w:caps/>
          <w:sz w:val="18"/>
          <w:szCs w:val="18"/>
        </w:rPr>
      </w:pPr>
      <w:bookmarkStart w:id="57" w:name="__RefHeading___Toc11674_2735037374"/>
      <w:bookmarkStart w:id="58" w:name="_Toc207275721"/>
      <w:bookmarkEnd w:id="57"/>
      <w:r>
        <w:rPr>
          <w:rFonts w:ascii="Titillium" w:hAnsi="Titillium"/>
          <w:iCs/>
          <w:sz w:val="18"/>
          <w:szCs w:val="18"/>
        </w:rPr>
        <w:t>IDENTIFICAZIONE</w:t>
      </w:r>
      <w:bookmarkEnd w:id="58"/>
    </w:p>
    <w:p>
      <w:pPr>
        <w:pStyle w:val="Normal"/>
        <w:rPr>
          <w:rFonts w:ascii="Titillium" w:hAnsi="Titillium" w:cs="Calibri"/>
          <w:bCs/>
          <w:iCs/>
          <w:sz w:val="18"/>
          <w:szCs w:val="18"/>
        </w:rPr>
      </w:pPr>
      <w:r>
        <w:rPr>
          <w:rFonts w:cs="Calibri" w:ascii="Titillium" w:hAnsi="Titillium"/>
          <w:bCs/>
          <w:iCs/>
          <w:sz w:val="18"/>
          <w:szCs w:val="18"/>
        </w:rPr>
        <w:t>Per poter presentare offerta è necessario accedere alla PAD.</w:t>
      </w:r>
    </w:p>
    <w:p>
      <w:pPr>
        <w:pStyle w:val="Normal"/>
        <w:rPr>
          <w:rFonts w:ascii="Titillium" w:hAnsi="Titillium"/>
          <w:sz w:val="18"/>
          <w:szCs w:val="18"/>
        </w:rPr>
      </w:pPr>
      <w:r>
        <w:rPr>
          <w:rFonts w:ascii="Titillium" w:hAnsi="Titillium"/>
          <w:sz w:val="18"/>
          <w:szCs w:val="18"/>
        </w:rPr>
        <w:t xml:space="preserve">L’accesso è gratuito ed è consentito a seguito dell’identificazione dell’operatore economico. </w:t>
      </w:r>
    </w:p>
    <w:p>
      <w:pPr>
        <w:pStyle w:val="Normal"/>
        <w:rPr>
          <w:rFonts w:ascii="Titillium" w:hAnsi="Titillium"/>
          <w:sz w:val="18"/>
          <w:szCs w:val="18"/>
        </w:rPr>
      </w:pPr>
      <w:r>
        <w:rPr>
          <w:rFonts w:ascii="Titillium" w:hAnsi="Titillium"/>
          <w:sz w:val="18"/>
          <w:szCs w:val="18"/>
        </w:rPr>
        <w:t xml:space="preserve">L’identificazione avviene o mediante identità digitale SPID, o mediante carta d’identità elettronica (CIE) oppure carta nazionale dei servizi (CNS), secondo quanto previsto dal </w:t>
      </w:r>
      <w:r>
        <w:rPr>
          <w:rFonts w:cs="Calibri" w:ascii="Titillium" w:hAnsi="Titillium"/>
          <w:sz w:val="18"/>
          <w:szCs w:val="18"/>
        </w:rPr>
        <w:t>Codice dell'Amministrazione Digitale (decreto legislativo 7 marzo 2005, n. 82 e successive modificazioni),</w:t>
      </w:r>
      <w:r>
        <w:rPr>
          <w:rFonts w:ascii="Titillium" w:hAnsi="Titillium"/>
          <w:sz w:val="18"/>
          <w:szCs w:val="18"/>
        </w:rPr>
        <w:t xml:space="preserve"> o attraverso gli altri mezzi di identificazione elettronica per il riconoscimento reciproco transfrontaliero ai sensi del Regolamento eIDAS. In caso di operatore economico extra-UE, l’identificazione avviene attraverso una identità digitale compatibile con il framework di autenticazione stabilito dalla PAD di riferimento e caratterizzata da un Level of Assurance (LoA) pari o superiore a 3, in conformità allo standard ISO/IEC 29115 (e relative evoluzioni).</w:t>
      </w:r>
    </w:p>
    <w:p>
      <w:pPr>
        <w:pStyle w:val="Default"/>
        <w:tabs>
          <w:tab w:val="clear" w:pos="708"/>
          <w:tab w:val="left" w:pos="0" w:leader="none"/>
        </w:tabs>
        <w:spacing w:before="60" w:after="60"/>
        <w:rPr>
          <w:rFonts w:ascii="Titillium" w:hAnsi="Titillium"/>
          <w:sz w:val="18"/>
          <w:szCs w:val="18"/>
        </w:rPr>
      </w:pPr>
      <w:r>
        <w:rPr>
          <w:rFonts w:ascii="Titillium" w:hAnsi="Titillium"/>
          <w:sz w:val="18"/>
          <w:szCs w:val="18"/>
        </w:rPr>
        <w:t xml:space="preserve">Una volta completata la procedura di identificazione, ad ogni operatore economico identificato viene attribuito un profilo da utilizzare nella procedura di gara. </w:t>
      </w:r>
    </w:p>
    <w:p>
      <w:pPr>
        <w:pStyle w:val="Normal"/>
        <w:tabs>
          <w:tab w:val="clear" w:pos="708"/>
          <w:tab w:val="left" w:pos="0" w:leader="none"/>
        </w:tabs>
        <w:spacing w:before="60" w:after="60"/>
        <w:rPr>
          <w:rFonts w:ascii="Titillium" w:hAnsi="Titillium" w:cs="Calibri"/>
          <w:sz w:val="18"/>
          <w:szCs w:val="18"/>
        </w:rPr>
      </w:pPr>
      <w:r>
        <w:rPr>
          <w:rFonts w:cs="Calibri" w:ascii="Titillium" w:hAnsi="Titillium"/>
          <w:sz w:val="18"/>
          <w:szCs w:val="18"/>
        </w:rPr>
        <w:t xml:space="preserve">Eventuali richieste di assistenza di tipo informatico riguardanti l’identificazione e l’accesso alla PAD devono essere effettuate: </w:t>
      </w:r>
    </w:p>
    <w:p>
      <w:pPr>
        <w:pStyle w:val="Normal"/>
        <w:tabs>
          <w:tab w:val="clear" w:pos="708"/>
          <w:tab w:val="left" w:pos="0" w:leader="none"/>
        </w:tabs>
        <w:spacing w:before="60" w:after="60"/>
        <w:rPr>
          <w:rFonts w:ascii="Titillium" w:hAnsi="Titillium" w:cs="Calibri"/>
          <w:iCs/>
          <w:sz w:val="18"/>
          <w:szCs w:val="18"/>
        </w:rPr>
      </w:pPr>
      <w:r>
        <w:rPr>
          <w:rFonts w:cs="Calibri" w:ascii="Titillium" w:hAnsi="Titillium"/>
          <w:iCs/>
          <w:sz w:val="18"/>
          <w:szCs w:val="18"/>
        </w:rPr>
        <w:t>Numero Verde: 800 810 799</w:t>
      </w:r>
    </w:p>
    <w:p>
      <w:pPr>
        <w:pStyle w:val="Normal"/>
        <w:tabs>
          <w:tab w:val="clear" w:pos="708"/>
          <w:tab w:val="left" w:pos="0" w:leader="none"/>
        </w:tabs>
        <w:spacing w:before="60" w:after="60"/>
        <w:rPr>
          <w:rFonts w:ascii="Titillium" w:hAnsi="Titillium" w:cs="Calibri"/>
          <w:iCs/>
          <w:sz w:val="18"/>
          <w:szCs w:val="18"/>
        </w:rPr>
      </w:pPr>
      <w:r>
        <w:rPr>
          <w:rFonts w:cs="Calibri" w:ascii="Titillium" w:hAnsi="Titillium"/>
          <w:iCs/>
          <w:sz w:val="18"/>
          <w:szCs w:val="18"/>
        </w:rPr>
        <w:t>Tel: +390899712796 Mobile/Estero</w:t>
      </w:r>
    </w:p>
    <w:p>
      <w:pPr>
        <w:pStyle w:val="Normal"/>
        <w:tabs>
          <w:tab w:val="clear" w:pos="708"/>
          <w:tab w:val="left" w:pos="0" w:leader="none"/>
        </w:tabs>
        <w:spacing w:before="60" w:after="60"/>
        <w:rPr>
          <w:rFonts w:ascii="Titillium" w:hAnsi="Titillium" w:cs="Calibri"/>
          <w:iCs/>
          <w:sz w:val="18"/>
          <w:szCs w:val="18"/>
        </w:rPr>
      </w:pPr>
      <w:r>
        <w:rPr>
          <w:rFonts w:cs="Calibri" w:ascii="Titillium" w:hAnsi="Titillium"/>
          <w:iCs/>
          <w:sz w:val="18"/>
          <w:szCs w:val="18"/>
        </w:rPr>
        <w:t xml:space="preserve">Nei seguenti orari 9.00 – 13.00 / 14.00 – 18.00 oppure inviando una e-mail al seguente indirizzo: </w:t>
      </w:r>
      <w:hyperlink r:id="rId2">
        <w:r>
          <w:rPr>
            <w:rStyle w:val="Hyperlink"/>
            <w:rFonts w:cs="Calibri" w:ascii="Titillium" w:hAnsi="Titillium"/>
            <w:iCs/>
            <w:sz w:val="18"/>
            <w:szCs w:val="18"/>
          </w:rPr>
          <w:t>info.intercent@regione.emilia-romagna.it</w:t>
        </w:r>
      </w:hyperlink>
      <w:r>
        <w:rPr>
          <w:rFonts w:cs="Calibri" w:ascii="Titillium" w:hAnsi="Titillium"/>
          <w:iCs/>
          <w:sz w:val="18"/>
          <w:szCs w:val="18"/>
        </w:rPr>
        <w:t>.</w:t>
      </w:r>
    </w:p>
    <w:p>
      <w:pPr>
        <w:pStyle w:val="Normal"/>
        <w:tabs>
          <w:tab w:val="clear" w:pos="708"/>
          <w:tab w:val="left" w:pos="0" w:leader="none"/>
        </w:tabs>
        <w:spacing w:before="60" w:after="60"/>
        <w:rPr>
          <w:rFonts w:ascii="Titillium" w:hAnsi="Titillium" w:cs="Calibri"/>
          <w:iCs/>
          <w:sz w:val="18"/>
          <w:szCs w:val="18"/>
        </w:rPr>
      </w:pPr>
      <w:r>
        <w:rPr>
          <w:rFonts w:cs="Calibri" w:ascii="Titillium" w:hAnsi="Titillium"/>
          <w:iCs/>
          <w:sz w:val="18"/>
          <w:szCs w:val="18"/>
        </w:rPr>
      </w:r>
    </w:p>
    <w:p>
      <w:pPr>
        <w:pStyle w:val="Heading2"/>
        <w:numPr>
          <w:ilvl w:val="0"/>
          <w:numId w:val="3"/>
        </w:numPr>
        <w:rPr>
          <w:caps/>
        </w:rPr>
      </w:pPr>
      <w:bookmarkStart w:id="59" w:name="__RefHeading___Toc11676_2735037374"/>
      <w:bookmarkStart w:id="60" w:name="_Toc207275722"/>
      <w:bookmarkStart w:id="61" w:name="_Toc482101909"/>
      <w:bookmarkEnd w:id="59"/>
      <w:bookmarkEnd w:id="61"/>
      <w:r>
        <w:rPr/>
        <w:t>DOCUMENTAZIONE DI GARA, CHIARIMENTI E COMUNICAZIONI</w:t>
      </w:r>
      <w:bookmarkEnd w:id="60"/>
    </w:p>
    <w:p>
      <w:pPr>
        <w:pStyle w:val="Heading3"/>
        <w:numPr>
          <w:ilvl w:val="1"/>
          <w:numId w:val="3"/>
        </w:numPr>
        <w:ind w:hanging="142" w:left="142"/>
        <w:rPr>
          <w:rFonts w:ascii="Titillium" w:hAnsi="Titillium"/>
          <w:iCs/>
          <w:sz w:val="18"/>
          <w:szCs w:val="18"/>
        </w:rPr>
      </w:pPr>
      <w:bookmarkStart w:id="62" w:name="__RefHeading___Toc11678_2735037374"/>
      <w:bookmarkStart w:id="63" w:name="_Toc207275723"/>
      <w:bookmarkStart w:id="64" w:name="_Ref138082059"/>
      <w:bookmarkEnd w:id="62"/>
      <w:r>
        <w:rPr>
          <w:rFonts w:ascii="Titillium" w:hAnsi="Titillium"/>
          <w:iCs/>
          <w:sz w:val="18"/>
          <w:szCs w:val="18"/>
        </w:rPr>
        <w:t>DOCUMENTI DI GARA</w:t>
      </w:r>
      <w:bookmarkEnd w:id="63"/>
      <w:bookmarkEnd w:id="64"/>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cs="Calibri"/>
          <w:sz w:val="18"/>
          <w:szCs w:val="18"/>
        </w:rPr>
      </w:pPr>
      <w:r>
        <w:rPr>
          <w:rFonts w:cs="Calibri" w:ascii="Titillium" w:hAnsi="Titillium"/>
          <w:sz w:val="18"/>
          <w:szCs w:val="18"/>
        </w:rPr>
        <w:t>La documentazione di gara comprende:</w:t>
      </w:r>
    </w:p>
    <w:p>
      <w:pPr>
        <w:pStyle w:val="Normal"/>
        <w:numPr>
          <w:ilvl w:val="2"/>
          <w:numId w:val="15"/>
        </w:numPr>
        <w:spacing w:before="60" w:after="60"/>
        <w:ind w:hanging="283" w:left="709"/>
        <w:jc w:val="left"/>
        <w:rPr>
          <w:rFonts w:ascii="Titillium" w:hAnsi="Titillium" w:cs="Calibri"/>
          <w:bCs/>
          <w:iCs/>
          <w:sz w:val="18"/>
          <w:szCs w:val="18"/>
          <w:lang w:eastAsia="it-IT"/>
        </w:rPr>
      </w:pPr>
      <w:r>
        <w:rPr>
          <w:rFonts w:cs="Calibri" w:ascii="Titillium" w:hAnsi="Titillium"/>
          <w:bCs/>
          <w:iCs/>
          <w:sz w:val="18"/>
          <w:szCs w:val="18"/>
          <w:lang w:eastAsia="it-IT"/>
        </w:rPr>
        <w:t>determina;</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 xml:space="preserve">capitolato speciale; </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disciplinare di gara;</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allegato 1 clausole vessatorie;</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allegato 2 domanda di partecipazione;</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allegato 3 schema di contratto;</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 xml:space="preserve">allegato 4 autorizzazione al consenso al trattamento dei dati tramite il fascicolo virtuale; </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allegato 5 dichiarazione pari opportunità</w:t>
      </w:r>
    </w:p>
    <w:p>
      <w:pPr>
        <w:pStyle w:val="Normal"/>
        <w:numPr>
          <w:ilvl w:val="2"/>
          <w:numId w:val="15"/>
        </w:numPr>
        <w:spacing w:before="60" w:after="60"/>
        <w:ind w:hanging="283" w:left="709"/>
        <w:rPr>
          <w:rFonts w:ascii="Titillium" w:hAnsi="Titillium" w:cs="Calibri"/>
          <w:bCs/>
          <w:iCs/>
          <w:sz w:val="18"/>
          <w:szCs w:val="18"/>
          <w:lang w:eastAsia="it-IT"/>
        </w:rPr>
      </w:pPr>
      <w:r>
        <w:rPr>
          <w:rFonts w:cs="Calibri" w:ascii="Titillium" w:hAnsi="Titillium"/>
          <w:bCs/>
          <w:iCs/>
          <w:sz w:val="18"/>
          <w:szCs w:val="18"/>
          <w:lang w:eastAsia="it-IT"/>
        </w:rPr>
        <w:t>allegato A clausola sociale</w:t>
      </w:r>
    </w:p>
    <w:p>
      <w:pPr>
        <w:pStyle w:val="Normal"/>
        <w:numPr>
          <w:ilvl w:val="2"/>
          <w:numId w:val="15"/>
        </w:numPr>
        <w:spacing w:before="60" w:after="60"/>
        <w:ind w:hanging="283" w:left="709"/>
        <w:rPr>
          <w:highlight w:val="none"/>
          <w:shd w:fill="FFFFFF" w:val="clear"/>
        </w:rPr>
      </w:pPr>
      <w:r>
        <w:rPr>
          <w:rFonts w:cs="Calibri" w:ascii="Titillium" w:hAnsi="Titillium"/>
          <w:bCs/>
          <w:iCs/>
          <w:sz w:val="18"/>
          <w:szCs w:val="18"/>
          <w:shd w:fill="FFFFFF" w:val="clear"/>
          <w:lang w:eastAsia="it-IT"/>
        </w:rPr>
        <w:t>allegato e scheda offerta economica;</w:t>
      </w:r>
    </w:p>
    <w:p>
      <w:pPr>
        <w:pStyle w:val="Normal"/>
        <w:numPr>
          <w:ilvl w:val="2"/>
          <w:numId w:val="15"/>
        </w:numPr>
        <w:spacing w:before="60" w:after="60"/>
        <w:ind w:hanging="283" w:left="709"/>
        <w:rPr>
          <w:highlight w:val="none"/>
          <w:shd w:fill="FFFFFF" w:val="clear"/>
        </w:rPr>
      </w:pPr>
      <w:r>
        <w:rPr>
          <w:rFonts w:cs="Calibri" w:ascii="Titillium" w:hAnsi="Titillium"/>
          <w:bCs/>
          <w:iCs/>
          <w:sz w:val="18"/>
          <w:szCs w:val="18"/>
          <w:shd w:fill="FFFFFF" w:val="clear"/>
          <w:lang w:eastAsia="it-IT"/>
        </w:rPr>
        <w:t>documento di gara unico europeo in formato elettronico (DGUE) da compilare direttamente su Sater</w:t>
      </w:r>
    </w:p>
    <w:p>
      <w:pPr>
        <w:pStyle w:val="Normal"/>
        <w:numPr>
          <w:ilvl w:val="2"/>
          <w:numId w:val="15"/>
        </w:numPr>
        <w:spacing w:before="60" w:after="60"/>
        <w:ind w:hanging="283" w:left="709"/>
        <w:rPr>
          <w:highlight w:val="none"/>
          <w:shd w:fill="FFFFFF" w:val="clear"/>
        </w:rPr>
      </w:pPr>
      <w:r>
        <w:rPr>
          <w:rFonts w:eastAsia="Calibri" w:cs="Book-Antiqua,Bold" w:ascii="Titillium" w:hAnsi="Titillium"/>
          <w:bCs/>
          <w:iCs/>
          <w:color w:val="000000"/>
          <w:sz w:val="18"/>
          <w:szCs w:val="18"/>
          <w:shd w:fill="FFFFFF" w:val="clear"/>
          <w:lang w:eastAsia="it-IT"/>
        </w:rPr>
        <w:t xml:space="preserve">istruzioni operative per accedere alla PAD e regole tecniche per l’utilizzo della stessa </w:t>
      </w:r>
      <w:r>
        <w:rPr>
          <w:rFonts w:eastAsia="Calibri" w:cs="Book-Antiqua,Bold" w:ascii="Titillium" w:hAnsi="Titillium"/>
          <w:bCs/>
          <w:color w:val="000000"/>
          <w:sz w:val="18"/>
          <w:szCs w:val="18"/>
          <w:shd w:fill="FFFFFF" w:val="clear"/>
          <w:lang w:eastAsia="it-IT"/>
        </w:rPr>
        <w:t>al link https://intercenter.regione.emilia-romagna.it dove è possibile trovare tale documentazione;</w:t>
      </w:r>
    </w:p>
    <w:p>
      <w:pPr>
        <w:pStyle w:val="Normal"/>
        <w:spacing w:before="60" w:after="60"/>
        <w:rPr>
          <w:rFonts w:ascii="Titillium" w:hAnsi="Titillium" w:cs="Calibri"/>
          <w:i/>
          <w:sz w:val="18"/>
          <w:szCs w:val="18"/>
        </w:rPr>
      </w:pPr>
      <w:r>
        <w:rPr>
          <w:rFonts w:cs="Calibri" w:ascii="Titillium" w:hAnsi="Titillium"/>
          <w:sz w:val="18"/>
          <w:szCs w:val="18"/>
          <w:shd w:fill="FFFFFF" w:val="clear"/>
        </w:rPr>
        <w:t>La documentazione di g</w:t>
      </w:r>
      <w:r>
        <w:rPr>
          <w:rFonts w:cs="Calibri" w:ascii="Titillium" w:hAnsi="Titillium"/>
          <w:sz w:val="18"/>
          <w:szCs w:val="18"/>
        </w:rPr>
        <w:t>ara è accessibile gratuitamente, sul sito istituzionale della stazione appaltante, nella sezione “Amministrazione trasparente”, al seguente link: www.ausl.bologna.it - sezione Bandi di gara e contratti – Bandi di gara</w:t>
      </w:r>
      <w:r>
        <w:rPr>
          <w:rFonts w:ascii="Titillium" w:hAnsi="Titillium"/>
          <w:sz w:val="18"/>
          <w:szCs w:val="18"/>
        </w:rPr>
        <w:t xml:space="preserve"> </w:t>
      </w:r>
      <w:r>
        <w:rPr>
          <w:rFonts w:cs="Calibri" w:ascii="Titillium" w:hAnsi="Titillium"/>
          <w:sz w:val="18"/>
          <w:szCs w:val="18"/>
        </w:rPr>
        <w:t>e sulla PAD https://intercenter.regione.emilia-romagna.it.</w:t>
      </w:r>
    </w:p>
    <w:p>
      <w:pPr>
        <w:pStyle w:val="Normal"/>
        <w:spacing w:before="60" w:after="60"/>
        <w:rPr>
          <w:rFonts w:ascii="Titillium" w:hAnsi="Titillium" w:cs="Calibri"/>
          <w:i/>
          <w:sz w:val="18"/>
          <w:szCs w:val="18"/>
        </w:rPr>
      </w:pPr>
      <w:r>
        <w:rPr>
          <w:rFonts w:cs="Calibri" w:ascii="Titillium" w:hAnsi="Titillium"/>
          <w:i/>
          <w:sz w:val="18"/>
          <w:szCs w:val="18"/>
        </w:rPr>
      </w:r>
    </w:p>
    <w:p>
      <w:pPr>
        <w:pStyle w:val="Heading3"/>
        <w:numPr>
          <w:ilvl w:val="1"/>
          <w:numId w:val="3"/>
        </w:numPr>
        <w:ind w:hanging="426" w:left="426"/>
        <w:rPr/>
      </w:pPr>
      <w:bookmarkStart w:id="65" w:name="__RefHeading___Toc11680_2735037374"/>
      <w:bookmarkStart w:id="66" w:name="_Toc207275724"/>
      <w:bookmarkEnd w:id="65"/>
      <w:r>
        <w:rPr>
          <w:rFonts w:ascii="Titillium" w:hAnsi="Titillium"/>
          <w:sz w:val="18"/>
          <w:szCs w:val="18"/>
        </w:rPr>
        <w:t>CHIARIMENTI</w:t>
      </w:r>
      <w:bookmarkEnd w:id="66"/>
    </w:p>
    <w:p>
      <w:pPr>
        <w:pStyle w:val="Normal"/>
        <w:spacing w:before="60" w:after="60"/>
        <w:rPr>
          <w:rFonts w:ascii="Titillium" w:hAnsi="Titillium" w:cs="Calibri"/>
          <w:sz w:val="18"/>
          <w:szCs w:val="18"/>
        </w:rPr>
      </w:pPr>
      <w:r>
        <w:rPr>
          <w:rFonts w:cs="Calibri" w:ascii="Titillium" w:hAnsi="Titillium"/>
          <w:sz w:val="18"/>
          <w:szCs w:val="18"/>
        </w:rPr>
        <w:t>É possibile ottenere chiarimenti sulla presente procedura mediante la proposizione di quesiti scritti da inoltrare in via telematica attraverso l’apposita sezione, entro la data indicata sulla stessa Piattaforma, attraverso la sezione riservata alle richieste di chiarimenti: http://intercenter.regione.emilia-romagna.it/agenzia/utilizzo-del-sistema/guide/guide, previa registrazione alla Piattaforma stessa.</w:t>
      </w:r>
    </w:p>
    <w:p>
      <w:pPr>
        <w:pStyle w:val="Normal"/>
        <w:spacing w:before="60" w:after="60"/>
        <w:rPr>
          <w:rFonts w:ascii="Titillium" w:hAnsi="Titillium" w:cs="Calibri"/>
          <w:i/>
          <w:sz w:val="18"/>
          <w:szCs w:val="18"/>
        </w:rPr>
      </w:pPr>
      <w:r>
        <w:rPr>
          <w:rFonts w:cs="Calibri" w:ascii="Titillium" w:hAnsi="Titillium"/>
          <w:sz w:val="18"/>
          <w:szCs w:val="18"/>
        </w:rPr>
        <w:t>Le richieste di chiarimenti e le relative risposte sono formulate esclusivamente in lingua italiana.</w:t>
      </w:r>
    </w:p>
    <w:p>
      <w:pPr>
        <w:pStyle w:val="Normal"/>
        <w:spacing w:before="60" w:after="60"/>
        <w:rPr>
          <w:rFonts w:ascii="Titillium" w:hAnsi="Titillium" w:cs="Calibri"/>
          <w:i/>
          <w:sz w:val="18"/>
          <w:szCs w:val="18"/>
        </w:rPr>
      </w:pPr>
      <w:r>
        <w:rPr>
          <w:rFonts w:cs="Calibri" w:ascii="Titillium" w:hAnsi="Titillium"/>
          <w:sz w:val="18"/>
          <w:szCs w:val="18"/>
        </w:rPr>
        <w:t xml:space="preserve">Le richieste di chiarimenti e le relative risposte sono formulate in lingua </w:t>
      </w:r>
      <w:r>
        <w:rPr>
          <w:rFonts w:cs="Calibri" w:ascii="Titillium" w:hAnsi="Titillium"/>
          <w:sz w:val="18"/>
          <w:szCs w:val="18"/>
          <w:lang w:eastAsia="it-IT"/>
        </w:rPr>
        <w:t>italiana.</w:t>
      </w:r>
    </w:p>
    <w:p>
      <w:pPr>
        <w:pStyle w:val="Normal"/>
        <w:spacing w:before="60" w:after="60"/>
        <w:rPr>
          <w:rFonts w:ascii="Titillium" w:hAnsi="Titillium" w:cs="Calibri"/>
          <w:b/>
          <w:sz w:val="18"/>
          <w:szCs w:val="18"/>
        </w:rPr>
      </w:pPr>
      <w:r>
        <w:rPr>
          <w:rFonts w:cs="Calibri" w:ascii="Titillium" w:hAnsi="Titillium"/>
          <w:sz w:val="18"/>
          <w:szCs w:val="18"/>
        </w:rPr>
        <w:t xml:space="preserve">Le risposte alle richieste di chiarimenti presentate in tempo utile sono fornite in formato elettronico almeno 6 giorni prima della scadenza del termine fissato per la presentazione delle offerte, mediante pubblicazione delle richieste in forma anonima e delle relative risposte sulla PAD http://intercenter.regione.emilia-romagna.it/agenzia/utilizzo-del-sistema/guide/guide e sul sito istituzionale www.ausl.bologna.it, sezione bandi di gara e contratti, bandi di gara. </w:t>
      </w:r>
      <w:r>
        <w:rPr>
          <w:rFonts w:cs="Calibri" w:ascii="Titillium" w:hAnsi="Titillium"/>
          <w:b/>
          <w:sz w:val="18"/>
          <w:szCs w:val="18"/>
        </w:rPr>
        <w:t xml:space="preserve"> </w:t>
      </w:r>
    </w:p>
    <w:p>
      <w:pPr>
        <w:pStyle w:val="Normal"/>
        <w:spacing w:before="60" w:after="60"/>
        <w:rPr/>
      </w:pPr>
      <w:r>
        <w:rPr>
          <w:rFonts w:cs="Calibri" w:ascii="Titillium" w:hAnsi="Titillium"/>
          <w:sz w:val="18"/>
          <w:szCs w:val="18"/>
        </w:rPr>
        <w:t>Si invitano i concorrenti a visionare costantemente tale sezione della PAD o il sito istituzionale.</w:t>
      </w:r>
    </w:p>
    <w:p>
      <w:pPr>
        <w:pStyle w:val="Normal"/>
        <w:spacing w:before="60" w:after="60"/>
        <w:rPr>
          <w:rFonts w:ascii="Titillium" w:hAnsi="Titillium" w:cs="Calibri"/>
          <w:sz w:val="18"/>
          <w:szCs w:val="18"/>
        </w:rPr>
      </w:pPr>
      <w:r>
        <w:rPr>
          <w:rFonts w:cs="Calibri" w:ascii="Titillium" w:hAnsi="Titillium"/>
          <w:sz w:val="18"/>
          <w:szCs w:val="18"/>
        </w:rPr>
        <w:t xml:space="preserve">La PAD invia automaticamente agli operatori economici una segnalazione di avviso. </w:t>
      </w:r>
    </w:p>
    <w:p>
      <w:pPr>
        <w:pStyle w:val="Normal"/>
        <w:spacing w:before="60" w:after="60"/>
        <w:rPr>
          <w:rFonts w:ascii="Titillium" w:hAnsi="Titillium" w:cs="Calibri"/>
          <w:b/>
          <w:bCs/>
          <w:sz w:val="18"/>
          <w:szCs w:val="18"/>
        </w:rPr>
      </w:pPr>
      <w:r>
        <w:rPr>
          <w:rFonts w:cs="Calibri" w:ascii="Titillium" w:hAnsi="Titillium"/>
          <w:b/>
          <w:bCs/>
          <w:sz w:val="18"/>
          <w:szCs w:val="18"/>
        </w:rPr>
        <w:t>Non viene fornita risposta alle richieste presentate con modalità diverse da quelle sopra indicate.</w:t>
      </w:r>
    </w:p>
    <w:p>
      <w:pPr>
        <w:pStyle w:val="Normal"/>
        <w:spacing w:before="60" w:after="60"/>
        <w:rPr>
          <w:rFonts w:ascii="Titillium" w:hAnsi="Titillium" w:cs="Calibri"/>
          <w:sz w:val="18"/>
          <w:szCs w:val="18"/>
        </w:rPr>
      </w:pPr>
      <w:r>
        <w:rPr>
          <w:rFonts w:cs="Calibri" w:ascii="Titillium" w:hAnsi="Titillium"/>
          <w:sz w:val="18"/>
          <w:szCs w:val="18"/>
        </w:rPr>
      </w:r>
    </w:p>
    <w:p>
      <w:pPr>
        <w:pStyle w:val="Heading3"/>
        <w:numPr>
          <w:ilvl w:val="1"/>
          <w:numId w:val="3"/>
        </w:numPr>
        <w:ind w:hanging="426" w:left="426"/>
        <w:rPr>
          <w:rFonts w:ascii="Titillium" w:hAnsi="Titillium"/>
          <w:caps/>
          <w:sz w:val="18"/>
          <w:szCs w:val="18"/>
        </w:rPr>
      </w:pPr>
      <w:bookmarkStart w:id="67" w:name="__RefHeading___Toc11682_2735037374"/>
      <w:bookmarkStart w:id="68" w:name="_Toc207275725"/>
      <w:bookmarkStart w:id="69" w:name="_Ref132304898"/>
      <w:bookmarkEnd w:id="67"/>
      <w:r>
        <w:rPr>
          <w:rFonts w:ascii="Titillium" w:hAnsi="Titillium"/>
          <w:sz w:val="18"/>
          <w:szCs w:val="18"/>
        </w:rPr>
        <w:t>COMUNICAZIONI</w:t>
      </w:r>
      <w:bookmarkEnd w:id="68"/>
      <w:bookmarkEnd w:id="69"/>
    </w:p>
    <w:p>
      <w:pPr>
        <w:pStyle w:val="Normal"/>
        <w:rPr>
          <w:rFonts w:ascii="Titillium" w:hAnsi="Titillium"/>
          <w:sz w:val="18"/>
          <w:szCs w:val="18"/>
        </w:rPr>
      </w:pPr>
      <w:r>
        <w:rPr>
          <w:rFonts w:ascii="Titillium" w:hAnsi="Titillium"/>
          <w:sz w:val="18"/>
          <w:szCs w:val="18"/>
        </w:rPr>
        <w:t xml:space="preserve">Tutte le comunicazioni e gli scambi di informazioni tra stazione appaltante e operatori economici sono eseguiti in conformità con quanto disposto dal decreto legislativo n. 82/05, tramite la PAD e, per quanto non previsto dalle stessa piattaforma, mediante utilizzo del domicilio digitale estratto da uno degli indici di cui agli articoli 6-bis, 6-ter, 6-quater, del decreto legislativo n. 82/05 o, per gli operatori economici transfrontalieri, attraverso un indirizzo di servizio elettronico di recapito certificato qualificato ai sensi del Regolamento eIDAS. </w:t>
      </w:r>
    </w:p>
    <w:p>
      <w:pPr>
        <w:pStyle w:val="Normal"/>
        <w:rPr/>
      </w:pPr>
      <w:r>
        <w:rPr>
          <w:rFonts w:ascii="Titillium" w:hAnsi="Titillium"/>
          <w:sz w:val="18"/>
          <w:szCs w:val="18"/>
        </w:rPr>
        <w:t>In caso di malfunzionamento della PAD, la stazione appaltante provvederà all’invio di qualsiasi comunicazione al domicilio digitale presente negli indici di cui ai richiamati articoli 6-bis,6-ter, 6-quater del decreto legislativo n. 82/05.</w:t>
      </w:r>
    </w:p>
    <w:p>
      <w:pPr>
        <w:pStyle w:val="Normal"/>
        <w:spacing w:before="60" w:after="60"/>
        <w:rPr/>
      </w:pPr>
      <w:r>
        <w:rPr>
          <w:rFonts w:ascii="Titillium" w:hAnsi="Titillium"/>
          <w:sz w:val="18"/>
          <w:szCs w:val="18"/>
        </w:rPr>
        <w:t xml:space="preserve">In caso di raggruppamenti temporanei, GEIE, aggregazioni di rete o consorzi ordinari, anche se non ancora costituiti formalmente, gli operatori economici raggruppati, aggregati o consorziati eleggono domicilio digitale presso il mandatario/capofila al fine della ricezione delle comunicazioni relative alla presente procedura. </w:t>
      </w:r>
    </w:p>
    <w:p>
      <w:pPr>
        <w:pStyle w:val="Normal"/>
        <w:spacing w:before="60" w:after="60"/>
        <w:rPr/>
      </w:pPr>
      <w:r>
        <w:rPr>
          <w:rFonts w:ascii="Titillium" w:hAnsi="Titillium"/>
          <w:sz w:val="18"/>
          <w:szCs w:val="18"/>
        </w:rPr>
        <w:t>In caso di consorzi di cui all’art. 65 lett. b), c), d) del Codice, la comunicazione recapitata nei modi sopra indicati al consorzio si intende validamente resa a tutte le consorziate.</w:t>
      </w:r>
    </w:p>
    <w:p>
      <w:pPr>
        <w:pStyle w:val="Normal"/>
        <w:spacing w:before="60" w:after="60"/>
        <w:rPr/>
      </w:pPr>
      <w:r>
        <w:rPr>
          <w:rFonts w:ascii="Titillium" w:hAnsi="Titillium"/>
          <w:sz w:val="18"/>
          <w:szCs w:val="18"/>
        </w:rPr>
        <w:t>In caso di avvalimento, la comunicazione recapitata all’offerente nei modi sopra indicati si intende validamente resa a tutti gli operatori economici ausiliari.</w:t>
      </w:r>
    </w:p>
    <w:p>
      <w:pPr>
        <w:pStyle w:val="Normal"/>
        <w:rPr/>
      </w:pPr>
      <w:r>
        <w:rPr/>
      </w:r>
    </w:p>
    <w:p>
      <w:pPr>
        <w:pStyle w:val="Heading2"/>
        <w:numPr>
          <w:ilvl w:val="0"/>
          <w:numId w:val="3"/>
        </w:numPr>
        <w:rPr/>
      </w:pPr>
      <w:bookmarkStart w:id="70" w:name="__RefHeading___Toc11684_2735037374"/>
      <w:bookmarkStart w:id="71" w:name="_Toc207275726"/>
      <w:bookmarkStart w:id="72" w:name="_Ref132304635"/>
      <w:bookmarkStart w:id="73" w:name="_Ref132304546"/>
      <w:bookmarkStart w:id="74" w:name="_Ref132303600"/>
      <w:bookmarkStart w:id="75" w:name="_Ref131768152"/>
      <w:bookmarkStart w:id="76" w:name="_Ref498597801"/>
      <w:bookmarkStart w:id="77" w:name="_Toc392577488"/>
      <w:bookmarkStart w:id="78" w:name="_Toc393110555"/>
      <w:bookmarkStart w:id="79" w:name="_Toc393112119"/>
      <w:bookmarkStart w:id="80" w:name="_Toc393187836"/>
      <w:bookmarkStart w:id="81" w:name="_Toc393272592"/>
      <w:bookmarkStart w:id="82" w:name="_Toc393272650"/>
      <w:bookmarkStart w:id="83" w:name="_Toc393283166"/>
      <w:bookmarkStart w:id="84" w:name="_Toc393700825"/>
      <w:bookmarkStart w:id="85" w:name="_Toc393706898"/>
      <w:bookmarkStart w:id="86" w:name="_Toc397346813"/>
      <w:bookmarkStart w:id="87" w:name="_Toc397422854"/>
      <w:bookmarkStart w:id="88" w:name="_Toc403471261"/>
      <w:bookmarkStart w:id="89" w:name="_Toc406058367"/>
      <w:bookmarkStart w:id="90" w:name="_Toc406754168"/>
      <w:bookmarkStart w:id="91" w:name="_Toc416423353"/>
      <w:bookmarkStart w:id="92" w:name="_Toc354038170"/>
      <w:bookmarkStart w:id="93" w:name="_Toc380501861"/>
      <w:bookmarkStart w:id="94" w:name="_Toc391035973"/>
      <w:bookmarkStart w:id="95" w:name="_Toc391036046"/>
      <w:bookmarkEnd w:id="70"/>
      <w:r>
        <w:rPr/>
        <w:t>OGGETTO DELL’APPALTO</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ormal"/>
        <w:spacing w:before="60" w:after="60"/>
        <w:rPr>
          <w:vertAlign w:val="superscript"/>
        </w:rPr>
      </w:pPr>
      <w:r>
        <w:rPr>
          <w:rFonts w:ascii="Titillium" w:hAnsi="Titillium"/>
          <w:sz w:val="18"/>
          <w:szCs w:val="18"/>
        </w:rPr>
        <w:t>L’appalto è costituito da un unico</w:t>
      </w:r>
      <w:r>
        <w:rPr>
          <w:rFonts w:ascii="Titillium" w:hAnsi="Titillium"/>
          <w:sz w:val="18"/>
          <w:szCs w:val="18"/>
          <w:shd w:fill="FFFFFF" w:val="clear"/>
        </w:rPr>
        <w:t xml:space="preserve"> lotto poiché vi è unicità della prestazione.  </w:t>
      </w:r>
    </w:p>
    <w:p>
      <w:pPr>
        <w:pStyle w:val="Normal"/>
        <w:spacing w:before="60" w:after="60"/>
        <w:rPr>
          <w:rFonts w:ascii="Titillium" w:hAnsi="Titillium"/>
          <w:sz w:val="18"/>
          <w:szCs w:val="18"/>
          <w:highlight w:val="none"/>
          <w:shd w:fill="FFFFFF" w:val="clear"/>
        </w:rPr>
      </w:pPr>
      <w:r>
        <w:rPr>
          <w:rFonts w:ascii="Titillium" w:hAnsi="Titillium"/>
          <w:sz w:val="18"/>
          <w:szCs w:val="18"/>
          <w:shd w:fill="FFFFFF" w:val="clear"/>
        </w:rPr>
      </w:r>
    </w:p>
    <w:p>
      <w:pPr>
        <w:pStyle w:val="Normal"/>
        <w:spacing w:before="60" w:after="60"/>
        <w:rPr>
          <w:highlight w:val="none"/>
          <w:shd w:fill="FFFFFF" w:val="clear"/>
        </w:rPr>
      </w:pPr>
      <w:r>
        <w:rPr>
          <w:rFonts w:ascii="Titillium" w:hAnsi="Titillium"/>
          <w:sz w:val="18"/>
          <w:szCs w:val="18"/>
          <w:shd w:fill="FFFFFF" w:val="clear"/>
        </w:rPr>
        <w:t>Tabella 1</w:t>
      </w:r>
    </w:p>
    <w:tbl>
      <w:tblPr>
        <w:tblW w:w="9322" w:type="dxa"/>
        <w:jc w:val="left"/>
        <w:tblInd w:w="5" w:type="dxa"/>
        <w:tblLayout w:type="fixed"/>
        <w:tblCellMar>
          <w:top w:w="0" w:type="dxa"/>
          <w:left w:w="108" w:type="dxa"/>
          <w:bottom w:w="0" w:type="dxa"/>
          <w:right w:w="108" w:type="dxa"/>
        </w:tblCellMar>
        <w:tblLook w:val="04a0" w:firstRow="1" w:noVBand="1" w:lastRow="0" w:firstColumn="1" w:lastColumn="0" w:noHBand="0"/>
      </w:tblPr>
      <w:tblGrid>
        <w:gridCol w:w="670"/>
        <w:gridCol w:w="3920"/>
        <w:gridCol w:w="1349"/>
        <w:gridCol w:w="921"/>
        <w:gridCol w:w="894"/>
        <w:gridCol w:w="1568"/>
      </w:tblGrid>
      <w:tr>
        <w:trPr/>
        <w:tc>
          <w:tcPr>
            <w:tcW w:w="670"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rFonts w:ascii="Titillium" w:hAnsi="Titillium"/>
                <w:sz w:val="18"/>
                <w:szCs w:val="18"/>
              </w:rPr>
            </w:pPr>
            <w:r>
              <w:rPr>
                <w:rFonts w:ascii="Titillium" w:hAnsi="Titillium"/>
                <w:sz w:val="18"/>
                <w:szCs w:val="18"/>
              </w:rPr>
              <w:t>n.</w:t>
            </w:r>
          </w:p>
        </w:tc>
        <w:tc>
          <w:tcPr>
            <w:tcW w:w="392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60" w:after="60"/>
              <w:jc w:val="center"/>
              <w:rPr>
                <w:rFonts w:ascii="Titillium" w:hAnsi="Titillium"/>
                <w:sz w:val="18"/>
                <w:szCs w:val="18"/>
              </w:rPr>
            </w:pPr>
            <w:r>
              <w:rPr>
                <w:rFonts w:ascii="Titillium" w:hAnsi="Titillium"/>
                <w:sz w:val="18"/>
                <w:szCs w:val="18"/>
              </w:rPr>
              <w:t>Descrizione servizi/beni/lavori</w:t>
            </w:r>
          </w:p>
        </w:tc>
        <w:tc>
          <w:tcPr>
            <w:tcW w:w="134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60" w:after="60"/>
              <w:jc w:val="center"/>
              <w:rPr>
                <w:rFonts w:ascii="Titillium" w:hAnsi="Titillium"/>
                <w:sz w:val="18"/>
                <w:szCs w:val="18"/>
              </w:rPr>
            </w:pPr>
            <w:r>
              <w:rPr>
                <w:rFonts w:ascii="Titillium" w:hAnsi="Titillium"/>
                <w:sz w:val="18"/>
                <w:szCs w:val="18"/>
              </w:rPr>
              <w:t>CPV</w:t>
            </w:r>
          </w:p>
        </w:tc>
        <w:tc>
          <w:tcPr>
            <w:tcW w:w="92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60" w:after="60"/>
              <w:jc w:val="center"/>
              <w:rPr>
                <w:rFonts w:ascii="Titillium" w:hAnsi="Titillium"/>
                <w:sz w:val="18"/>
                <w:szCs w:val="18"/>
              </w:rPr>
            </w:pPr>
            <w:r>
              <w:rPr>
                <w:rFonts w:ascii="Titillium" w:hAnsi="Titillium"/>
                <w:sz w:val="18"/>
                <w:szCs w:val="18"/>
              </w:rPr>
              <w:t>ATECO</w:t>
            </w:r>
          </w:p>
        </w:tc>
        <w:tc>
          <w:tcPr>
            <w:tcW w:w="894"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60" w:after="60"/>
              <w:jc w:val="center"/>
              <w:rPr>
                <w:rFonts w:ascii="Titillium" w:hAnsi="Titillium"/>
                <w:sz w:val="18"/>
                <w:szCs w:val="18"/>
              </w:rPr>
            </w:pPr>
            <w:r>
              <w:rPr>
                <w:rFonts w:ascii="Titillium" w:hAnsi="Titillium"/>
                <w:sz w:val="18"/>
                <w:szCs w:val="18"/>
              </w:rPr>
              <w:t>P (principale)</w:t>
            </w:r>
          </w:p>
          <w:p>
            <w:pPr>
              <w:pStyle w:val="Normal"/>
              <w:spacing w:before="60" w:after="60"/>
              <w:jc w:val="center"/>
              <w:rPr>
                <w:rFonts w:ascii="Titillium" w:hAnsi="Titillium"/>
                <w:sz w:val="18"/>
                <w:szCs w:val="18"/>
              </w:rPr>
            </w:pPr>
            <w:r>
              <w:rPr>
                <w:rFonts w:ascii="Titillium" w:hAnsi="Titillium"/>
                <w:sz w:val="18"/>
                <w:szCs w:val="18"/>
              </w:rPr>
              <w:t>S (secondaria)</w:t>
            </w:r>
          </w:p>
        </w:tc>
        <w:tc>
          <w:tcPr>
            <w:tcW w:w="156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before="60" w:after="60"/>
              <w:jc w:val="center"/>
              <w:rPr>
                <w:rFonts w:ascii="Titillium" w:hAnsi="Titillium"/>
                <w:sz w:val="18"/>
                <w:szCs w:val="18"/>
              </w:rPr>
            </w:pPr>
            <w:r>
              <w:rPr>
                <w:rFonts w:ascii="Titillium" w:hAnsi="Titillium"/>
                <w:sz w:val="18"/>
                <w:szCs w:val="18"/>
              </w:rPr>
              <w:t>Importo</w:t>
            </w:r>
          </w:p>
        </w:tc>
      </w:tr>
      <w:tr>
        <w:trPr/>
        <w:tc>
          <w:tcPr>
            <w:tcW w:w="670"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tillium" w:hAnsi="Titillium"/>
                <w:sz w:val="18"/>
                <w:szCs w:val="18"/>
              </w:rPr>
            </w:pPr>
            <w:r>
              <w:rPr>
                <w:rFonts w:ascii="Titillium" w:hAnsi="Titillium"/>
                <w:sz w:val="18"/>
                <w:szCs w:val="18"/>
              </w:rPr>
              <w:t>1</w:t>
            </w:r>
          </w:p>
        </w:tc>
        <w:tc>
          <w:tcPr>
            <w:tcW w:w="392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tillium" w:hAnsi="Titillium"/>
                <w:sz w:val="18"/>
                <w:szCs w:val="18"/>
              </w:rPr>
            </w:pPr>
            <w:r>
              <w:rPr>
                <w:rFonts w:ascii="Titillium" w:hAnsi="Titillium"/>
                <w:sz w:val="18"/>
                <w:szCs w:val="18"/>
              </w:rPr>
              <w:t>Servizio trasporto persone con natanti</w:t>
            </w:r>
          </w:p>
        </w:tc>
        <w:tc>
          <w:tcPr>
            <w:tcW w:w="134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highlight w:val="none"/>
                <w:shd w:fill="FFFFFF" w:val="clear"/>
              </w:rPr>
            </w:pPr>
            <w:r>
              <w:rPr>
                <w:rFonts w:ascii="Titillium" w:hAnsi="Titillium"/>
                <w:sz w:val="18"/>
                <w:szCs w:val="18"/>
                <w:shd w:fill="FFFFFF" w:val="clear"/>
              </w:rPr>
              <w:t>60600000-4</w:t>
            </w:r>
          </w:p>
        </w:tc>
        <w:tc>
          <w:tcPr>
            <w:tcW w:w="92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highlight w:val="none"/>
                <w:shd w:fill="FFFFFF" w:val="clear"/>
              </w:rPr>
            </w:pPr>
            <w:r>
              <w:rPr>
                <w:rFonts w:ascii="Titillium" w:hAnsi="Titillium"/>
                <w:sz w:val="18"/>
                <w:szCs w:val="18"/>
                <w:shd w:fill="FFFFFF" w:val="clear"/>
              </w:rPr>
              <w:t>50.10.00 – 50.30.00</w:t>
            </w:r>
          </w:p>
        </w:tc>
        <w:tc>
          <w:tcPr>
            <w:tcW w:w="89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tillium" w:hAnsi="Titillium"/>
                <w:sz w:val="18"/>
                <w:szCs w:val="18"/>
              </w:rPr>
            </w:pPr>
            <w:r>
              <w:rPr>
                <w:rFonts w:ascii="Titillium" w:hAnsi="Titillium"/>
                <w:sz w:val="18"/>
                <w:szCs w:val="18"/>
              </w:rPr>
              <w:t>P</w:t>
            </w:r>
          </w:p>
        </w:tc>
        <w:tc>
          <w:tcPr>
            <w:tcW w:w="1568"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highlight w:val="none"/>
                <w:shd w:fill="FFFFFF" w:val="clear"/>
                <w:lang w:bidi="ar-SA"/>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107.000,00</w:t>
            </w:r>
          </w:p>
        </w:tc>
      </w:tr>
      <w:tr>
        <w:trPr/>
        <w:tc>
          <w:tcPr>
            <w:tcW w:w="7754" w:type="dxa"/>
            <w:gridSpan w:val="5"/>
            <w:tcBorders>
              <w:top w:val="single" w:sz="4" w:space="0" w:color="000000"/>
              <w:left w:val="single" w:sz="4" w:space="0" w:color="000000"/>
              <w:bottom w:val="single" w:sz="4" w:space="0" w:color="000000"/>
              <w:right w:val="single" w:sz="4" w:space="0" w:color="000000"/>
            </w:tcBorders>
          </w:tcPr>
          <w:p>
            <w:pPr>
              <w:pStyle w:val="ListParagraph"/>
              <w:numPr>
                <w:ilvl w:val="0"/>
                <w:numId w:val="29"/>
              </w:numPr>
              <w:spacing w:before="60" w:after="60"/>
              <w:ind w:hanging="284" w:left="3232"/>
              <w:contextualSpacing w:val="false"/>
              <w:jc w:val="left"/>
              <w:rPr/>
            </w:pPr>
            <w:r>
              <w:rPr>
                <w:rFonts w:ascii="Titillium" w:hAnsi="Titillium"/>
                <w:b/>
                <w:sz w:val="18"/>
                <w:szCs w:val="18"/>
              </w:rPr>
              <w:t>Importo a base di gara</w:t>
            </w:r>
          </w:p>
        </w:tc>
        <w:tc>
          <w:tcPr>
            <w:tcW w:w="1568"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08"/>
                <w:tab w:val="left" w:pos="0" w:leader="none"/>
                <w:tab w:val="left" w:pos="5580" w:leader="none"/>
              </w:tabs>
              <w:suppressAutoHyphens w:val="true"/>
              <w:bidi w:val="0"/>
              <w:spacing w:before="0" w:after="0"/>
              <w:jc w:val="both"/>
              <w:rPr>
                <w:rFonts w:ascii="Arial" w:hAnsi="Arial" w:eastAsia="Times New Roman" w:cs="Arial"/>
                <w:b/>
                <w:bCs/>
                <w:i w:val="false"/>
                <w:iCs w:val="false"/>
                <w:color w:val="auto"/>
                <w:kern w:val="0"/>
                <w:sz w:val="22"/>
                <w:szCs w:val="28"/>
                <w:highlight w:val="none"/>
                <w:shd w:fill="FFFFFF" w:val="clear"/>
                <w:lang w:bidi="ar-SA"/>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107.000,00</w:t>
            </w:r>
          </w:p>
        </w:tc>
      </w:tr>
      <w:tr>
        <w:trPr/>
        <w:tc>
          <w:tcPr>
            <w:tcW w:w="7754" w:type="dxa"/>
            <w:gridSpan w:val="5"/>
            <w:tcBorders>
              <w:top w:val="single" w:sz="4" w:space="0" w:color="000000"/>
              <w:left w:val="single" w:sz="4" w:space="0" w:color="000000"/>
              <w:bottom w:val="single" w:sz="4" w:space="0" w:color="000000"/>
              <w:right w:val="single" w:sz="4" w:space="0" w:color="000000"/>
            </w:tcBorders>
          </w:tcPr>
          <w:p>
            <w:pPr>
              <w:pStyle w:val="ListParagraph"/>
              <w:numPr>
                <w:ilvl w:val="0"/>
                <w:numId w:val="29"/>
              </w:numPr>
              <w:spacing w:before="60" w:after="60"/>
              <w:ind w:hanging="284" w:left="3232"/>
              <w:contextualSpacing w:val="false"/>
              <w:jc w:val="left"/>
              <w:rPr/>
            </w:pPr>
            <w:r>
              <w:rPr>
                <w:rFonts w:ascii="Titillium" w:hAnsi="Titillium"/>
                <w:b/>
                <w:sz w:val="18"/>
                <w:szCs w:val="18"/>
              </w:rPr>
              <w:t>Costi della sicurezza da interferenze non soggetti a ribasso</w:t>
            </w:r>
          </w:p>
        </w:tc>
        <w:tc>
          <w:tcPr>
            <w:tcW w:w="156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eastAsia="Times New Roman" w:cs="Arial"/>
                <w:b/>
                <w:bCs/>
                <w:i w:val="false"/>
                <w:iCs w:val="false"/>
                <w:color w:val="auto"/>
                <w:kern w:val="0"/>
                <w:sz w:val="22"/>
                <w:szCs w:val="28"/>
                <w:shd w:fill="FFFFFF" w:val="clear"/>
                <w:lang w:val="x-none" w:eastAsia="x-none" w:bidi="ar-SA"/>
              </w:rPr>
            </w:pPr>
            <w:r>
              <w:rPr>
                <w:rFonts w:eastAsia="Times New Roman" w:cs="Arial" w:ascii="Arial" w:hAnsi="Arial"/>
                <w:b/>
                <w:bCs/>
                <w:i w:val="false"/>
                <w:iCs w:val="false"/>
                <w:color w:val="000000"/>
                <w:kern w:val="0"/>
                <w:sz w:val="22"/>
                <w:szCs w:val="28"/>
                <w:shd w:fill="FFFFFF" w:val="clear"/>
                <w:lang w:val="x-none" w:eastAsia="x-none" w:bidi="ar-SA"/>
              </w:rPr>
              <w:t xml:space="preserve">€ </w:t>
            </w:r>
            <w:r>
              <w:rPr>
                <w:rFonts w:eastAsia="Times New Roman" w:cs="Arial" w:ascii="Arial" w:hAnsi="Arial"/>
                <w:b/>
                <w:bCs/>
                <w:i w:val="false"/>
                <w:iCs w:val="false"/>
                <w:color w:val="000000"/>
                <w:kern w:val="0"/>
                <w:sz w:val="22"/>
                <w:szCs w:val="28"/>
                <w:shd w:fill="FFFFFF" w:val="clear"/>
                <w:lang w:val="x-none" w:eastAsia="x-none" w:bidi="ar-SA"/>
              </w:rPr>
              <w:t>0</w:t>
            </w:r>
          </w:p>
        </w:tc>
      </w:tr>
      <w:tr>
        <w:trPr>
          <w:trHeight w:val="823" w:hRule="atLeast"/>
        </w:trPr>
        <w:tc>
          <w:tcPr>
            <w:tcW w:w="7754" w:type="dxa"/>
            <w:gridSpan w:val="5"/>
            <w:tcBorders>
              <w:top w:val="single" w:sz="4" w:space="0" w:color="000000"/>
              <w:left w:val="single" w:sz="4" w:space="0" w:color="000000"/>
              <w:bottom w:val="single" w:sz="4" w:space="0" w:color="000000"/>
              <w:right w:val="single" w:sz="4" w:space="0" w:color="000000"/>
            </w:tcBorders>
          </w:tcPr>
          <w:p>
            <w:pPr>
              <w:pStyle w:val="ListParagraph"/>
              <w:spacing w:before="60" w:after="60"/>
              <w:ind w:hanging="284" w:left="2807"/>
              <w:contextualSpacing/>
              <w:jc w:val="left"/>
              <w:rPr>
                <w:rFonts w:ascii="Titillium" w:hAnsi="Titillium"/>
                <w:b/>
                <w:sz w:val="18"/>
                <w:szCs w:val="18"/>
              </w:rPr>
            </w:pPr>
            <w:r>
              <w:rPr>
                <w:rFonts w:ascii="Titillium" w:hAnsi="Titillium"/>
                <w:b/>
                <w:sz w:val="18"/>
                <w:szCs w:val="18"/>
              </w:rPr>
              <w:t xml:space="preserve">A) + B) Importo complessivo </w:t>
            </w:r>
            <w:r>
              <w:rPr>
                <w:rFonts w:eastAsia="Times New Roman" w:cs="Arial" w:ascii="Arial" w:hAnsi="Arial"/>
                <w:b/>
                <w:bCs/>
                <w:i w:val="false"/>
                <w:iCs w:val="false"/>
                <w:color w:val="000000"/>
                <w:kern w:val="0"/>
                <w:sz w:val="22"/>
                <w:szCs w:val="28"/>
                <w:shd w:fill="FFFFFF" w:val="clear"/>
                <w:lang w:bidi="ar-SA"/>
              </w:rPr>
              <w:t>€ 107.000,00</w:t>
            </w:r>
          </w:p>
        </w:tc>
        <w:tc>
          <w:tcPr>
            <w:tcW w:w="156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29"/>
              </w:numPr>
              <w:spacing w:before="60" w:after="60"/>
              <w:ind w:hanging="360" w:left="2835"/>
              <w:contextualSpacing w:val="false"/>
              <w:jc w:val="left"/>
              <w:rPr>
                <w:rFonts w:ascii="Titillium" w:hAnsi="Titillium"/>
                <w:b/>
                <w:sz w:val="18"/>
                <w:szCs w:val="18"/>
              </w:rPr>
            </w:pPr>
            <w:r>
              <w:rPr>
                <w:rFonts w:ascii="Titillium" w:hAnsi="Titillium"/>
                <w:b/>
                <w:sz w:val="18"/>
                <w:szCs w:val="18"/>
              </w:rPr>
            </w:r>
            <w:bookmarkStart w:id="96" w:name="_Hlk132095196"/>
            <w:bookmarkEnd w:id="96"/>
          </w:p>
        </w:tc>
      </w:tr>
    </w:tbl>
    <w:p>
      <w:pPr>
        <w:pStyle w:val="Normal"/>
        <w:spacing w:before="60" w:after="60"/>
        <w:rPr>
          <w:rFonts w:ascii="Titillium" w:hAnsi="Titillium"/>
          <w:sz w:val="18"/>
          <w:szCs w:val="18"/>
          <w:highlight w:val="none"/>
          <w:shd w:fill="FFFFFF" w:val="clear"/>
        </w:rPr>
      </w:pPr>
      <w:r>
        <w:rPr>
          <w:rFonts w:ascii="Titillium" w:hAnsi="Titillium"/>
          <w:sz w:val="18"/>
          <w:szCs w:val="18"/>
          <w:shd w:fill="FFFFFF" w:val="clear"/>
        </w:rPr>
      </w:r>
    </w:p>
    <w:p>
      <w:pPr>
        <w:pStyle w:val="Normal"/>
        <w:spacing w:before="60" w:after="60"/>
        <w:rPr>
          <w:highlight w:val="none"/>
          <w:shd w:fill="FFFFFF" w:val="clear"/>
        </w:rPr>
      </w:pPr>
      <w:r>
        <w:rPr>
          <w:rFonts w:ascii="Titillium" w:hAnsi="Titillium"/>
          <w:sz w:val="18"/>
          <w:szCs w:val="18"/>
          <w:shd w:fill="FFFFFF" w:val="clear"/>
        </w:rPr>
        <w:t>L’importo a base di gara comprende i costi della manodopera che la stazione appaltante ha stimato pari al 55% dell’importo a base d’asta e quindi pari ad € 58.850,00</w:t>
      </w:r>
      <w:r>
        <w:rPr>
          <w:rFonts w:ascii="Titillium" w:hAnsi="Titillium"/>
          <w:i/>
          <w:sz w:val="18"/>
          <w:szCs w:val="18"/>
          <w:shd w:fill="FFFFFF" w:val="clear"/>
        </w:rPr>
        <w:t xml:space="preserve"> </w:t>
      </w:r>
      <w:r>
        <w:rPr>
          <w:rFonts w:ascii="Titillium" w:hAnsi="Titillium"/>
          <w:sz w:val="18"/>
          <w:szCs w:val="18"/>
          <w:shd w:fill="FFFFFF" w:val="clear"/>
        </w:rPr>
        <w:t>calcolati sulla base dei contratti di servizi analoghi.</w:t>
      </w:r>
    </w:p>
    <w:p>
      <w:pPr>
        <w:pStyle w:val="Normal"/>
        <w:spacing w:before="60" w:after="60"/>
        <w:rPr>
          <w:highlight w:val="none"/>
          <w:shd w:fill="FFFFFF" w:val="clear"/>
        </w:rPr>
      </w:pPr>
      <w:bookmarkStart w:id="97" w:name="_Hlk193974566"/>
      <w:r>
        <w:rPr>
          <w:rFonts w:ascii="Titillium" w:hAnsi="Titillium"/>
          <w:b/>
          <w:bCs/>
          <w:iCs/>
          <w:sz w:val="18"/>
          <w:szCs w:val="18"/>
          <w:shd w:fill="FFFFFF" w:val="clear"/>
        </w:rPr>
        <w:t xml:space="preserve">I costi della manodopera non sono ribassabili </w:t>
      </w:r>
      <w:r>
        <w:rPr>
          <w:rFonts w:ascii="Titillium" w:hAnsi="Titillium"/>
          <w:bCs/>
          <w:iCs/>
          <w:sz w:val="18"/>
          <w:szCs w:val="18"/>
          <w:shd w:fill="FFFFFF" w:val="clear"/>
        </w:rPr>
        <w:t>se non per dimostrate ragioni attinenti ad una più efficiente organizzazione aziendale o a condizioni fiscali o contributive di maggior favore che non comportano penalizzazioni per la manodopera.</w:t>
      </w:r>
      <w:bookmarkEnd w:id="97"/>
    </w:p>
    <w:p>
      <w:pPr>
        <w:pStyle w:val="Normal"/>
        <w:spacing w:before="60" w:after="60"/>
        <w:rPr>
          <w:rFonts w:ascii="Titillium" w:hAnsi="Titillium"/>
          <w:iCs/>
          <w:sz w:val="18"/>
          <w:szCs w:val="18"/>
        </w:rPr>
      </w:pPr>
      <w:r>
        <w:rPr>
          <w:rFonts w:ascii="Titillium" w:hAnsi="Titillium"/>
          <w:iCs/>
          <w:sz w:val="18"/>
          <w:szCs w:val="18"/>
        </w:rPr>
        <w:t xml:space="preserve">Il contratto collettivo nazionale di lavoro applicato al personale dipendente impiegato nell'attività oggetto dell'appalto è il seguente: </w:t>
      </w:r>
      <w:r>
        <w:rPr>
          <w:rFonts w:ascii="TimesNewRomanPSMT" w:hAnsi="TimesNewRomanPSMT"/>
          <w:b/>
          <w:bCs/>
          <w:sz w:val="20"/>
          <w:shd w:fill="FFFFFF" w:val="clear"/>
        </w:rPr>
        <w:t>H 012</w:t>
      </w:r>
      <w:r>
        <w:rPr>
          <w:rFonts w:ascii="TimesNewRomanPSMT" w:hAnsi="TimesNewRomanPSMT"/>
          <w:sz w:val="20"/>
          <w:shd w:fill="FFFFFF" w:val="clear"/>
        </w:rPr>
        <w:t xml:space="preserve"> – </w:t>
      </w:r>
      <w:r>
        <w:rPr>
          <w:rFonts w:eastAsia="Times New Roman" w:cs="Times New Roman" w:ascii="Titillium" w:hAnsi="Titillium"/>
          <w:iCs/>
          <w:color w:val="000000"/>
          <w:kern w:val="0"/>
          <w:sz w:val="18"/>
          <w:szCs w:val="18"/>
          <w:shd w:fill="FFFFFF" w:val="clear"/>
          <w:lang w:val="it-IT" w:eastAsia="en-US" w:bidi="ar-SA"/>
          <w14:ligatures w14:val="none"/>
        </w:rPr>
        <w:t>CCNL per i dipendenti da aziende del terziario della distribuzione e dei servizi.</w:t>
      </w:r>
    </w:p>
    <w:p>
      <w:pPr>
        <w:pStyle w:val="Normal"/>
        <w:spacing w:before="60" w:after="60"/>
        <w:rPr>
          <w:rFonts w:ascii="Titillium" w:hAnsi="Titillium" w:cs="Calibri"/>
          <w:sz w:val="18"/>
          <w:szCs w:val="18"/>
        </w:rPr>
      </w:pPr>
      <w:r>
        <w:rPr>
          <w:rFonts w:ascii="Titillium" w:hAnsi="Titillium"/>
          <w:sz w:val="18"/>
          <w:szCs w:val="18"/>
        </w:rPr>
        <w:t xml:space="preserve">L’importo complessivo è al </w:t>
      </w:r>
      <w:r>
        <w:rPr>
          <w:rFonts w:cs="Calibri" w:ascii="Titillium" w:hAnsi="Titillium"/>
          <w:sz w:val="18"/>
          <w:szCs w:val="18"/>
        </w:rPr>
        <w:t>netto di</w:t>
      </w:r>
      <w:r>
        <w:rPr>
          <w:rFonts w:cs="Calibri" w:ascii="Titillium" w:hAnsi="Titillium"/>
          <w:i/>
          <w:sz w:val="18"/>
          <w:szCs w:val="18"/>
        </w:rPr>
        <w:t xml:space="preserve"> </w:t>
      </w:r>
      <w:r>
        <w:rPr>
          <w:rFonts w:cs="Calibri" w:ascii="Titillium" w:hAnsi="Titillium"/>
          <w:sz w:val="18"/>
          <w:szCs w:val="18"/>
        </w:rPr>
        <w:t>Iva.</w:t>
      </w:r>
    </w:p>
    <w:p>
      <w:pPr>
        <w:pStyle w:val="Normal"/>
        <w:spacing w:before="60" w:after="60"/>
        <w:rPr>
          <w:rFonts w:ascii="Titillium" w:hAnsi="Titillium"/>
          <w:sz w:val="18"/>
          <w:szCs w:val="18"/>
        </w:rPr>
      </w:pPr>
      <w:r>
        <w:rPr>
          <w:rFonts w:ascii="Titillium" w:hAnsi="Titillium"/>
          <w:sz w:val="18"/>
          <w:szCs w:val="18"/>
        </w:rPr>
        <w:t>L’appalto è finanziato con fondi dell’Azienda Committente.</w:t>
      </w:r>
    </w:p>
    <w:p>
      <w:pPr>
        <w:pStyle w:val="Heading3"/>
        <w:numPr>
          <w:ilvl w:val="1"/>
          <w:numId w:val="3"/>
        </w:numPr>
        <w:spacing w:before="120" w:after="80"/>
        <w:ind w:hanging="426" w:left="426"/>
        <w:rPr/>
      </w:pPr>
      <w:bookmarkStart w:id="98" w:name="__RefHeading___Toc11686_2735037374"/>
      <w:bookmarkStart w:id="99" w:name="_Toc207275727"/>
      <w:bookmarkStart w:id="100" w:name="_Toc484688819"/>
      <w:bookmarkStart w:id="101" w:name="_Toc485218255"/>
      <w:bookmarkStart w:id="102" w:name="_Toc483302328"/>
      <w:bookmarkStart w:id="103" w:name="_Toc483315878"/>
      <w:bookmarkStart w:id="104" w:name="_Toc483316084"/>
      <w:bookmarkStart w:id="105" w:name="_Toc483316287"/>
      <w:bookmarkStart w:id="106" w:name="_Toc483316418"/>
      <w:bookmarkStart w:id="107" w:name="_Toc483325721"/>
      <w:bookmarkStart w:id="108" w:name="_Toc483401200"/>
      <w:bookmarkStart w:id="109" w:name="_Toc483473997"/>
      <w:bookmarkStart w:id="110" w:name="_Toc483571426"/>
      <w:bookmarkStart w:id="111" w:name="_Toc483571547"/>
      <w:bookmarkStart w:id="112" w:name="_Toc483906924"/>
      <w:bookmarkStart w:id="113" w:name="_Toc484010674"/>
      <w:bookmarkStart w:id="114" w:name="_Toc484010796"/>
      <w:bookmarkStart w:id="115" w:name="_Toc484010920"/>
      <w:bookmarkStart w:id="116" w:name="_Toc484011042"/>
      <w:bookmarkStart w:id="117" w:name="_Toc484011164"/>
      <w:bookmarkStart w:id="118" w:name="_Toc484011639"/>
      <w:bookmarkStart w:id="119" w:name="_Toc484097713"/>
      <w:bookmarkStart w:id="120" w:name="_Toc484428885"/>
      <w:bookmarkStart w:id="121" w:name="_Toc484429055"/>
      <w:bookmarkStart w:id="122" w:name="_Toc484438630"/>
      <w:bookmarkStart w:id="123" w:name="_Toc484438754"/>
      <w:bookmarkStart w:id="124" w:name="_Toc484438878"/>
      <w:bookmarkStart w:id="125" w:name="_Toc484439798"/>
      <w:bookmarkStart w:id="126" w:name="_Toc484439921"/>
      <w:bookmarkStart w:id="127" w:name="_Toc484440045"/>
      <w:bookmarkStart w:id="128" w:name="_Toc484440405"/>
      <w:bookmarkStart w:id="129" w:name="_Toc484448064"/>
      <w:bookmarkStart w:id="130" w:name="_Toc484448189"/>
      <w:bookmarkStart w:id="131" w:name="_Toc484448313"/>
      <w:bookmarkStart w:id="132" w:name="_Toc484448437"/>
      <w:bookmarkStart w:id="133" w:name="_Toc484448561"/>
      <w:bookmarkStart w:id="134" w:name="_Toc484448685"/>
      <w:bookmarkStart w:id="135" w:name="_Toc484448808"/>
      <w:bookmarkStart w:id="136" w:name="_Toc484448932"/>
      <w:bookmarkStart w:id="137" w:name="_Toc484449056"/>
      <w:bookmarkStart w:id="138" w:name="_Toc484526551"/>
      <w:bookmarkStart w:id="139" w:name="_Toc484605271"/>
      <w:bookmarkStart w:id="140" w:name="_Toc484605395"/>
      <w:bookmarkStart w:id="141" w:name="_Toc484688264"/>
      <w:bookmarkEnd w:id="98"/>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ascii="Titillium" w:hAnsi="Titillium"/>
          <w:sz w:val="18"/>
          <w:szCs w:val="18"/>
        </w:rPr>
        <w:t>DURATA</w:t>
      </w:r>
      <w:bookmarkEnd w:id="99"/>
      <w:r>
        <w:rPr>
          <w:rFonts w:ascii="Titillium" w:hAnsi="Titillium"/>
          <w:sz w:val="18"/>
          <w:szCs w:val="18"/>
        </w:rPr>
        <w:t xml:space="preserve"> </w:t>
      </w:r>
    </w:p>
    <w:p>
      <w:pPr>
        <w:pStyle w:val="Normal"/>
        <w:spacing w:before="120" w:after="60"/>
        <w:rPr>
          <w:highlight w:val="none"/>
          <w:shd w:fill="FFFFFF" w:val="clear"/>
        </w:rPr>
      </w:pPr>
      <w:r>
        <w:rPr>
          <w:rFonts w:ascii="Titillium" w:hAnsi="Titillium"/>
          <w:sz w:val="18"/>
          <w:szCs w:val="18"/>
          <w:shd w:fill="FFFFFF" w:val="clear"/>
        </w:rPr>
        <w:t>La durata dell’appalto (escluse le eventuali opzioni) è di due anni</w:t>
      </w:r>
      <w:r>
        <w:rPr>
          <w:rFonts w:ascii="Titillium" w:hAnsi="Titillium"/>
          <w:i/>
          <w:iCs/>
          <w:sz w:val="18"/>
          <w:szCs w:val="18"/>
          <w:shd w:fill="FFFFFF" w:val="clear"/>
        </w:rPr>
        <w:t>,</w:t>
      </w:r>
      <w:r>
        <w:rPr>
          <w:rFonts w:ascii="Titillium" w:hAnsi="Titillium"/>
          <w:sz w:val="18"/>
          <w:szCs w:val="18"/>
          <w:shd w:fill="FFFFFF" w:val="clear"/>
        </w:rPr>
        <w:t xml:space="preserve"> decorrenti dalla data di sottoscrizione del con</w:t>
      </w:r>
      <w:r>
        <w:rPr>
          <w:rFonts w:eastAsia="Times New Roman" w:cs="Times New Roman" w:ascii="Titillium" w:hAnsi="Titillium"/>
          <w:color w:val="000000"/>
          <w:kern w:val="0"/>
          <w:sz w:val="18"/>
          <w:szCs w:val="18"/>
          <w:shd w:fill="FFFFFF" w:val="clear"/>
          <w:lang w:val="it-IT" w:eastAsia="en-US" w:bidi="ar-SA"/>
          <w14:ligatures w14:val="none"/>
        </w:rPr>
        <w:t xml:space="preserve">tratto con possibilità di rinnovo di anno in anno per ulteriori due anni.. </w:t>
      </w:r>
    </w:p>
    <w:p>
      <w:pPr>
        <w:pStyle w:val="Normal"/>
        <w:spacing w:before="60" w:after="60"/>
        <w:rPr>
          <w:highlight w:val="none"/>
          <w:shd w:fill="FFFFFF" w:val="clear"/>
        </w:rPr>
      </w:pPr>
      <w:r>
        <w:rPr>
          <w:rFonts w:ascii="Titillium" w:hAnsi="Titillium"/>
          <w:bCs/>
          <w:sz w:val="18"/>
          <w:szCs w:val="18"/>
          <w:shd w:fill="FFFFFF" w:val="clear"/>
        </w:rPr>
        <w:t xml:space="preserve">In casi eccezionali, il contratto in corso di esecuzione può essere prorogato per il tempo strettamente necessario alla conclusione della procedura di individuazione del nuovo contraente se si verificano </w:t>
      </w:r>
      <w:r>
        <w:rPr>
          <w:rFonts w:ascii="Titillium" w:hAnsi="Titillium"/>
          <w:sz w:val="18"/>
          <w:szCs w:val="18"/>
          <w:shd w:fill="FFFFFF" w:val="clear"/>
        </w:rPr>
        <w:t>le condizioni indicate all’articolo 120, comma 11, del Codice.</w:t>
      </w:r>
      <w:r>
        <w:rPr>
          <w:rFonts w:ascii="Titillium" w:hAnsi="Titillium"/>
          <w:b/>
          <w:bCs/>
          <w:i/>
          <w:sz w:val="18"/>
          <w:szCs w:val="18"/>
          <w:shd w:fill="FFFFFF" w:val="clear"/>
        </w:rPr>
        <w:t xml:space="preserve"> </w:t>
      </w:r>
      <w:r>
        <w:rPr>
          <w:rFonts w:ascii="Titillium" w:hAnsi="Titillium"/>
          <w:sz w:val="18"/>
          <w:szCs w:val="18"/>
          <w:shd w:fill="FFFFFF" w:val="clear"/>
        </w:rPr>
        <w:t>In tal caso il contraente è tenuto all’esecuzione delle prestazioni oggetto del contratto agli stessi prezzi, patti e condizioni previsti nel contratto.</w:t>
      </w:r>
    </w:p>
    <w:p>
      <w:pPr>
        <w:pStyle w:val="Normal"/>
        <w:spacing w:before="120" w:after="60"/>
        <w:rPr>
          <w:rFonts w:ascii="Titillium" w:hAnsi="Titillium"/>
          <w:i/>
          <w:iCs/>
          <w:sz w:val="18"/>
          <w:szCs w:val="18"/>
          <w:highlight w:val="none"/>
          <w:shd w:fill="FFFFFF" w:val="clear"/>
        </w:rPr>
      </w:pPr>
      <w:r>
        <w:rPr>
          <w:rFonts w:ascii="Titillium" w:hAnsi="Titillium"/>
          <w:i/>
          <w:iCs/>
          <w:sz w:val="18"/>
          <w:szCs w:val="18"/>
          <w:shd w:fill="FFFFFF" w:val="clear"/>
        </w:rPr>
      </w:r>
    </w:p>
    <w:p>
      <w:pPr>
        <w:pStyle w:val="Heading3"/>
        <w:numPr>
          <w:ilvl w:val="1"/>
          <w:numId w:val="3"/>
        </w:numPr>
        <w:spacing w:before="120" w:after="80"/>
        <w:ind w:hanging="426" w:left="426"/>
        <w:rPr>
          <w:rFonts w:ascii="Titillium" w:hAnsi="Titillium"/>
          <w:b/>
          <w:bCs/>
          <w:sz w:val="18"/>
          <w:szCs w:val="18"/>
        </w:rPr>
      </w:pPr>
      <w:bookmarkStart w:id="142" w:name="__RefHeading___Toc11688_2735037374"/>
      <w:bookmarkStart w:id="143" w:name="_Toc207275728"/>
      <w:bookmarkEnd w:id="142"/>
      <w:r>
        <w:rPr>
          <w:rFonts w:ascii="Titillium" w:hAnsi="Titillium"/>
          <w:sz w:val="18"/>
          <w:szCs w:val="18"/>
        </w:rPr>
        <w:t>REVISIONE PREZZI</w:t>
      </w:r>
      <w:bookmarkEnd w:id="143"/>
      <w:r>
        <w:rPr>
          <w:rFonts w:ascii="Titillium" w:hAnsi="Titillium"/>
          <w:sz w:val="18"/>
          <w:szCs w:val="18"/>
        </w:rPr>
        <w:t xml:space="preserve"> </w:t>
      </w:r>
    </w:p>
    <w:p>
      <w:pPr>
        <w:pStyle w:val="Normal"/>
        <w:spacing w:before="120" w:after="60"/>
        <w:rPr>
          <w:rFonts w:ascii="Titillium" w:hAnsi="Titillium"/>
          <w:sz w:val="18"/>
          <w:szCs w:val="18"/>
        </w:rPr>
      </w:pPr>
      <w:r>
        <w:rPr>
          <w:rFonts w:ascii="Titillium" w:hAnsi="Titillium"/>
          <w:bCs/>
          <w:iCs/>
          <w:sz w:val="18"/>
          <w:szCs w:val="18"/>
        </w:rPr>
        <w:t>Q</w:t>
      </w:r>
      <w:r>
        <w:rPr>
          <w:rFonts w:ascii="Titillium" w:hAnsi="Titillium"/>
          <w:iCs/>
          <w:sz w:val="18"/>
          <w:szCs w:val="18"/>
        </w:rPr>
        <w:t xml:space="preserve">ualora nel corso di esecuzione del contratto, al verificarsi di particolari condizioni di natura oggettiva, si determina </w:t>
      </w:r>
      <w:r>
        <w:rPr>
          <w:rFonts w:cs="Calibri" w:ascii="Titillium" w:hAnsi="Titillium"/>
          <w:iCs/>
          <w:sz w:val="18"/>
          <w:szCs w:val="18"/>
        </w:rPr>
        <w:t>una variazione, in aumento o in diminuzione, del costo del servizio o dei beni superiore al cinque per cento dell’importo complessivo, i prezzi sono aggiornati automaticamente, nella misura dell’ottanta per cento del</w:t>
      </w:r>
      <w:r>
        <w:rPr>
          <w:rFonts w:ascii="Titillium" w:hAnsi="Titillium"/>
          <w:sz w:val="18"/>
          <w:szCs w:val="18"/>
        </w:rPr>
        <w:t xml:space="preserve"> valore eccedente la variazione del 5 per cento applicata alle prestazioni da eseguire. Ai fini della determinazione della variazione dei costi e dei prezzi si utilizzano gli indici sintetici elaborati dall’ISTAT con riguardo ai contratti di servizi e forniture, anche disaggregati, dei prezzi al consumo, dei prezzi alla produzione dell’industria e dei servizi e gli indici delle retribuzioni contrattuali orarie.</w:t>
      </w:r>
    </w:p>
    <w:p>
      <w:pPr>
        <w:pStyle w:val="Normal"/>
        <w:spacing w:before="120" w:after="60"/>
        <w:rPr>
          <w:rFonts w:ascii="Titillium" w:hAnsi="Titillium"/>
          <w:sz w:val="18"/>
          <w:szCs w:val="18"/>
        </w:rPr>
      </w:pPr>
      <w:r>
        <w:rPr>
          <w:rFonts w:ascii="Titillium" w:hAnsi="Titillium"/>
          <w:sz w:val="18"/>
          <w:szCs w:val="18"/>
        </w:rPr>
        <w:t>L'appaltatore potrà presentare richiesta scritta di revisione dei prezzi alla stazione appaltante, corredata dalla documentazione che attesti la variazione degli indici di prezzo.</w:t>
      </w:r>
    </w:p>
    <w:p>
      <w:pPr>
        <w:pStyle w:val="Normal"/>
        <w:spacing w:before="120" w:after="60"/>
        <w:rPr>
          <w:rFonts w:ascii="Titillium" w:hAnsi="Titillium"/>
          <w:sz w:val="18"/>
          <w:szCs w:val="18"/>
        </w:rPr>
      </w:pPr>
      <w:r>
        <w:rPr>
          <w:rFonts w:ascii="Titillium" w:hAnsi="Titillium"/>
          <w:sz w:val="18"/>
          <w:szCs w:val="18"/>
        </w:rPr>
        <w:t>La stazione appaltante valuterà la richiesta entro 30 giorni dalla ricezione della stessa. In caso di esito positivo, la revisione dei prezzi sarà formalizzata mediante comunicazione.</w:t>
      </w:r>
    </w:p>
    <w:p>
      <w:pPr>
        <w:pStyle w:val="Normal"/>
        <w:spacing w:before="120" w:after="60"/>
        <w:rPr>
          <w:rFonts w:ascii="Titillium" w:hAnsi="Titillium"/>
          <w:sz w:val="18"/>
          <w:szCs w:val="18"/>
        </w:rPr>
      </w:pPr>
      <w:r>
        <w:rPr>
          <w:rFonts w:ascii="Titillium" w:hAnsi="Titillium"/>
          <w:sz w:val="18"/>
          <w:szCs w:val="18"/>
        </w:rPr>
        <w:t>La revisione dei prezzi non potrà, in nessun caso, alterare la natura generale del contratto né comportare una modifica sostanziale delle prestazioni previste.</w:t>
      </w:r>
    </w:p>
    <w:p>
      <w:pPr>
        <w:pStyle w:val="Normal"/>
        <w:spacing w:before="120" w:after="60"/>
        <w:rPr>
          <w:rFonts w:ascii="Titillium" w:hAnsi="Titillium"/>
          <w:sz w:val="18"/>
          <w:szCs w:val="18"/>
        </w:rPr>
      </w:pPr>
      <w:r>
        <w:rPr>
          <w:rFonts w:ascii="Titillium" w:hAnsi="Titillium"/>
          <w:sz w:val="18"/>
          <w:szCs w:val="18"/>
        </w:rPr>
        <w:t>Le nuove condizioni economiche determinate dalla revisione dei prezzi saranno applicabili a partire dal 30° giorno successivo alla data di accettazione da parte della stazione appaltante.</w:t>
      </w:r>
    </w:p>
    <w:p>
      <w:pPr>
        <w:pStyle w:val="Normal"/>
        <w:spacing w:before="120" w:after="60"/>
        <w:rPr>
          <w:rFonts w:ascii="Titillium" w:hAnsi="Titillium"/>
          <w:color w:val="FF0000"/>
          <w:sz w:val="18"/>
          <w:szCs w:val="18"/>
        </w:rPr>
      </w:pPr>
      <w:r>
        <w:rPr>
          <w:rFonts w:ascii="Titillium" w:hAnsi="Titillium"/>
          <w:color w:val="FF0000"/>
          <w:sz w:val="18"/>
          <w:szCs w:val="18"/>
        </w:rPr>
      </w:r>
    </w:p>
    <w:p>
      <w:pPr>
        <w:pStyle w:val="Heading3"/>
        <w:numPr>
          <w:ilvl w:val="1"/>
          <w:numId w:val="3"/>
        </w:numPr>
        <w:spacing w:before="120" w:after="80"/>
        <w:ind w:hanging="426" w:left="426"/>
        <w:rPr>
          <w:rFonts w:ascii="Titillium" w:hAnsi="Titillium"/>
          <w:sz w:val="18"/>
          <w:szCs w:val="18"/>
        </w:rPr>
      </w:pPr>
      <w:bookmarkStart w:id="144" w:name="__RefHeading___Toc11690_2735037374"/>
      <w:bookmarkStart w:id="145" w:name="_Toc207275729"/>
      <w:bookmarkEnd w:id="144"/>
      <w:r>
        <w:rPr>
          <w:rFonts w:ascii="Titillium" w:hAnsi="Titillium"/>
          <w:sz w:val="18"/>
          <w:szCs w:val="18"/>
        </w:rPr>
        <w:t>MODIFICA DEL CONTRATTO IN FASE DI ESECUZIONE</w:t>
      </w:r>
      <w:bookmarkEnd w:id="145"/>
    </w:p>
    <w:p>
      <w:pPr>
        <w:pStyle w:val="Normal"/>
        <w:spacing w:before="120" w:after="60"/>
        <w:rPr>
          <w:rFonts w:ascii="Titillium" w:hAnsi="Titillium"/>
          <w:sz w:val="18"/>
          <w:szCs w:val="18"/>
        </w:rPr>
      </w:pPr>
      <w:r>
        <w:rPr>
          <w:rFonts w:ascii="Titillium" w:hAnsi="Titillium"/>
          <w:b/>
          <w:iCs/>
          <w:sz w:val="18"/>
          <w:szCs w:val="18"/>
        </w:rPr>
        <w:t>Opzione di proroga del contratto</w:t>
      </w:r>
      <w:r>
        <w:rPr>
          <w:rFonts w:ascii="Titillium" w:hAnsi="Titillium"/>
          <w:bCs/>
          <w:iCs/>
          <w:sz w:val="18"/>
          <w:szCs w:val="18"/>
        </w:rPr>
        <w:t>: la stazione appaltante si riserva di prorogare</w:t>
      </w:r>
      <w:r>
        <w:rPr>
          <w:rFonts w:eastAsia="Times New Roman" w:cs="Times New Roman" w:ascii="Titillium" w:hAnsi="Titillium"/>
          <w:bCs/>
          <w:iCs/>
          <w:color w:val="auto"/>
          <w:kern w:val="0"/>
          <w:sz w:val="18"/>
          <w:szCs w:val="18"/>
          <w:lang w:val="it-IT" w:eastAsia="en-US" w:bidi="ar-SA"/>
          <w14:ligatures w14:val="none"/>
        </w:rPr>
        <w:t xml:space="preserve"> il contratto per una durata massima pari a 6 mesi ai prezzi, patti e condizioni stabiliti nel contratto. L’importo stimato di tale opzione è pari a € 26.750,00, al netto di Iva. L’esercizio di tale facoltà è comunicato all’appaltatore almeno 30 giorni prima della scadenza del contratto.</w:t>
      </w:r>
    </w:p>
    <w:p>
      <w:pPr>
        <w:pStyle w:val="Normal"/>
        <w:spacing w:before="60" w:after="60"/>
        <w:rPr>
          <w:rFonts w:ascii="Titillium" w:hAnsi="Titillium"/>
          <w:bCs/>
          <w:iCs/>
          <w:sz w:val="18"/>
          <w:szCs w:val="18"/>
        </w:rPr>
      </w:pPr>
      <w:bookmarkStart w:id="146" w:name="_Toc484688821"/>
      <w:bookmarkStart w:id="147" w:name="_Toc485218257"/>
      <w:bookmarkStart w:id="148" w:name="_Toc482025708"/>
      <w:bookmarkStart w:id="149" w:name="_Toc482097531"/>
      <w:bookmarkStart w:id="150" w:name="_Toc482097620"/>
      <w:bookmarkStart w:id="151" w:name="_Toc482097709"/>
      <w:bookmarkStart w:id="152" w:name="_Toc482097901"/>
      <w:bookmarkStart w:id="153" w:name="_Toc482098999"/>
      <w:bookmarkStart w:id="154" w:name="_Toc483302330"/>
      <w:bookmarkStart w:id="155" w:name="_Toc483315880"/>
      <w:bookmarkStart w:id="156" w:name="_Toc483316086"/>
      <w:bookmarkStart w:id="157" w:name="_Toc483316289"/>
      <w:bookmarkStart w:id="158" w:name="_Toc483316420"/>
      <w:bookmarkStart w:id="159" w:name="_Toc483325723"/>
      <w:bookmarkStart w:id="160" w:name="_Toc483401202"/>
      <w:bookmarkStart w:id="161" w:name="_Toc483473999"/>
      <w:bookmarkStart w:id="162" w:name="_Toc483571428"/>
      <w:bookmarkStart w:id="163" w:name="_Toc483571549"/>
      <w:bookmarkStart w:id="164" w:name="_Toc483906926"/>
      <w:bookmarkStart w:id="165" w:name="_Toc484010676"/>
      <w:bookmarkStart w:id="166" w:name="_Toc484010798"/>
      <w:bookmarkStart w:id="167" w:name="_Toc484010922"/>
      <w:bookmarkStart w:id="168" w:name="_Toc484011044"/>
      <w:bookmarkStart w:id="169" w:name="_Toc484011166"/>
      <w:bookmarkStart w:id="170" w:name="_Toc484011641"/>
      <w:bookmarkStart w:id="171" w:name="_Toc484097715"/>
      <w:bookmarkStart w:id="172" w:name="_Toc484428887"/>
      <w:bookmarkStart w:id="173" w:name="_Toc484429057"/>
      <w:bookmarkStart w:id="174" w:name="_Toc484438632"/>
      <w:bookmarkStart w:id="175" w:name="_Toc484438756"/>
      <w:bookmarkStart w:id="176" w:name="_Toc484438880"/>
      <w:bookmarkStart w:id="177" w:name="_Toc484439800"/>
      <w:bookmarkStart w:id="178" w:name="_Toc484439923"/>
      <w:bookmarkStart w:id="179" w:name="_Toc484440047"/>
      <w:bookmarkStart w:id="180" w:name="_Toc484440407"/>
      <w:bookmarkStart w:id="181" w:name="_Toc484448066"/>
      <w:bookmarkStart w:id="182" w:name="_Toc484448191"/>
      <w:bookmarkStart w:id="183" w:name="_Toc484448315"/>
      <w:bookmarkStart w:id="184" w:name="_Toc484448439"/>
      <w:bookmarkStart w:id="185" w:name="_Toc484448563"/>
      <w:bookmarkStart w:id="186" w:name="_Toc484448687"/>
      <w:bookmarkStart w:id="187" w:name="_Toc484448810"/>
      <w:bookmarkStart w:id="188" w:name="_Toc484448934"/>
      <w:bookmarkStart w:id="189" w:name="_Toc484449058"/>
      <w:bookmarkStart w:id="190" w:name="_Toc484526553"/>
      <w:bookmarkStart w:id="191" w:name="_Toc484605273"/>
      <w:bookmarkStart w:id="192" w:name="_Toc484605397"/>
      <w:bookmarkStart w:id="193" w:name="_Toc484688266"/>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Fonts w:ascii="Titillium" w:hAnsi="Titillium"/>
          <w:b/>
          <w:iCs/>
          <w:sz w:val="18"/>
          <w:szCs w:val="18"/>
        </w:rPr>
        <w:t xml:space="preserve">Variazione fino a concorrenza del quinto dell’importo del contratto: </w:t>
      </w:r>
      <w:r>
        <w:rPr>
          <w:rFonts w:ascii="Titillium" w:hAnsi="Titillium"/>
          <w:bCs/>
          <w:iCs/>
          <w:sz w:val="18"/>
          <w:szCs w:val="18"/>
        </w:rPr>
        <w:t xml:space="preserve">qualora in corso di esecuzione si renda necessario un aumento o una diminuzione delle prestazioni fino alla concorrenza del quinto dell'importo del contratto, la stazione appaltante può imporre all'appaltatore l'esecuzione alle condizioni originariamente previste. In tal caso l'appaltatore non può fare valere il diritto alla risoluzione del contratto. </w:t>
      </w:r>
    </w:p>
    <w:p>
      <w:pPr>
        <w:pStyle w:val="Normal"/>
        <w:spacing w:before="60" w:after="60"/>
        <w:rPr>
          <w:rFonts w:ascii="Titillium" w:hAnsi="Titillium" w:cs="Calibri"/>
          <w:iCs/>
          <w:sz w:val="18"/>
          <w:szCs w:val="18"/>
        </w:rPr>
      </w:pPr>
      <w:r>
        <w:rPr>
          <w:rFonts w:ascii="Titillium" w:hAnsi="Titillium"/>
          <w:b/>
          <w:bCs/>
          <w:iCs/>
          <w:sz w:val="18"/>
          <w:szCs w:val="18"/>
        </w:rPr>
        <w:t>M</w:t>
      </w:r>
      <w:r>
        <w:rPr>
          <w:rFonts w:cs="Calibri" w:ascii="Titillium" w:hAnsi="Titillium"/>
          <w:b/>
          <w:bCs/>
          <w:iCs/>
          <w:sz w:val="18"/>
          <w:szCs w:val="18"/>
        </w:rPr>
        <w:t xml:space="preserve">odifiche del contratto ai sensi dell’articolo 120, comma 1, lettera a) del Codice: </w:t>
      </w:r>
      <w:r>
        <w:rPr>
          <w:rFonts w:cs="Calibri" w:ascii="Titillium" w:hAnsi="Titillium"/>
          <w:iCs/>
          <w:sz w:val="18"/>
          <w:szCs w:val="18"/>
        </w:rPr>
        <w:t>la stazione appaltante si riserva di modificare il contratto in corso di esecuzione, nei casi di aumento dei fabbisogno o adesione di altre Aziende Sanitarie.</w:t>
      </w:r>
    </w:p>
    <w:p>
      <w:pPr>
        <w:pStyle w:val="Normal"/>
        <w:spacing w:before="60" w:after="60"/>
        <w:rPr>
          <w:i/>
        </w:rPr>
      </w:pPr>
      <w:r>
        <w:rPr>
          <w:rFonts w:ascii="Titillium" w:hAnsi="Titillium"/>
          <w:iCs/>
          <w:sz w:val="18"/>
          <w:szCs w:val="18"/>
        </w:rPr>
        <w:t xml:space="preserve">Il </w:t>
      </w:r>
      <w:r>
        <w:rPr>
          <w:rFonts w:ascii="Titillium" w:hAnsi="Titillium"/>
          <w:b/>
          <w:bCs/>
          <w:sz w:val="18"/>
          <w:szCs w:val="18"/>
        </w:rPr>
        <w:t>valore globale stimato</w:t>
      </w:r>
      <w:r>
        <w:rPr>
          <w:rFonts w:ascii="Titillium" w:hAnsi="Titillium"/>
          <w:sz w:val="18"/>
          <w:szCs w:val="18"/>
        </w:rPr>
        <w:t xml:space="preserve"> dell’appalto è pari ad </w:t>
      </w:r>
      <w:r>
        <w:rPr>
          <w:rFonts w:eastAsia="Times New Roman" w:cs="Arial" w:ascii="Arial" w:hAnsi="Arial"/>
          <w:b/>
          <w:bCs/>
          <w:i w:val="false"/>
          <w:iCs w:val="false"/>
          <w:color w:val="000000"/>
          <w:kern w:val="0"/>
          <w:sz w:val="22"/>
          <w:szCs w:val="28"/>
          <w:shd w:fill="FFFFFF" w:val="clear"/>
          <w:lang w:val="x-none" w:eastAsia="x-none" w:bidi="ar-SA"/>
        </w:rPr>
        <w:t xml:space="preserve"> € 332.150,00</w:t>
      </w:r>
    </w:p>
    <w:p>
      <w:pPr>
        <w:pStyle w:val="caption1"/>
        <w:rPr>
          <w:highlight w:val="none"/>
          <w:shd w:fill="FFFFFF" w:val="clear"/>
        </w:rPr>
      </w:pPr>
      <w:r>
        <w:rPr>
          <w:rFonts w:ascii="Titillium" w:hAnsi="Titillium"/>
          <w:sz w:val="18"/>
          <w:shd w:fill="FFFFFF" w:val="clear"/>
        </w:rPr>
        <w:t xml:space="preserve">Tabella </w:t>
      </w:r>
      <w:r>
        <w:rPr>
          <w:rFonts w:ascii="Titillium" w:hAnsi="Titillium"/>
          <w:sz w:val="18"/>
          <w:shd w:fill="FFFFFF" w:val="clear"/>
        </w:rPr>
        <w:fldChar w:fldCharType="begin"/>
      </w:r>
      <w:r>
        <w:rPr>
          <w:rFonts w:ascii="Titillium" w:hAnsi="Titillium"/>
          <w:sz w:val="18"/>
          <w:shd w:fill="FFFFFF" w:val="clear"/>
        </w:rPr>
        <w:instrText xml:space="preserve"> SEQ Tabella \* ARABIC </w:instrText>
      </w:r>
      <w:r>
        <w:rPr>
          <w:rFonts w:ascii="Titillium" w:hAnsi="Titillium"/>
          <w:sz w:val="18"/>
          <w:shd w:fill="FFFFFF" w:val="clear"/>
        </w:rPr>
        <w:fldChar w:fldCharType="separate"/>
      </w:r>
      <w:r>
        <w:rPr>
          <w:rFonts w:ascii="Titillium" w:hAnsi="Titillium"/>
          <w:sz w:val="18"/>
          <w:shd w:fill="FFFFFF" w:val="clear"/>
        </w:rPr>
        <w:t>1</w:t>
      </w:r>
      <w:r>
        <w:rPr>
          <w:rFonts w:ascii="Titillium" w:hAnsi="Titillium"/>
          <w:sz w:val="18"/>
          <w:shd w:fill="FFFFFF" w:val="clear"/>
        </w:rPr>
        <w:fldChar w:fldCharType="end"/>
      </w:r>
    </w:p>
    <w:tbl>
      <w:tblPr>
        <w:tblStyle w:val="Grigliatabella"/>
        <w:tblW w:w="9214"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5943"/>
        <w:gridCol w:w="3271"/>
      </w:tblGrid>
      <w:tr>
        <w:trPr/>
        <w:tc>
          <w:tcPr>
            <w:tcW w:w="5943" w:type="dxa"/>
            <w:tcBorders/>
          </w:tcPr>
          <w:p>
            <w:pPr>
              <w:pStyle w:val="Normal"/>
              <w:widowControl/>
              <w:suppressAutoHyphens w:val="true"/>
              <w:spacing w:before="0" w:after="0"/>
              <w:rPr>
                <w:rFonts w:ascii="Titillium" w:hAnsi="Titillium"/>
                <w:sz w:val="18"/>
                <w:szCs w:val="18"/>
              </w:rPr>
            </w:pPr>
            <w:r>
              <w:rPr>
                <w:rFonts w:ascii="Titillium" w:hAnsi="Titillium"/>
                <w:b/>
                <w:sz w:val="18"/>
                <w:szCs w:val="18"/>
                <w:lang w:val="it-IT" w:eastAsia="it-IT" w:bidi="ar-SA"/>
              </w:rPr>
              <w:t>Importo complessivo (A+B)</w:t>
            </w:r>
          </w:p>
        </w:tc>
        <w:tc>
          <w:tcPr>
            <w:tcW w:w="3271" w:type="dxa"/>
            <w:tcBorders/>
          </w:tcPr>
          <w:p>
            <w:pPr>
              <w:pStyle w:val="Normal"/>
              <w:widowControl/>
              <w:suppressAutoHyphens w:val="true"/>
              <w:spacing w:before="0" w:after="0"/>
              <w:rPr>
                <w:rFonts w:ascii="Arial" w:hAnsi="Arial" w:eastAsia="Times New Roman" w:cs="Arial"/>
                <w:b/>
                <w:bCs/>
                <w:i w:val="false"/>
                <w:iCs w:val="false"/>
                <w:color w:val="auto"/>
                <w:kern w:val="0"/>
                <w:sz w:val="22"/>
                <w:szCs w:val="28"/>
                <w:shd w:fill="FFFFFF" w:val="clear"/>
                <w:lang w:val="x-none" w:eastAsia="x-none" w:bidi="ar-SA"/>
              </w:rPr>
            </w:pPr>
            <w:r>
              <w:rPr>
                <w:rFonts w:eastAsia="Times New Roman" w:cs="Arial" w:ascii="Arial" w:hAnsi="Arial"/>
                <w:b/>
                <w:bCs/>
                <w:i w:val="false"/>
                <w:iCs w:val="false"/>
                <w:color w:val="000000"/>
                <w:kern w:val="0"/>
                <w:sz w:val="22"/>
                <w:szCs w:val="28"/>
                <w:shd w:fill="FFFFFF" w:val="clear"/>
                <w:lang w:val="x-none" w:eastAsia="x-none" w:bidi="ar-SA"/>
              </w:rPr>
              <w:t xml:space="preserve">€ </w:t>
            </w:r>
            <w:r>
              <w:rPr>
                <w:rFonts w:eastAsia="Times New Roman" w:cs="Arial" w:ascii="Arial" w:hAnsi="Arial"/>
                <w:b/>
                <w:bCs/>
                <w:i w:val="false"/>
                <w:iCs w:val="false"/>
                <w:color w:val="000000"/>
                <w:kern w:val="0"/>
                <w:sz w:val="22"/>
                <w:szCs w:val="28"/>
                <w:shd w:fill="FFFFFF" w:val="clear"/>
                <w:lang w:val="x-none" w:eastAsia="x-none" w:bidi="ar-SA"/>
              </w:rPr>
              <w:t>107.000,00</w:t>
            </w:r>
          </w:p>
        </w:tc>
      </w:tr>
      <w:tr>
        <w:trPr>
          <w:trHeight w:val="324" w:hRule="atLeast"/>
        </w:trPr>
        <w:tc>
          <w:tcPr>
            <w:tcW w:w="5943" w:type="dxa"/>
            <w:tcBorders/>
          </w:tcPr>
          <w:p>
            <w:pPr>
              <w:pStyle w:val="Normal"/>
              <w:widowControl/>
              <w:suppressAutoHyphens w:val="true"/>
              <w:spacing w:before="0" w:after="0"/>
              <w:rPr>
                <w:rFonts w:ascii="Titillium" w:hAnsi="Titillium"/>
                <w:sz w:val="18"/>
                <w:szCs w:val="18"/>
              </w:rPr>
            </w:pPr>
            <w:r>
              <w:rPr>
                <w:rFonts w:ascii="Titillium" w:hAnsi="Titillium"/>
                <w:sz w:val="18"/>
                <w:szCs w:val="18"/>
                <w:lang w:val="it-IT" w:eastAsia="it-IT" w:bidi="ar-SA"/>
              </w:rPr>
              <w:t>Importo per l’opzione di proroga contrattuale</w:t>
            </w:r>
          </w:p>
        </w:tc>
        <w:tc>
          <w:tcPr>
            <w:tcW w:w="3271" w:type="dxa"/>
            <w:tcBorders/>
          </w:tcPr>
          <w:p>
            <w:pPr>
              <w:pStyle w:val="BodyText"/>
              <w:tabs>
                <w:tab w:val="clear" w:pos="708"/>
                <w:tab w:val="left" w:pos="0" w:leader="none"/>
                <w:tab w:val="left" w:pos="5580" w:leader="none"/>
              </w:tabs>
              <w:suppressAutoHyphens w:val="true"/>
              <w:bidi w:val="0"/>
              <w:spacing w:before="0" w:after="0"/>
              <w:jc w:val="both"/>
              <w:rPr>
                <w:highlight w:val="none"/>
                <w:shd w:fill="FFFFFF" w:val="clear"/>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26.750,00</w:t>
            </w:r>
          </w:p>
        </w:tc>
      </w:tr>
      <w:tr>
        <w:trPr/>
        <w:tc>
          <w:tcPr>
            <w:tcW w:w="5943" w:type="dxa"/>
            <w:tcBorders/>
          </w:tcPr>
          <w:p>
            <w:pPr>
              <w:pStyle w:val="Normal"/>
              <w:widowControl/>
              <w:suppressAutoHyphens w:val="true"/>
              <w:spacing w:before="0" w:after="0"/>
              <w:rPr>
                <w:rFonts w:ascii="Titillium" w:hAnsi="Titillium"/>
                <w:sz w:val="18"/>
                <w:szCs w:val="18"/>
              </w:rPr>
            </w:pPr>
            <w:r>
              <w:rPr>
                <w:rFonts w:ascii="Titillium" w:hAnsi="Titillium"/>
                <w:sz w:val="18"/>
                <w:szCs w:val="18"/>
                <w:lang w:val="it-IT" w:eastAsia="it-IT" w:bidi="ar-SA"/>
              </w:rPr>
              <w:t>Importo per eventuale rinnovo</w:t>
            </w:r>
          </w:p>
        </w:tc>
        <w:tc>
          <w:tcPr>
            <w:tcW w:w="3271" w:type="dxa"/>
            <w:tcBorders/>
          </w:tcPr>
          <w:p>
            <w:pPr>
              <w:pStyle w:val="BodyText"/>
              <w:tabs>
                <w:tab w:val="clear" w:pos="708"/>
                <w:tab w:val="left" w:pos="0" w:leader="none"/>
                <w:tab w:val="left" w:pos="5580" w:leader="none"/>
              </w:tabs>
              <w:suppressAutoHyphens w:val="true"/>
              <w:bidi w:val="0"/>
              <w:spacing w:before="0" w:after="0"/>
              <w:jc w:val="both"/>
              <w:rPr>
                <w:highlight w:val="none"/>
                <w:shd w:fill="FFFFFF" w:val="clear"/>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107.000,00</w:t>
            </w:r>
          </w:p>
        </w:tc>
      </w:tr>
      <w:tr>
        <w:trPr>
          <w:trHeight w:val="333" w:hRule="atLeast"/>
        </w:trPr>
        <w:tc>
          <w:tcPr>
            <w:tcW w:w="5943" w:type="dxa"/>
            <w:tcBorders/>
          </w:tcPr>
          <w:p>
            <w:pPr>
              <w:pStyle w:val="Normal"/>
              <w:widowControl/>
              <w:suppressAutoHyphens w:val="true"/>
              <w:spacing w:before="0" w:after="0"/>
              <w:rPr>
                <w:rFonts w:ascii="Titillium" w:hAnsi="Titillium"/>
                <w:sz w:val="18"/>
                <w:szCs w:val="18"/>
              </w:rPr>
            </w:pPr>
            <w:r>
              <w:rPr>
                <w:rFonts w:ascii="Titillium" w:hAnsi="Titillium"/>
                <w:sz w:val="18"/>
                <w:szCs w:val="18"/>
                <w:lang w:val="it-IT" w:eastAsia="it-IT" w:bidi="ar-SA"/>
              </w:rPr>
              <w:t>Importo massimo del quinto d’obbligo, in caso di variazioni in aumento</w:t>
            </w:r>
          </w:p>
        </w:tc>
        <w:tc>
          <w:tcPr>
            <w:tcW w:w="3271" w:type="dxa"/>
            <w:tcBorders/>
          </w:tcPr>
          <w:p>
            <w:pPr>
              <w:pStyle w:val="BodyText"/>
              <w:tabs>
                <w:tab w:val="clear" w:pos="708"/>
                <w:tab w:val="left" w:pos="0" w:leader="none"/>
                <w:tab w:val="left" w:pos="5580" w:leader="none"/>
              </w:tabs>
              <w:suppressAutoHyphens w:val="true"/>
              <w:bidi w:val="0"/>
              <w:spacing w:before="0" w:after="0"/>
              <w:jc w:val="both"/>
              <w:rPr>
                <w:highlight w:val="none"/>
                <w:shd w:fill="FFFFFF" w:val="clear"/>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21.400,00</w:t>
            </w:r>
          </w:p>
        </w:tc>
      </w:tr>
      <w:tr>
        <w:trPr/>
        <w:tc>
          <w:tcPr>
            <w:tcW w:w="5943" w:type="dxa"/>
            <w:tcBorders/>
          </w:tcPr>
          <w:p>
            <w:pPr>
              <w:pStyle w:val="Normal"/>
              <w:widowControl/>
              <w:suppressAutoHyphens w:val="true"/>
              <w:spacing w:before="0" w:after="0"/>
              <w:rPr>
                <w:rFonts w:ascii="Titillium" w:hAnsi="Titillium"/>
                <w:sz w:val="18"/>
                <w:szCs w:val="18"/>
              </w:rPr>
            </w:pPr>
            <w:r>
              <w:rPr>
                <w:rFonts w:ascii="Titillium" w:hAnsi="Titillium"/>
                <w:sz w:val="18"/>
                <w:szCs w:val="18"/>
                <w:lang w:val="it-IT" w:eastAsia="it-IT" w:bidi="ar-SA"/>
              </w:rPr>
              <w:t>Modifiche del contratto ai sensi dell’articolo 120, comma 1, lettera a) del Codice</w:t>
            </w:r>
          </w:p>
        </w:tc>
        <w:tc>
          <w:tcPr>
            <w:tcW w:w="3271" w:type="dxa"/>
            <w:tcBorders/>
          </w:tcPr>
          <w:p>
            <w:pPr>
              <w:pStyle w:val="BodyText"/>
              <w:tabs>
                <w:tab w:val="clear" w:pos="708"/>
                <w:tab w:val="left" w:pos="0" w:leader="none"/>
                <w:tab w:val="left" w:pos="5580" w:leader="none"/>
              </w:tabs>
              <w:suppressAutoHyphens w:val="true"/>
              <w:bidi w:val="0"/>
              <w:spacing w:before="0" w:after="0"/>
              <w:jc w:val="both"/>
              <w:rPr>
                <w:highlight w:val="none"/>
                <w:shd w:fill="FFFFFF" w:val="clear"/>
              </w:rPr>
            </w:pPr>
            <w:r>
              <w:rPr>
                <w:rFonts w:eastAsia="Times New Roman" w:cs="Arial" w:ascii="Arial" w:hAnsi="Arial"/>
                <w:b/>
                <w:bCs/>
                <w:i w:val="false"/>
                <w:iCs w:val="false"/>
                <w:color w:val="000000"/>
                <w:kern w:val="0"/>
                <w:sz w:val="22"/>
                <w:szCs w:val="28"/>
                <w:shd w:fill="FFFFFF" w:val="clear"/>
                <w:lang w:bidi="ar-SA"/>
              </w:rPr>
              <w:t xml:space="preserve">€   </w:t>
            </w:r>
            <w:r>
              <w:rPr>
                <w:rFonts w:eastAsia="Times New Roman" w:cs="Arial" w:ascii="Arial" w:hAnsi="Arial"/>
                <w:b/>
                <w:bCs/>
                <w:i w:val="false"/>
                <w:iCs w:val="false"/>
                <w:color w:val="000000"/>
                <w:kern w:val="0"/>
                <w:sz w:val="22"/>
                <w:szCs w:val="28"/>
                <w:shd w:fill="FFFFFF" w:val="clear"/>
                <w:lang w:bidi="ar-SA"/>
              </w:rPr>
              <w:t>70.000,00</w:t>
            </w:r>
          </w:p>
        </w:tc>
      </w:tr>
      <w:tr>
        <w:trPr/>
        <w:tc>
          <w:tcPr>
            <w:tcW w:w="5943" w:type="dxa"/>
            <w:tcBorders/>
          </w:tcPr>
          <w:p>
            <w:pPr>
              <w:pStyle w:val="Normal"/>
              <w:widowControl/>
              <w:suppressAutoHyphens w:val="true"/>
              <w:spacing w:before="0" w:after="0"/>
              <w:jc w:val="right"/>
              <w:rPr>
                <w:rFonts w:ascii="Titillium" w:hAnsi="Titillium"/>
                <w:sz w:val="18"/>
                <w:szCs w:val="18"/>
              </w:rPr>
            </w:pPr>
            <w:r>
              <w:rPr>
                <w:rFonts w:ascii="Titillium" w:hAnsi="Titillium"/>
                <w:b/>
                <w:bCs/>
                <w:sz w:val="18"/>
                <w:szCs w:val="18"/>
                <w:lang w:val="it-IT" w:eastAsia="it-IT" w:bidi="ar-SA"/>
              </w:rPr>
              <w:t>Valore globale stimato</w:t>
            </w:r>
          </w:p>
        </w:tc>
        <w:tc>
          <w:tcPr>
            <w:tcW w:w="3271" w:type="dxa"/>
            <w:tcBorders/>
          </w:tcPr>
          <w:p>
            <w:pPr>
              <w:pStyle w:val="Normal"/>
              <w:widowControl/>
              <w:suppressAutoHyphens w:val="true"/>
              <w:spacing w:before="0" w:after="0"/>
              <w:rPr>
                <w:rFonts w:ascii="Arial" w:hAnsi="Arial" w:eastAsia="Times New Roman" w:cs="Arial"/>
                <w:b/>
                <w:bCs/>
                <w:i w:val="false"/>
                <w:iCs w:val="false"/>
                <w:color w:val="auto"/>
                <w:kern w:val="0"/>
                <w:sz w:val="22"/>
                <w:szCs w:val="28"/>
                <w:shd w:fill="FFFFFF" w:val="clear"/>
                <w:lang w:val="x-none" w:eastAsia="x-none" w:bidi="ar-SA"/>
              </w:rPr>
            </w:pPr>
            <w:r>
              <w:rPr>
                <w:rFonts w:eastAsia="Times New Roman" w:cs="Arial" w:ascii="Arial" w:hAnsi="Arial"/>
                <w:b/>
                <w:bCs/>
                <w:i w:val="false"/>
                <w:iCs w:val="false"/>
                <w:color w:val="000000"/>
                <w:kern w:val="0"/>
                <w:sz w:val="22"/>
                <w:szCs w:val="28"/>
                <w:shd w:fill="FFFFFF" w:val="clear"/>
                <w:lang w:val="x-none" w:eastAsia="x-none" w:bidi="ar-SA"/>
              </w:rPr>
              <w:t xml:space="preserve"> € </w:t>
            </w:r>
            <w:r>
              <w:rPr>
                <w:rFonts w:eastAsia="Times New Roman" w:cs="Arial" w:ascii="Arial" w:hAnsi="Arial"/>
                <w:b/>
                <w:bCs/>
                <w:i w:val="false"/>
                <w:iCs w:val="false"/>
                <w:color w:val="000000"/>
                <w:kern w:val="0"/>
                <w:sz w:val="22"/>
                <w:szCs w:val="28"/>
                <w:shd w:fill="FFFFFF" w:val="clear"/>
                <w:lang w:val="x-none" w:eastAsia="x-none" w:bidi="ar-SA"/>
              </w:rPr>
              <w:t>332.150,00</w:t>
            </w:r>
          </w:p>
        </w:tc>
      </w:tr>
    </w:tbl>
    <w:p>
      <w:pPr>
        <w:pStyle w:val="Normal"/>
        <w:rPr/>
      </w:pPr>
      <w:r>
        <w:rPr/>
      </w:r>
    </w:p>
    <w:p>
      <w:pPr>
        <w:pStyle w:val="Heading2"/>
        <w:numPr>
          <w:ilvl w:val="0"/>
          <w:numId w:val="3"/>
        </w:numPr>
        <w:rPr>
          <w:iCs/>
        </w:rPr>
      </w:pPr>
      <w:bookmarkStart w:id="194" w:name="__RefHeading___Toc11692_2735037374"/>
      <w:bookmarkStart w:id="195" w:name="_Toc207275730"/>
      <w:bookmarkStart w:id="196" w:name="_Toc497831535"/>
      <w:bookmarkStart w:id="197" w:name="_Toc498419727"/>
      <w:bookmarkEnd w:id="194"/>
      <w:bookmarkEnd w:id="196"/>
      <w:bookmarkEnd w:id="197"/>
      <w:r>
        <w:rPr/>
        <w:t>SOGGETTI AMMESSI IN FORMA SINGOLA E ASSOCIATA E CONDIZIONI DI PARTECIPAZIONE</w:t>
      </w:r>
      <w:bookmarkEnd w:id="195"/>
    </w:p>
    <w:p>
      <w:pPr>
        <w:pStyle w:val="Normal"/>
        <w:spacing w:before="60" w:after="60"/>
        <w:rPr>
          <w:rFonts w:ascii="Titillium" w:hAnsi="Titillium" w:cs="Calibri"/>
          <w:sz w:val="18"/>
          <w:szCs w:val="18"/>
        </w:rPr>
      </w:pPr>
      <w:r>
        <w:rPr>
          <w:rFonts w:cs="Calibri" w:ascii="Titillium" w:hAnsi="Titillium"/>
          <w:sz w:val="18"/>
          <w:szCs w:val="18"/>
        </w:rPr>
        <w:t>Gli operatori economici possono partecipare alla presente gara in forma singola o associata.</w:t>
      </w:r>
    </w:p>
    <w:p>
      <w:pPr>
        <w:pStyle w:val="Normal"/>
        <w:spacing w:before="60" w:after="60"/>
        <w:rPr>
          <w:rFonts w:ascii="Titillium" w:hAnsi="Titillium" w:cs="Calibri"/>
          <w:sz w:val="18"/>
          <w:szCs w:val="18"/>
        </w:rPr>
      </w:pPr>
      <w:r>
        <w:rPr>
          <w:rFonts w:cs="Calibri" w:ascii="Titillium" w:hAnsi="Titillium"/>
          <w:sz w:val="18"/>
          <w:szCs w:val="18"/>
        </w:rPr>
        <w:t xml:space="preserve">Ai soggetti costituiti in forma associata si applicano le disposizioni di cui agli articoli 67 e 68 del Codice. </w:t>
      </w:r>
    </w:p>
    <w:p>
      <w:pPr>
        <w:pStyle w:val="Normal"/>
        <w:spacing w:before="60" w:after="60"/>
        <w:rPr>
          <w:rFonts w:ascii="Titillium" w:hAnsi="Titillium" w:cs="Courier New"/>
          <w:sz w:val="18"/>
          <w:szCs w:val="18"/>
        </w:rPr>
      </w:pPr>
      <w:r>
        <w:rPr>
          <w:rFonts w:cs="Courier New" w:ascii="Titillium" w:hAnsi="Titillium"/>
          <w:sz w:val="18"/>
          <w:szCs w:val="18"/>
        </w:rPr>
        <w:t>I consorzi di cui agli articoli 65, comma 2, lett.  d) del Codice che intendono eseguire le prestazioni tramite le proprie consorziate sono tenuti ad indicare in sede di offerta per quali consorziati il consorzio concorre.</w:t>
      </w:r>
    </w:p>
    <w:p>
      <w:pPr>
        <w:pStyle w:val="Normal"/>
        <w:spacing w:before="60" w:after="60"/>
        <w:rPr>
          <w:rFonts w:ascii="Titillium" w:hAnsi="Titillium" w:cs="Courier New"/>
          <w:sz w:val="18"/>
          <w:szCs w:val="18"/>
        </w:rPr>
      </w:pPr>
      <w:r>
        <w:rPr>
          <w:rFonts w:cs="Courier New" w:ascii="Titillium" w:hAnsi="Titillium"/>
          <w:sz w:val="18"/>
          <w:szCs w:val="18"/>
        </w:rPr>
        <w:t>I consorzi di cui agli articoli 65, comma 2, lett. b) e c) del Codice sono tenuti ad indicare in sede di offerta per quali consorziati il consorzio concorre.</w:t>
      </w:r>
    </w:p>
    <w:p>
      <w:pPr>
        <w:pStyle w:val="Normal"/>
        <w:spacing w:before="60" w:after="60"/>
        <w:rPr>
          <w:rFonts w:ascii="Titillium" w:hAnsi="Titillium" w:cs="Courier New"/>
          <w:sz w:val="18"/>
          <w:szCs w:val="18"/>
        </w:rPr>
      </w:pPr>
      <w:r>
        <w:rPr>
          <w:rFonts w:cs="Courier New" w:ascii="Titillium" w:hAnsi="Titillium"/>
          <w:sz w:val="18"/>
          <w:szCs w:val="18"/>
        </w:rPr>
        <w:t>Quando la consorziata designata è, a sua volta, un consorzio di cui all'articolo 65, comma 2, lettere b) e c), è tenuto anch'esso a indicare, in sede di offerta, le consorziate per le quali concorre.</w:t>
      </w:r>
    </w:p>
    <w:p>
      <w:pPr>
        <w:pStyle w:val="Normal"/>
        <w:spacing w:before="60" w:after="60"/>
        <w:rPr>
          <w:rFonts w:ascii="Titillium" w:hAnsi="Titillium" w:cs="Courier New"/>
          <w:sz w:val="18"/>
          <w:szCs w:val="18"/>
        </w:rPr>
      </w:pPr>
      <w:r>
        <w:rPr>
          <w:rFonts w:cs="Courier New" w:ascii="Titillium" w:hAnsi="Titillium"/>
          <w:sz w:val="18"/>
          <w:szCs w:val="18"/>
        </w:rPr>
        <w:t xml:space="preserve">È fatto divieto di partecipare a più di un consorzio stabile. </w:t>
      </w:r>
    </w:p>
    <w:p>
      <w:pPr>
        <w:pStyle w:val="Normal"/>
        <w:spacing w:before="60" w:after="60"/>
        <w:rPr>
          <w:rFonts w:ascii="Titillium" w:hAnsi="Titillium" w:cs="Calibri"/>
          <w:iCs/>
          <w:sz w:val="18"/>
          <w:szCs w:val="18"/>
        </w:rPr>
      </w:pPr>
      <w:r>
        <w:rPr>
          <w:rFonts w:cs="Courier New" w:ascii="Titillium" w:hAnsi="Titillium"/>
          <w:sz w:val="18"/>
          <w:szCs w:val="18"/>
        </w:rPr>
        <w:t xml:space="preserve">Il concorrente che partecipa alla </w:t>
      </w:r>
      <w:r>
        <w:rPr>
          <w:rFonts w:cs="Calibri" w:ascii="Titillium" w:hAnsi="Titillium"/>
          <w:iCs/>
          <w:sz w:val="18"/>
          <w:szCs w:val="18"/>
        </w:rPr>
        <w:t xml:space="preserve">in una delle forme di seguito indicate è escluso nel caso in cui la stazione </w:t>
      </w:r>
      <w:bookmarkStart w:id="198" w:name="_Hlk130830647"/>
      <w:r>
        <w:rPr>
          <w:rFonts w:cs="Calibri" w:ascii="Titillium" w:hAnsi="Titillium"/>
          <w:iCs/>
          <w:sz w:val="18"/>
          <w:szCs w:val="18"/>
        </w:rPr>
        <w:t>appaltante accerti la sussistenza di rilevanti indizi tali da far ritenere che le offerte degli operatori economici siano imputabili ad un unico centro decisiona</w:t>
      </w:r>
      <w:bookmarkEnd w:id="198"/>
      <w:r>
        <w:rPr>
          <w:rFonts w:cs="Calibri" w:ascii="Titillium" w:hAnsi="Titillium"/>
          <w:iCs/>
          <w:sz w:val="18"/>
          <w:szCs w:val="18"/>
        </w:rPr>
        <w:t>le a cagione di accordi intercorsi con altri operatori economici partecipanti alla stessa gara:</w:t>
      </w:r>
    </w:p>
    <w:p>
      <w:pPr>
        <w:pStyle w:val="ListParagraph"/>
        <w:numPr>
          <w:ilvl w:val="0"/>
          <w:numId w:val="26"/>
        </w:numPr>
        <w:spacing w:before="60" w:after="60"/>
        <w:contextualSpacing w:val="false"/>
        <w:rPr>
          <w:rFonts w:ascii="Titillium" w:hAnsi="Titillium" w:cs="Courier New"/>
          <w:sz w:val="18"/>
          <w:szCs w:val="18"/>
        </w:rPr>
      </w:pPr>
      <w:r>
        <w:rPr>
          <w:rFonts w:cs="Courier New" w:ascii="Titillium" w:hAnsi="Titillium"/>
          <w:sz w:val="18"/>
          <w:szCs w:val="18"/>
        </w:rPr>
        <w:t>partecipazione in più</w:t>
      </w:r>
      <w:r>
        <w:rPr>
          <w:rFonts w:cs="Courier New" w:ascii="Titillium" w:hAnsi="Titillium"/>
          <w:b/>
          <w:sz w:val="18"/>
          <w:szCs w:val="18"/>
        </w:rPr>
        <w:t xml:space="preserve"> </w:t>
      </w:r>
      <w:r>
        <w:rPr>
          <w:rFonts w:cs="Courier New" w:ascii="Titillium" w:hAnsi="Titillium"/>
          <w:sz w:val="18"/>
          <w:szCs w:val="18"/>
        </w:rPr>
        <w:t xml:space="preserve">di un raggruppamento temporaneo o consorzio ordinario di concorrenti o </w:t>
      </w:r>
      <w:r>
        <w:rPr>
          <w:rFonts w:cs="Calibri" w:ascii="Titillium" w:hAnsi="Titillium"/>
          <w:sz w:val="18"/>
          <w:szCs w:val="18"/>
        </w:rPr>
        <w:t xml:space="preserve">aggregazione di operatori economici aderenti al contratto di rete (nel prosieguo, aggregazione </w:t>
      </w:r>
      <w:r>
        <w:rPr>
          <w:rFonts w:ascii="Titillium" w:hAnsi="Titillium"/>
          <w:sz w:val="18"/>
          <w:szCs w:val="18"/>
        </w:rPr>
        <w:t>di reti</w:t>
      </w:r>
      <w:r>
        <w:rPr>
          <w:rFonts w:cs="Calibri" w:ascii="Titillium" w:hAnsi="Titillium"/>
          <w:sz w:val="18"/>
          <w:szCs w:val="18"/>
        </w:rPr>
        <w:t>sti);</w:t>
      </w:r>
    </w:p>
    <w:p>
      <w:pPr>
        <w:pStyle w:val="ListParagraph"/>
        <w:numPr>
          <w:ilvl w:val="0"/>
          <w:numId w:val="26"/>
        </w:numPr>
        <w:spacing w:before="60" w:after="60"/>
        <w:contextualSpacing w:val="false"/>
        <w:rPr>
          <w:rFonts w:ascii="Titillium" w:hAnsi="Titillium" w:cs="Courier New"/>
          <w:sz w:val="18"/>
          <w:szCs w:val="18"/>
        </w:rPr>
      </w:pPr>
      <w:r>
        <w:rPr>
          <w:rFonts w:cs="Courier New" w:ascii="Titillium" w:hAnsi="Titillium"/>
          <w:sz w:val="18"/>
          <w:szCs w:val="18"/>
        </w:rPr>
        <w:t>partecipazione sia in raggruppamento o consorzio ordinario di concorrenti sia in forma individuale;</w:t>
      </w:r>
    </w:p>
    <w:p>
      <w:pPr>
        <w:pStyle w:val="ListParagraph"/>
        <w:numPr>
          <w:ilvl w:val="0"/>
          <w:numId w:val="26"/>
        </w:numPr>
        <w:spacing w:before="60" w:after="60"/>
        <w:contextualSpacing w:val="false"/>
        <w:rPr>
          <w:rFonts w:ascii="Titillium" w:hAnsi="Titillium" w:cs="Calibri"/>
          <w:sz w:val="18"/>
          <w:szCs w:val="18"/>
        </w:rPr>
      </w:pPr>
      <w:r>
        <w:rPr>
          <w:rFonts w:cs="Courier New" w:ascii="Titillium" w:hAnsi="Titillium"/>
          <w:sz w:val="18"/>
          <w:szCs w:val="18"/>
        </w:rPr>
        <w:t xml:space="preserve">partecipazione sia in aggregazione di retisti sia in forma individuale. </w:t>
      </w:r>
      <w:r>
        <w:rPr>
          <w:rFonts w:cs="Calibri" w:ascii="Titillium" w:hAnsi="Titillium"/>
          <w:sz w:val="18"/>
          <w:szCs w:val="18"/>
        </w:rPr>
        <w:t xml:space="preserve">Tale esclusione non si applica alle retiste </w:t>
      </w:r>
      <w:r>
        <w:rPr>
          <w:rFonts w:cs="Courier New" w:ascii="Titillium" w:hAnsi="Titillium"/>
          <w:sz w:val="18"/>
          <w:szCs w:val="18"/>
        </w:rPr>
        <w:t>non partecipanti all’aggregazione, le quali possono presentare offerta, per la medesima in forma singola o associata;</w:t>
      </w:r>
    </w:p>
    <w:p>
      <w:pPr>
        <w:pStyle w:val="ListParagraph"/>
        <w:numPr>
          <w:ilvl w:val="0"/>
          <w:numId w:val="26"/>
        </w:numPr>
        <w:spacing w:before="60" w:after="60"/>
        <w:contextualSpacing w:val="false"/>
        <w:rPr>
          <w:rFonts w:ascii="Titillium" w:hAnsi="Titillium" w:cs="Calibri"/>
          <w:color w:val="FF0000"/>
          <w:sz w:val="18"/>
          <w:szCs w:val="18"/>
        </w:rPr>
      </w:pPr>
      <w:r>
        <w:rPr>
          <w:rFonts w:cs="Courier New" w:ascii="Titillium" w:hAnsi="Titillium"/>
          <w:sz w:val="18"/>
          <w:szCs w:val="18"/>
        </w:rPr>
        <w:t>partecipazione di un consorzio di cui all’articolo 65, comma 2, lett. b), c) e d) del Codice che ha designato una consorziata esecutrice la quale, a sua volta, partecipa in una qualsiasi altra forma.</w:t>
      </w:r>
    </w:p>
    <w:p>
      <w:pPr>
        <w:pStyle w:val="Normal"/>
        <w:spacing w:before="60" w:after="60"/>
        <w:rPr>
          <w:rFonts w:ascii="Titillium" w:hAnsi="Titillium" w:cs="Calibri"/>
          <w:color w:val="FF0000"/>
          <w:sz w:val="18"/>
          <w:szCs w:val="18"/>
        </w:rPr>
      </w:pPr>
      <w:r>
        <w:rPr>
          <w:rFonts w:cs="Calibri" w:ascii="Titillium" w:hAnsi="Titillium"/>
          <w:color w:val="FF0000"/>
          <w:sz w:val="18"/>
          <w:szCs w:val="18"/>
        </w:rPr>
      </w:r>
    </w:p>
    <w:p>
      <w:pPr>
        <w:pStyle w:val="Normal"/>
        <w:spacing w:before="60" w:after="60"/>
        <w:rPr>
          <w:rFonts w:ascii="Titillium" w:hAnsi="Titillium" w:cs="Courier New"/>
          <w:sz w:val="18"/>
          <w:szCs w:val="18"/>
        </w:rPr>
      </w:pPr>
      <w:r>
        <w:rPr>
          <w:rFonts w:cs="Calibri" w:ascii="Titillium" w:hAnsi="Titillium"/>
          <w:sz w:val="18"/>
          <w:szCs w:val="18"/>
        </w:rPr>
        <w:t>Nel caso venga accertato quanto sopra, si provvede ad informare gli operatori economici coinvolti i quali possono, entro 10</w:t>
      </w:r>
      <w:r>
        <w:rPr>
          <w:rFonts w:cs="Calibri" w:ascii="Titillium" w:hAnsi="Titillium"/>
          <w:i/>
          <w:iCs/>
          <w:sz w:val="18"/>
          <w:szCs w:val="18"/>
        </w:rPr>
        <w:t xml:space="preserve"> </w:t>
      </w:r>
      <w:r>
        <w:rPr>
          <w:rFonts w:cs="Calibri" w:ascii="Titillium" w:hAnsi="Titillium"/>
          <w:sz w:val="18"/>
          <w:szCs w:val="18"/>
        </w:rPr>
        <w:t xml:space="preserve">giorni, dimostrare </w:t>
      </w:r>
      <w:r>
        <w:rPr>
          <w:rFonts w:cs="Courier New" w:ascii="Titillium" w:hAnsi="Titillium"/>
          <w:sz w:val="18"/>
          <w:szCs w:val="18"/>
        </w:rPr>
        <w:t xml:space="preserve">che la circostanza non ha influito sulla gara, né è idonea a incidere sulla capacità di rispettare gli obblighi contrattuali. </w:t>
      </w:r>
    </w:p>
    <w:p>
      <w:pPr>
        <w:pStyle w:val="Normal"/>
        <w:spacing w:before="60" w:after="60"/>
        <w:rPr>
          <w:rFonts w:ascii="Titillium" w:hAnsi="Titillium" w:cs="Courier New"/>
          <w:sz w:val="18"/>
          <w:szCs w:val="18"/>
        </w:rPr>
      </w:pPr>
      <w:r>
        <w:rPr>
          <w:rFonts w:cs="Courier New" w:ascii="Titillium" w:hAnsi="Titillium"/>
          <w:sz w:val="18"/>
          <w:szCs w:val="18"/>
        </w:rPr>
        <w:t>Le aggregazioni di retisti di cui all’articolo 65, comma 2, lettera g) del Codice, rispettano la disciplina prevista per i raggruppamenti temporanei in quanto compatibile. In particolare:</w:t>
      </w:r>
    </w:p>
    <w:p>
      <w:pPr>
        <w:pStyle w:val="ListParagraph"/>
        <w:numPr>
          <w:ilvl w:val="3"/>
          <w:numId w:val="16"/>
        </w:numPr>
        <w:spacing w:before="60" w:after="60"/>
        <w:ind w:hanging="284" w:left="567"/>
        <w:contextualSpacing w:val="false"/>
        <w:rPr>
          <w:rFonts w:ascii="Titillium" w:hAnsi="Titillium" w:cs="Courier New"/>
          <w:sz w:val="18"/>
          <w:szCs w:val="18"/>
        </w:rPr>
      </w:pPr>
      <w:r>
        <w:rPr>
          <w:rFonts w:cs="Courier New" w:ascii="Titillium" w:hAnsi="Titillium"/>
          <w:sz w:val="18"/>
          <w:szCs w:val="18"/>
        </w:rPr>
        <w:t>nel caso in cui la rete sia dotata di organo comune con potere di rappresentanza e soggettività giuridica (cd. Rete – soggetto), l’aggregazione di retisti partecipa a mezzo dell’organo comune, che assume il ruolo del mandatario, qualora in possesso dei relativi requisiti. L’organo comune può indicare anche solo alcuni tra i retisti per la partecipazione alla gara ma deve obbligatoriamente far parte di questi;</w:t>
      </w:r>
    </w:p>
    <w:p>
      <w:pPr>
        <w:pStyle w:val="ListParagraph"/>
        <w:numPr>
          <w:ilvl w:val="3"/>
          <w:numId w:val="16"/>
        </w:numPr>
        <w:spacing w:before="60" w:after="60"/>
        <w:ind w:hanging="284" w:left="567"/>
        <w:contextualSpacing w:val="false"/>
        <w:rPr>
          <w:rFonts w:ascii="Titillium" w:hAnsi="Titillium" w:cs="Courier New"/>
          <w:sz w:val="18"/>
          <w:szCs w:val="18"/>
        </w:rPr>
      </w:pPr>
      <w:r>
        <w:rPr>
          <w:rFonts w:cs="Courier New" w:ascii="Titillium" w:hAnsi="Titillium"/>
          <w:sz w:val="18"/>
          <w:szCs w:val="18"/>
        </w:rPr>
        <w:t xml:space="preserve">nel caso in cui la rete sia dotata di organo comune con potere di rappresentanza ma priva di soggettività giuridica (cd. Rete – contratto), l’aggregazione di retisti partecipa a mezzo dell’organo comune, che assume il ruolo del mandatario, qualora in possesso dei requisiti previsti per la mandataria e qualora il contratto di rete rechi mandato allo stesso a presentare domanda di partecipazione o offerta per determinate tipologie di procedure di gara. L’organo comune può indicare anche solo alcuni tra i retisti per la partecipazione alla gara ma deve obbligatoriamente far parte di questi; </w:t>
      </w:r>
    </w:p>
    <w:p>
      <w:pPr>
        <w:pStyle w:val="ListParagraph"/>
        <w:numPr>
          <w:ilvl w:val="3"/>
          <w:numId w:val="16"/>
        </w:numPr>
        <w:spacing w:before="60" w:after="60"/>
        <w:ind w:hanging="284" w:left="567"/>
        <w:contextualSpacing w:val="false"/>
        <w:rPr>
          <w:rFonts w:ascii="Titillium" w:hAnsi="Titillium" w:cs="Courier New"/>
          <w:sz w:val="18"/>
          <w:szCs w:val="18"/>
        </w:rPr>
      </w:pPr>
      <w:r>
        <w:rPr>
          <w:rFonts w:cs="Courier New" w:ascii="Titillium" w:hAnsi="Titillium"/>
          <w:sz w:val="18"/>
          <w:szCs w:val="18"/>
        </w:rPr>
        <w:t>nel caso in cui la rete sia dotata di organo comune privo di potere di rappresentanza ovvero sia sprovvista di organo comune, oppure se l’organo comune è privo dei requisiti di qualificazione, l’aggregazione di retisti partecipa nella forma del raggruppamento costituito o costituendo, con applicazione integrale delle relative regole.</w:t>
      </w:r>
    </w:p>
    <w:p>
      <w:pPr>
        <w:pStyle w:val="Normal"/>
        <w:spacing w:before="60" w:after="60"/>
        <w:rPr/>
      </w:pPr>
      <w:r>
        <w:rPr>
          <w:rFonts w:cs="Courier New" w:ascii="Titillium" w:hAnsi="Titillium"/>
          <w:sz w:val="18"/>
          <w:szCs w:val="18"/>
        </w:rPr>
        <w:t>Per tutte le tipologie di rete, la partecipazione congiunta alle gare deve risultare individuata nel contratto di rete come uno degli scopi strategici inclusi nel programma comune, mentre la durata dello stesso dovrà essere commisurata ai tempi di realizzazione dell’appalto.</w:t>
      </w:r>
    </w:p>
    <w:p>
      <w:pPr>
        <w:pStyle w:val="Normal"/>
        <w:spacing w:before="60" w:after="60"/>
        <w:rPr>
          <w:rFonts w:ascii="Titillium" w:hAnsi="Titillium" w:cs="Courier New"/>
          <w:sz w:val="18"/>
          <w:szCs w:val="18"/>
        </w:rPr>
      </w:pPr>
      <w:r>
        <w:rPr>
          <w:rFonts w:cs="Courier New" w:ascii="Titillium" w:hAnsi="Titillium"/>
          <w:sz w:val="18"/>
          <w:szCs w:val="18"/>
        </w:rPr>
        <w:t>Ad un raggruppamento temporaneo può partecipare anche un consorzio di cui all’articolo 65, comma 2, lettera b), c), d).</w:t>
      </w:r>
    </w:p>
    <w:p>
      <w:pPr>
        <w:pStyle w:val="Normal"/>
        <w:spacing w:before="60" w:after="60"/>
        <w:rPr/>
      </w:pPr>
      <w:r>
        <w:rPr>
          <w:rFonts w:cs="Courier New" w:ascii="Titillium" w:hAnsi="Titillium"/>
          <w:sz w:val="18"/>
          <w:szCs w:val="18"/>
        </w:rPr>
        <w:t xml:space="preserve">L’impresa in concordato preventivo può concorrere anche riunita in raggruppamento temporaneo di imprese e sempre che le altre imprese aderenti al raggruppamento temporaneo di imprese non siano assoggettate ad una procedura concorsuale.   </w:t>
      </w:r>
    </w:p>
    <w:p>
      <w:pPr>
        <w:pStyle w:val="Normal"/>
        <w:spacing w:before="120" w:after="60"/>
        <w:rPr>
          <w:rFonts w:ascii="Titillium" w:hAnsi="Titillium" w:cs="Calibri"/>
          <w:i/>
          <w:sz w:val="18"/>
          <w:szCs w:val="18"/>
        </w:rPr>
      </w:pPr>
      <w:r>
        <w:rPr>
          <w:rFonts w:cs="Calibri" w:ascii="Titillium" w:hAnsi="Titillium"/>
          <w:i/>
          <w:sz w:val="18"/>
          <w:szCs w:val="18"/>
        </w:rPr>
      </w:r>
    </w:p>
    <w:p>
      <w:pPr>
        <w:pStyle w:val="Heading2"/>
        <w:numPr>
          <w:ilvl w:val="0"/>
          <w:numId w:val="3"/>
        </w:numPr>
        <w:rPr/>
      </w:pPr>
      <w:bookmarkStart w:id="199" w:name="__RefHeading___Toc11694_2735037374"/>
      <w:bookmarkStart w:id="200" w:name="_Hlk194054262"/>
      <w:bookmarkStart w:id="201" w:name="_Toc207275731"/>
      <w:bookmarkStart w:id="202" w:name="_Ref128477566"/>
      <w:bookmarkStart w:id="203" w:name="_Ref531184613"/>
      <w:bookmarkStart w:id="204" w:name="_Toc406754172"/>
      <w:bookmarkStart w:id="205" w:name="_Toc416423357"/>
      <w:bookmarkStart w:id="206" w:name="_Toc482025712"/>
      <w:bookmarkStart w:id="207" w:name="_Toc482097535"/>
      <w:bookmarkStart w:id="208" w:name="_Toc482097624"/>
      <w:bookmarkStart w:id="209" w:name="_Toc482097713"/>
      <w:bookmarkStart w:id="210" w:name="_Toc482097905"/>
      <w:bookmarkStart w:id="211" w:name="_Toc482099003"/>
      <w:bookmarkStart w:id="212" w:name="_Toc482100720"/>
      <w:bookmarkStart w:id="213" w:name="_Toc482100877"/>
      <w:bookmarkStart w:id="214" w:name="_Toc482101303"/>
      <w:bookmarkStart w:id="215" w:name="_Toc482101440"/>
      <w:bookmarkStart w:id="216" w:name="_Toc482101555"/>
      <w:bookmarkStart w:id="217" w:name="_Toc482101730"/>
      <w:bookmarkStart w:id="218" w:name="_Toc482101823"/>
      <w:bookmarkStart w:id="219" w:name="_Toc482101918"/>
      <w:bookmarkStart w:id="220" w:name="_Toc482102013"/>
      <w:bookmarkStart w:id="221" w:name="_Toc482102107"/>
      <w:bookmarkStart w:id="222" w:name="_Toc482351971"/>
      <w:bookmarkStart w:id="223" w:name="_Toc482352061"/>
      <w:bookmarkStart w:id="224" w:name="_Toc482352151"/>
      <w:bookmarkStart w:id="225" w:name="_Toc482352241"/>
      <w:bookmarkStart w:id="226" w:name="_Toc482633081"/>
      <w:bookmarkStart w:id="227" w:name="_Toc482641258"/>
      <w:bookmarkStart w:id="228" w:name="_Toc482712704"/>
      <w:bookmarkStart w:id="229" w:name="_Toc482959474"/>
      <w:bookmarkStart w:id="230" w:name="_Toc482959584"/>
      <w:bookmarkStart w:id="231" w:name="_Toc482959694"/>
      <w:bookmarkStart w:id="232" w:name="_Toc482978813"/>
      <w:bookmarkStart w:id="233" w:name="_Toc482978922"/>
      <w:bookmarkStart w:id="234" w:name="_Toc482979030"/>
      <w:bookmarkStart w:id="235" w:name="_Toc482979141"/>
      <w:bookmarkStart w:id="236" w:name="_Toc482979250"/>
      <w:bookmarkStart w:id="237" w:name="_Toc482979359"/>
      <w:bookmarkStart w:id="238" w:name="_Toc482979467"/>
      <w:bookmarkStart w:id="239" w:name="_Toc482979576"/>
      <w:bookmarkStart w:id="240" w:name="_Toc482979674"/>
      <w:bookmarkStart w:id="241" w:name="_Toc483233635"/>
      <w:bookmarkStart w:id="242" w:name="_Toc483302335"/>
      <w:bookmarkStart w:id="243" w:name="_Toc483315885"/>
      <w:bookmarkStart w:id="244" w:name="_Toc483316090"/>
      <w:bookmarkStart w:id="245" w:name="_Toc483316293"/>
      <w:bookmarkStart w:id="246" w:name="_Toc483316424"/>
      <w:bookmarkStart w:id="247" w:name="_Toc483325727"/>
      <w:bookmarkStart w:id="248" w:name="_Toc483401206"/>
      <w:bookmarkStart w:id="249" w:name="_Toc483474003"/>
      <w:bookmarkStart w:id="250" w:name="_Toc483571432"/>
      <w:bookmarkStart w:id="251" w:name="_Toc483571553"/>
      <w:bookmarkStart w:id="252" w:name="_Toc483906930"/>
      <w:bookmarkStart w:id="253" w:name="_Toc484010680"/>
      <w:bookmarkStart w:id="254" w:name="_Toc484010802"/>
      <w:bookmarkStart w:id="255" w:name="_Toc484010926"/>
      <w:bookmarkStart w:id="256" w:name="_Toc484011048"/>
      <w:bookmarkStart w:id="257" w:name="_Toc484011170"/>
      <w:bookmarkStart w:id="258" w:name="_Toc484011645"/>
      <w:bookmarkStart w:id="259" w:name="_Toc484097719"/>
      <w:bookmarkStart w:id="260" w:name="_Toc484428891"/>
      <w:bookmarkStart w:id="261" w:name="_Toc484429061"/>
      <w:bookmarkStart w:id="262" w:name="_Toc484438636"/>
      <w:bookmarkStart w:id="263" w:name="_Toc484438760"/>
      <w:bookmarkStart w:id="264" w:name="_Toc484438884"/>
      <w:bookmarkStart w:id="265" w:name="_Toc484439804"/>
      <w:bookmarkStart w:id="266" w:name="_Toc484439927"/>
      <w:bookmarkStart w:id="267" w:name="_Toc484440051"/>
      <w:bookmarkStart w:id="268" w:name="_Toc484440411"/>
      <w:bookmarkStart w:id="269" w:name="_Toc484448070"/>
      <w:bookmarkStart w:id="270" w:name="_Toc484448195"/>
      <w:bookmarkStart w:id="271" w:name="_Toc484448319"/>
      <w:bookmarkStart w:id="272" w:name="_Toc484448443"/>
      <w:bookmarkStart w:id="273" w:name="_Toc484448567"/>
      <w:bookmarkStart w:id="274" w:name="_Toc484448691"/>
      <w:bookmarkStart w:id="275" w:name="_Toc484448814"/>
      <w:bookmarkStart w:id="276" w:name="_Toc484448938"/>
      <w:bookmarkStart w:id="277" w:name="_Toc484449062"/>
      <w:bookmarkStart w:id="278" w:name="_Toc484526557"/>
      <w:bookmarkStart w:id="279" w:name="_Toc484605277"/>
      <w:bookmarkStart w:id="280" w:name="_Toc484605401"/>
      <w:bookmarkStart w:id="281" w:name="_Toc484688270"/>
      <w:bookmarkStart w:id="282" w:name="_Toc484688825"/>
      <w:bookmarkStart w:id="283" w:name="_Toc485218261"/>
      <w:bookmarkStart w:id="284" w:name="_Toc482025713"/>
      <w:bookmarkStart w:id="285" w:name="_Toc482097536"/>
      <w:bookmarkStart w:id="286" w:name="_Toc482097625"/>
      <w:bookmarkStart w:id="287" w:name="_Toc482097714"/>
      <w:bookmarkStart w:id="288" w:name="_Toc482097906"/>
      <w:bookmarkStart w:id="289" w:name="_Toc482099004"/>
      <w:bookmarkStart w:id="290" w:name="_Toc482100721"/>
      <w:bookmarkStart w:id="291" w:name="_Toc482100878"/>
      <w:bookmarkStart w:id="292" w:name="_Toc482101304"/>
      <w:bookmarkStart w:id="293" w:name="_Toc482101441"/>
      <w:bookmarkStart w:id="294" w:name="_Toc482101556"/>
      <w:bookmarkStart w:id="295" w:name="_Toc482101731"/>
      <w:bookmarkStart w:id="296" w:name="_Toc482101824"/>
      <w:bookmarkStart w:id="297" w:name="_Toc482101919"/>
      <w:bookmarkStart w:id="298" w:name="_Toc482102014"/>
      <w:bookmarkStart w:id="299" w:name="_Toc482102108"/>
      <w:bookmarkStart w:id="300" w:name="_Toc482351972"/>
      <w:bookmarkStart w:id="301" w:name="_Toc482352062"/>
      <w:bookmarkStart w:id="302" w:name="_Toc482352152"/>
      <w:bookmarkStart w:id="303" w:name="_Toc482352242"/>
      <w:bookmarkStart w:id="304" w:name="_Toc482633082"/>
      <w:bookmarkStart w:id="305" w:name="_Toc482641259"/>
      <w:bookmarkStart w:id="306" w:name="_Toc482712705"/>
      <w:bookmarkStart w:id="307" w:name="_Toc482959475"/>
      <w:bookmarkStart w:id="308" w:name="_Toc482959585"/>
      <w:bookmarkStart w:id="309" w:name="_Toc482959695"/>
      <w:bookmarkStart w:id="310" w:name="_Toc482978814"/>
      <w:bookmarkStart w:id="311" w:name="_Toc482978923"/>
      <w:bookmarkStart w:id="312" w:name="_Toc482979031"/>
      <w:bookmarkStart w:id="313" w:name="_Toc482979142"/>
      <w:bookmarkStart w:id="314" w:name="_Toc482979251"/>
      <w:bookmarkStart w:id="315" w:name="_Toc482979360"/>
      <w:bookmarkStart w:id="316" w:name="_Toc482979468"/>
      <w:bookmarkStart w:id="317" w:name="_Toc482979577"/>
      <w:bookmarkStart w:id="318" w:name="_Toc482979675"/>
      <w:bookmarkStart w:id="319" w:name="_Toc483233636"/>
      <w:bookmarkStart w:id="320" w:name="_Toc483302336"/>
      <w:bookmarkStart w:id="321" w:name="_Toc483315886"/>
      <w:bookmarkStart w:id="322" w:name="_Toc483316091"/>
      <w:bookmarkStart w:id="323" w:name="_Toc483316294"/>
      <w:bookmarkStart w:id="324" w:name="_Toc483316425"/>
      <w:bookmarkStart w:id="325" w:name="_Toc483325728"/>
      <w:bookmarkStart w:id="326" w:name="_Toc483401207"/>
      <w:bookmarkStart w:id="327" w:name="_Toc483474004"/>
      <w:bookmarkStart w:id="328" w:name="_Toc483571433"/>
      <w:bookmarkStart w:id="329" w:name="_Toc483571554"/>
      <w:bookmarkStart w:id="330" w:name="_Toc483906931"/>
      <w:bookmarkStart w:id="331" w:name="_Toc484010681"/>
      <w:bookmarkStart w:id="332" w:name="_Toc484010803"/>
      <w:bookmarkStart w:id="333" w:name="_Toc484010927"/>
      <w:bookmarkStart w:id="334" w:name="_Toc484011049"/>
      <w:bookmarkStart w:id="335" w:name="_Toc484011171"/>
      <w:bookmarkStart w:id="336" w:name="_Toc484011646"/>
      <w:bookmarkStart w:id="337" w:name="_Toc484097720"/>
      <w:bookmarkStart w:id="338" w:name="_Toc484428892"/>
      <w:bookmarkStart w:id="339" w:name="_Toc484429062"/>
      <w:bookmarkStart w:id="340" w:name="_Toc484438637"/>
      <w:bookmarkStart w:id="341" w:name="_Toc484438761"/>
      <w:bookmarkStart w:id="342" w:name="_Toc484438885"/>
      <w:bookmarkStart w:id="343" w:name="_Toc484439805"/>
      <w:bookmarkStart w:id="344" w:name="_Toc484439928"/>
      <w:bookmarkStart w:id="345" w:name="_Toc484440052"/>
      <w:bookmarkStart w:id="346" w:name="_Toc484440412"/>
      <w:bookmarkStart w:id="347" w:name="_Toc484448071"/>
      <w:bookmarkStart w:id="348" w:name="_Toc484448196"/>
      <w:bookmarkStart w:id="349" w:name="_Toc484448320"/>
      <w:bookmarkStart w:id="350" w:name="_Toc484448444"/>
      <w:bookmarkStart w:id="351" w:name="_Toc484448568"/>
      <w:bookmarkStart w:id="352" w:name="_Toc484448692"/>
      <w:bookmarkStart w:id="353" w:name="_Toc484448815"/>
      <w:bookmarkStart w:id="354" w:name="_Toc484448939"/>
      <w:bookmarkStart w:id="355" w:name="_Toc484449063"/>
      <w:bookmarkStart w:id="356" w:name="_Toc484526558"/>
      <w:bookmarkStart w:id="357" w:name="_Toc484605278"/>
      <w:bookmarkStart w:id="358" w:name="_Toc484605402"/>
      <w:bookmarkStart w:id="359" w:name="_Toc484688271"/>
      <w:bookmarkStart w:id="360" w:name="_Toc484688826"/>
      <w:bookmarkStart w:id="361" w:name="_Toc485218262"/>
      <w:bookmarkStart w:id="362" w:name="_Toc482025714"/>
      <w:bookmarkStart w:id="363" w:name="_Toc482097537"/>
      <w:bookmarkStart w:id="364" w:name="_Toc482097626"/>
      <w:bookmarkStart w:id="365" w:name="_Toc482097715"/>
      <w:bookmarkStart w:id="366" w:name="_Toc482097907"/>
      <w:bookmarkStart w:id="367" w:name="_Toc482099005"/>
      <w:bookmarkStart w:id="368" w:name="_Toc482100722"/>
      <w:bookmarkStart w:id="369" w:name="_Toc482100879"/>
      <w:bookmarkStart w:id="370" w:name="_Toc482101305"/>
      <w:bookmarkStart w:id="371" w:name="_Toc482101442"/>
      <w:bookmarkStart w:id="372" w:name="_Toc482101557"/>
      <w:bookmarkStart w:id="373" w:name="_Toc482101732"/>
      <w:bookmarkStart w:id="374" w:name="_Toc482101825"/>
      <w:bookmarkStart w:id="375" w:name="_Toc482101920"/>
      <w:bookmarkStart w:id="376" w:name="_Toc482102015"/>
      <w:bookmarkStart w:id="377" w:name="_Toc482102109"/>
      <w:bookmarkStart w:id="378" w:name="_Toc482351973"/>
      <w:bookmarkStart w:id="379" w:name="_Toc482352063"/>
      <w:bookmarkStart w:id="380" w:name="_Toc482352153"/>
      <w:bookmarkStart w:id="381" w:name="_Toc482352243"/>
      <w:bookmarkStart w:id="382" w:name="_Toc482633083"/>
      <w:bookmarkStart w:id="383" w:name="_Toc482641260"/>
      <w:bookmarkStart w:id="384" w:name="_Toc482712706"/>
      <w:bookmarkStart w:id="385" w:name="_Toc482959476"/>
      <w:bookmarkStart w:id="386" w:name="_Toc482959586"/>
      <w:bookmarkStart w:id="387" w:name="_Toc482959696"/>
      <w:bookmarkStart w:id="388" w:name="_Toc482978815"/>
      <w:bookmarkStart w:id="389" w:name="_Toc482978924"/>
      <w:bookmarkStart w:id="390" w:name="_Toc482979032"/>
      <w:bookmarkStart w:id="391" w:name="_Toc482979143"/>
      <w:bookmarkStart w:id="392" w:name="_Toc482979252"/>
      <w:bookmarkStart w:id="393" w:name="_Toc482979361"/>
      <w:bookmarkStart w:id="394" w:name="_Toc482979469"/>
      <w:bookmarkStart w:id="395" w:name="_Toc482979578"/>
      <w:bookmarkStart w:id="396" w:name="_Toc482979676"/>
      <w:bookmarkStart w:id="397" w:name="_Toc483233637"/>
      <w:bookmarkStart w:id="398" w:name="_Toc483302337"/>
      <w:bookmarkStart w:id="399" w:name="_Toc483315887"/>
      <w:bookmarkStart w:id="400" w:name="_Toc483316092"/>
      <w:bookmarkStart w:id="401" w:name="_Toc483316295"/>
      <w:bookmarkStart w:id="402" w:name="_Toc483316426"/>
      <w:bookmarkStart w:id="403" w:name="_Toc483325729"/>
      <w:bookmarkStart w:id="404" w:name="_Toc483401208"/>
      <w:bookmarkStart w:id="405" w:name="_Toc483474005"/>
      <w:bookmarkStart w:id="406" w:name="_Toc483571434"/>
      <w:bookmarkStart w:id="407" w:name="_Toc483571555"/>
      <w:bookmarkStart w:id="408" w:name="_Toc483906932"/>
      <w:bookmarkStart w:id="409" w:name="_Toc484010682"/>
      <w:bookmarkStart w:id="410" w:name="_Toc484010804"/>
      <w:bookmarkStart w:id="411" w:name="_Toc484010928"/>
      <w:bookmarkStart w:id="412" w:name="_Toc484011050"/>
      <w:bookmarkStart w:id="413" w:name="_Toc484011172"/>
      <w:bookmarkStart w:id="414" w:name="_Toc484011647"/>
      <w:bookmarkStart w:id="415" w:name="_Toc484097721"/>
      <w:bookmarkStart w:id="416" w:name="_Toc484428893"/>
      <w:bookmarkStart w:id="417" w:name="_Toc484429063"/>
      <w:bookmarkStart w:id="418" w:name="_Toc484438638"/>
      <w:bookmarkStart w:id="419" w:name="_Toc484438762"/>
      <w:bookmarkStart w:id="420" w:name="_Toc484438886"/>
      <w:bookmarkStart w:id="421" w:name="_Toc484439806"/>
      <w:bookmarkStart w:id="422" w:name="_Toc484439929"/>
      <w:bookmarkStart w:id="423" w:name="_Toc484440053"/>
      <w:bookmarkStart w:id="424" w:name="_Toc484440413"/>
      <w:bookmarkStart w:id="425" w:name="_Toc484448072"/>
      <w:bookmarkStart w:id="426" w:name="_Toc484448197"/>
      <w:bookmarkStart w:id="427" w:name="_Toc484448321"/>
      <w:bookmarkStart w:id="428" w:name="_Toc484448445"/>
      <w:bookmarkStart w:id="429" w:name="_Toc484448569"/>
      <w:bookmarkStart w:id="430" w:name="_Toc484448693"/>
      <w:bookmarkStart w:id="431" w:name="_Toc484448816"/>
      <w:bookmarkStart w:id="432" w:name="_Toc484448940"/>
      <w:bookmarkStart w:id="433" w:name="_Toc484449064"/>
      <w:bookmarkStart w:id="434" w:name="_Toc484526559"/>
      <w:bookmarkStart w:id="435" w:name="_Toc484605279"/>
      <w:bookmarkStart w:id="436" w:name="_Toc484605403"/>
      <w:bookmarkStart w:id="437" w:name="_Toc484688272"/>
      <w:bookmarkStart w:id="438" w:name="_Toc484688827"/>
      <w:bookmarkStart w:id="439" w:name="_Toc485218263"/>
      <w:bookmarkStart w:id="440" w:name="_Toc482025715"/>
      <w:bookmarkStart w:id="441" w:name="_Toc482097538"/>
      <w:bookmarkStart w:id="442" w:name="_Toc482097627"/>
      <w:bookmarkStart w:id="443" w:name="_Toc482097716"/>
      <w:bookmarkStart w:id="444" w:name="_Toc482097908"/>
      <w:bookmarkStart w:id="445" w:name="_Toc482099006"/>
      <w:bookmarkStart w:id="446" w:name="_Toc482100723"/>
      <w:bookmarkStart w:id="447" w:name="_Toc482100880"/>
      <w:bookmarkStart w:id="448" w:name="_Toc482101306"/>
      <w:bookmarkStart w:id="449" w:name="_Toc482101443"/>
      <w:bookmarkStart w:id="450" w:name="_Toc482101558"/>
      <w:bookmarkStart w:id="451" w:name="_Toc482101733"/>
      <w:bookmarkStart w:id="452" w:name="_Toc482101826"/>
      <w:bookmarkStart w:id="453" w:name="_Toc482101921"/>
      <w:bookmarkStart w:id="454" w:name="_Toc482102016"/>
      <w:bookmarkStart w:id="455" w:name="_Toc482102110"/>
      <w:bookmarkStart w:id="456" w:name="_Toc482351974"/>
      <w:bookmarkStart w:id="457" w:name="_Toc482352064"/>
      <w:bookmarkStart w:id="458" w:name="_Toc482352154"/>
      <w:bookmarkStart w:id="459" w:name="_Toc482352244"/>
      <w:bookmarkStart w:id="460" w:name="_Toc482633084"/>
      <w:bookmarkStart w:id="461" w:name="_Toc482641261"/>
      <w:bookmarkStart w:id="462" w:name="_Toc482712707"/>
      <w:bookmarkStart w:id="463" w:name="_Toc482959477"/>
      <w:bookmarkStart w:id="464" w:name="_Toc482959587"/>
      <w:bookmarkStart w:id="465" w:name="_Toc482959697"/>
      <w:bookmarkStart w:id="466" w:name="_Toc482978816"/>
      <w:bookmarkStart w:id="467" w:name="_Toc482978925"/>
      <w:bookmarkStart w:id="468" w:name="_Toc482979033"/>
      <w:bookmarkStart w:id="469" w:name="_Toc482979144"/>
      <w:bookmarkStart w:id="470" w:name="_Toc482979253"/>
      <w:bookmarkStart w:id="471" w:name="_Toc482979362"/>
      <w:bookmarkStart w:id="472" w:name="_Toc482979470"/>
      <w:bookmarkStart w:id="473" w:name="_Toc482979579"/>
      <w:bookmarkStart w:id="474" w:name="_Toc482979677"/>
      <w:bookmarkStart w:id="475" w:name="_Toc483233638"/>
      <w:bookmarkStart w:id="476" w:name="_Toc483302338"/>
      <w:bookmarkStart w:id="477" w:name="_Toc483315888"/>
      <w:bookmarkStart w:id="478" w:name="_Toc483316093"/>
      <w:bookmarkStart w:id="479" w:name="_Toc483316296"/>
      <w:bookmarkStart w:id="480" w:name="_Toc483316427"/>
      <w:bookmarkStart w:id="481" w:name="_Toc483325730"/>
      <w:bookmarkStart w:id="482" w:name="_Toc483401209"/>
      <w:bookmarkStart w:id="483" w:name="_Toc483474006"/>
      <w:bookmarkStart w:id="484" w:name="_Toc483571435"/>
      <w:bookmarkStart w:id="485" w:name="_Toc483571556"/>
      <w:bookmarkStart w:id="486" w:name="_Toc483906933"/>
      <w:bookmarkStart w:id="487" w:name="_Toc484010683"/>
      <w:bookmarkStart w:id="488" w:name="_Toc484010805"/>
      <w:bookmarkStart w:id="489" w:name="_Toc484010929"/>
      <w:bookmarkStart w:id="490" w:name="_Toc484011051"/>
      <w:bookmarkStart w:id="491" w:name="_Toc484011173"/>
      <w:bookmarkStart w:id="492" w:name="_Toc484011648"/>
      <w:bookmarkStart w:id="493" w:name="_Toc484097722"/>
      <w:bookmarkStart w:id="494" w:name="_Toc484428894"/>
      <w:bookmarkStart w:id="495" w:name="_Toc484429064"/>
      <w:bookmarkStart w:id="496" w:name="_Toc484438639"/>
      <w:bookmarkStart w:id="497" w:name="_Toc484438763"/>
      <w:bookmarkStart w:id="498" w:name="_Toc484438887"/>
      <w:bookmarkStart w:id="499" w:name="_Toc484439807"/>
      <w:bookmarkStart w:id="500" w:name="_Toc484439930"/>
      <w:bookmarkStart w:id="501" w:name="_Toc484440054"/>
      <w:bookmarkStart w:id="502" w:name="_Toc484440414"/>
      <w:bookmarkStart w:id="503" w:name="_Toc484448073"/>
      <w:bookmarkStart w:id="504" w:name="_Toc484448198"/>
      <w:bookmarkStart w:id="505" w:name="_Toc484448322"/>
      <w:bookmarkStart w:id="506" w:name="_Toc484448446"/>
      <w:bookmarkStart w:id="507" w:name="_Toc484448570"/>
      <w:bookmarkStart w:id="508" w:name="_Toc484448694"/>
      <w:bookmarkStart w:id="509" w:name="_Toc484448817"/>
      <w:bookmarkStart w:id="510" w:name="_Toc484448941"/>
      <w:bookmarkStart w:id="511" w:name="_Toc484449065"/>
      <w:bookmarkStart w:id="512" w:name="_Toc484526560"/>
      <w:bookmarkStart w:id="513" w:name="_Toc484605280"/>
      <w:bookmarkStart w:id="514" w:name="_Toc484605404"/>
      <w:bookmarkStart w:id="515" w:name="_Toc484688273"/>
      <w:bookmarkStart w:id="516" w:name="_Toc484688828"/>
      <w:bookmarkStart w:id="517" w:name="_Toc485218264"/>
      <w:bookmarkStart w:id="518" w:name="_Toc482025716"/>
      <w:bookmarkStart w:id="519" w:name="_Toc482097539"/>
      <w:bookmarkStart w:id="520" w:name="_Toc482097628"/>
      <w:bookmarkStart w:id="521" w:name="_Toc482097717"/>
      <w:bookmarkStart w:id="522" w:name="_Toc482097909"/>
      <w:bookmarkStart w:id="523" w:name="_Toc482099007"/>
      <w:bookmarkStart w:id="524" w:name="_Toc482100724"/>
      <w:bookmarkStart w:id="525" w:name="_Toc482100881"/>
      <w:bookmarkStart w:id="526" w:name="_Toc482101307"/>
      <w:bookmarkStart w:id="527" w:name="_Toc482101444"/>
      <w:bookmarkStart w:id="528" w:name="_Toc482101559"/>
      <w:bookmarkStart w:id="529" w:name="_Toc482101734"/>
      <w:bookmarkStart w:id="530" w:name="_Toc482101827"/>
      <w:bookmarkStart w:id="531" w:name="_Toc482101922"/>
      <w:bookmarkStart w:id="532" w:name="_Toc482102017"/>
      <w:bookmarkStart w:id="533" w:name="_Toc482102111"/>
      <w:bookmarkStart w:id="534" w:name="_Toc482351975"/>
      <w:bookmarkStart w:id="535" w:name="_Toc482352065"/>
      <w:bookmarkStart w:id="536" w:name="_Toc482352155"/>
      <w:bookmarkStart w:id="537" w:name="_Toc482352245"/>
      <w:bookmarkStart w:id="538" w:name="_Toc482633085"/>
      <w:bookmarkStart w:id="539" w:name="_Toc482641262"/>
      <w:bookmarkStart w:id="540" w:name="_Toc482712708"/>
      <w:bookmarkStart w:id="541" w:name="_Toc482959478"/>
      <w:bookmarkStart w:id="542" w:name="_Toc482959588"/>
      <w:bookmarkStart w:id="543" w:name="_Toc482959698"/>
      <w:bookmarkStart w:id="544" w:name="_Toc482978817"/>
      <w:bookmarkStart w:id="545" w:name="_Toc482978926"/>
      <w:bookmarkStart w:id="546" w:name="_Toc482979034"/>
      <w:bookmarkStart w:id="547" w:name="_Toc482979145"/>
      <w:bookmarkStart w:id="548" w:name="_Toc482979254"/>
      <w:bookmarkStart w:id="549" w:name="_Toc482979363"/>
      <w:bookmarkStart w:id="550" w:name="_Toc482979471"/>
      <w:bookmarkStart w:id="551" w:name="_Toc482979580"/>
      <w:bookmarkStart w:id="552" w:name="_Toc482979678"/>
      <w:bookmarkStart w:id="553" w:name="_Toc483233639"/>
      <w:bookmarkStart w:id="554" w:name="_Toc483302339"/>
      <w:bookmarkStart w:id="555" w:name="_Toc483315889"/>
      <w:bookmarkStart w:id="556" w:name="_Toc483316094"/>
      <w:bookmarkStart w:id="557" w:name="_Toc483316297"/>
      <w:bookmarkStart w:id="558" w:name="_Toc483316428"/>
      <w:bookmarkStart w:id="559" w:name="_Toc483325731"/>
      <w:bookmarkStart w:id="560" w:name="_Toc483401210"/>
      <w:bookmarkStart w:id="561" w:name="_Toc483474007"/>
      <w:bookmarkStart w:id="562" w:name="_Toc483571436"/>
      <w:bookmarkStart w:id="563" w:name="_Toc483571557"/>
      <w:bookmarkStart w:id="564" w:name="_Toc483906934"/>
      <w:bookmarkStart w:id="565" w:name="_Toc484010684"/>
      <w:bookmarkStart w:id="566" w:name="_Toc484010806"/>
      <w:bookmarkStart w:id="567" w:name="_Toc484010930"/>
      <w:bookmarkStart w:id="568" w:name="_Toc484011052"/>
      <w:bookmarkStart w:id="569" w:name="_Toc484011174"/>
      <w:bookmarkStart w:id="570" w:name="_Toc484011649"/>
      <w:bookmarkStart w:id="571" w:name="_Toc484097723"/>
      <w:bookmarkStart w:id="572" w:name="_Toc484428895"/>
      <w:bookmarkStart w:id="573" w:name="_Toc484429065"/>
      <w:bookmarkStart w:id="574" w:name="_Toc484438640"/>
      <w:bookmarkStart w:id="575" w:name="_Toc484438764"/>
      <w:bookmarkStart w:id="576" w:name="_Toc484438888"/>
      <w:bookmarkStart w:id="577" w:name="_Toc484439808"/>
      <w:bookmarkStart w:id="578" w:name="_Toc484439931"/>
      <w:bookmarkStart w:id="579" w:name="_Toc484440055"/>
      <w:bookmarkStart w:id="580" w:name="_Toc484440415"/>
      <w:bookmarkStart w:id="581" w:name="_Toc484448074"/>
      <w:bookmarkStart w:id="582" w:name="_Toc484448199"/>
      <w:bookmarkStart w:id="583" w:name="_Toc484448323"/>
      <w:bookmarkStart w:id="584" w:name="_Toc484448447"/>
      <w:bookmarkStart w:id="585" w:name="_Toc484448571"/>
      <w:bookmarkStart w:id="586" w:name="_Toc484448695"/>
      <w:bookmarkStart w:id="587" w:name="_Toc484448818"/>
      <w:bookmarkStart w:id="588" w:name="_Toc484448942"/>
      <w:bookmarkStart w:id="589" w:name="_Toc484449066"/>
      <w:bookmarkStart w:id="590" w:name="_Toc484526561"/>
      <w:bookmarkStart w:id="591" w:name="_Toc484605281"/>
      <w:bookmarkStart w:id="592" w:name="_Toc484605405"/>
      <w:bookmarkStart w:id="593" w:name="_Toc484688274"/>
      <w:bookmarkStart w:id="594" w:name="_Toc484688829"/>
      <w:bookmarkStart w:id="595" w:name="_Toc485218265"/>
      <w:bookmarkStart w:id="596" w:name="_Toc482025717"/>
      <w:bookmarkStart w:id="597" w:name="_Toc482097540"/>
      <w:bookmarkStart w:id="598" w:name="_Toc482097629"/>
      <w:bookmarkStart w:id="599" w:name="_Toc482097718"/>
      <w:bookmarkStart w:id="600" w:name="_Toc482097910"/>
      <w:bookmarkStart w:id="601" w:name="_Toc482099008"/>
      <w:bookmarkStart w:id="602" w:name="_Toc482100725"/>
      <w:bookmarkStart w:id="603" w:name="_Toc482100882"/>
      <w:bookmarkStart w:id="604" w:name="_Toc482101308"/>
      <w:bookmarkStart w:id="605" w:name="_Toc482101445"/>
      <w:bookmarkStart w:id="606" w:name="_Toc482101560"/>
      <w:bookmarkStart w:id="607" w:name="_Toc482101735"/>
      <w:bookmarkStart w:id="608" w:name="_Toc482101828"/>
      <w:bookmarkStart w:id="609" w:name="_Toc482101923"/>
      <w:bookmarkStart w:id="610" w:name="_Toc482102018"/>
      <w:bookmarkStart w:id="611" w:name="_Toc482102112"/>
      <w:bookmarkStart w:id="612" w:name="_Toc482351976"/>
      <w:bookmarkStart w:id="613" w:name="_Toc482352066"/>
      <w:bookmarkStart w:id="614" w:name="_Toc482352156"/>
      <w:bookmarkStart w:id="615" w:name="_Toc482352246"/>
      <w:bookmarkStart w:id="616" w:name="_Toc482633086"/>
      <w:bookmarkStart w:id="617" w:name="_Toc482641263"/>
      <w:bookmarkStart w:id="618" w:name="_Toc482712709"/>
      <w:bookmarkStart w:id="619" w:name="_Toc482959479"/>
      <w:bookmarkStart w:id="620" w:name="_Toc482959589"/>
      <w:bookmarkStart w:id="621" w:name="_Toc482959699"/>
      <w:bookmarkStart w:id="622" w:name="_Toc482978818"/>
      <w:bookmarkStart w:id="623" w:name="_Toc482978927"/>
      <w:bookmarkStart w:id="624" w:name="_Toc482979035"/>
      <w:bookmarkStart w:id="625" w:name="_Toc482979146"/>
      <w:bookmarkStart w:id="626" w:name="_Toc482979255"/>
      <w:bookmarkStart w:id="627" w:name="_Toc482979364"/>
      <w:bookmarkStart w:id="628" w:name="_Toc482979472"/>
      <w:bookmarkStart w:id="629" w:name="_Toc482979581"/>
      <w:bookmarkStart w:id="630" w:name="_Toc482979679"/>
      <w:bookmarkStart w:id="631" w:name="_Toc483233640"/>
      <w:bookmarkStart w:id="632" w:name="_Toc483302340"/>
      <w:bookmarkStart w:id="633" w:name="_Toc483315890"/>
      <w:bookmarkStart w:id="634" w:name="_Toc483316095"/>
      <w:bookmarkStart w:id="635" w:name="_Toc483316298"/>
      <w:bookmarkStart w:id="636" w:name="_Toc483316429"/>
      <w:bookmarkStart w:id="637" w:name="_Toc483325732"/>
      <w:bookmarkStart w:id="638" w:name="_Toc483401211"/>
      <w:bookmarkStart w:id="639" w:name="_Toc483474008"/>
      <w:bookmarkStart w:id="640" w:name="_Toc483571437"/>
      <w:bookmarkStart w:id="641" w:name="_Toc483571558"/>
      <w:bookmarkStart w:id="642" w:name="_Toc483906935"/>
      <w:bookmarkStart w:id="643" w:name="_Toc484010685"/>
      <w:bookmarkStart w:id="644" w:name="_Toc484010807"/>
      <w:bookmarkStart w:id="645" w:name="_Toc484010931"/>
      <w:bookmarkStart w:id="646" w:name="_Toc484011053"/>
      <w:bookmarkStart w:id="647" w:name="_Toc484011175"/>
      <w:bookmarkStart w:id="648" w:name="_Toc484011650"/>
      <w:bookmarkStart w:id="649" w:name="_Toc484097724"/>
      <w:bookmarkStart w:id="650" w:name="_Toc484428896"/>
      <w:bookmarkStart w:id="651" w:name="_Toc484429066"/>
      <w:bookmarkStart w:id="652" w:name="_Toc484438641"/>
      <w:bookmarkStart w:id="653" w:name="_Toc484438765"/>
      <w:bookmarkStart w:id="654" w:name="_Toc484438889"/>
      <w:bookmarkStart w:id="655" w:name="_Toc484439809"/>
      <w:bookmarkStart w:id="656" w:name="_Toc484439932"/>
      <w:bookmarkStart w:id="657" w:name="_Toc484440056"/>
      <w:bookmarkStart w:id="658" w:name="_Toc484440416"/>
      <w:bookmarkStart w:id="659" w:name="_Toc484448075"/>
      <w:bookmarkStart w:id="660" w:name="_Toc484448200"/>
      <w:bookmarkStart w:id="661" w:name="_Toc484448324"/>
      <w:bookmarkStart w:id="662" w:name="_Toc484448448"/>
      <w:bookmarkStart w:id="663" w:name="_Toc484448572"/>
      <w:bookmarkStart w:id="664" w:name="_Toc484448696"/>
      <w:bookmarkStart w:id="665" w:name="_Toc484448819"/>
      <w:bookmarkStart w:id="666" w:name="_Toc484448943"/>
      <w:bookmarkStart w:id="667" w:name="_Toc484449067"/>
      <w:bookmarkStart w:id="668" w:name="_Toc484526562"/>
      <w:bookmarkStart w:id="669" w:name="_Toc484605282"/>
      <w:bookmarkStart w:id="670" w:name="_Toc484605406"/>
      <w:bookmarkStart w:id="671" w:name="_Toc484688275"/>
      <w:bookmarkStart w:id="672" w:name="_Toc484688830"/>
      <w:bookmarkStart w:id="673" w:name="_Toc485218266"/>
      <w:bookmarkStart w:id="674" w:name="_Toc482025718"/>
      <w:bookmarkStart w:id="675" w:name="_Toc482097541"/>
      <w:bookmarkStart w:id="676" w:name="_Toc482097630"/>
      <w:bookmarkStart w:id="677" w:name="_Toc482097719"/>
      <w:bookmarkStart w:id="678" w:name="_Toc482097911"/>
      <w:bookmarkStart w:id="679" w:name="_Toc482099009"/>
      <w:bookmarkStart w:id="680" w:name="_Toc482100726"/>
      <w:bookmarkStart w:id="681" w:name="_Toc482100883"/>
      <w:bookmarkStart w:id="682" w:name="_Toc482101309"/>
      <w:bookmarkStart w:id="683" w:name="_Toc482101446"/>
      <w:bookmarkStart w:id="684" w:name="_Toc482101561"/>
      <w:bookmarkStart w:id="685" w:name="_Toc482101736"/>
      <w:bookmarkStart w:id="686" w:name="_Toc482101829"/>
      <w:bookmarkStart w:id="687" w:name="_Toc482101924"/>
      <w:bookmarkStart w:id="688" w:name="_Toc482102019"/>
      <w:bookmarkStart w:id="689" w:name="_Toc482102113"/>
      <w:bookmarkStart w:id="690" w:name="_Toc482351977"/>
      <w:bookmarkStart w:id="691" w:name="_Toc482352067"/>
      <w:bookmarkStart w:id="692" w:name="_Toc482352157"/>
      <w:bookmarkStart w:id="693" w:name="_Toc482352247"/>
      <w:bookmarkStart w:id="694" w:name="_Toc482633087"/>
      <w:bookmarkStart w:id="695" w:name="_Toc482641264"/>
      <w:bookmarkStart w:id="696" w:name="_Toc482712710"/>
      <w:bookmarkStart w:id="697" w:name="_Toc482959480"/>
      <w:bookmarkStart w:id="698" w:name="_Toc482959590"/>
      <w:bookmarkStart w:id="699" w:name="_Toc482959700"/>
      <w:bookmarkStart w:id="700" w:name="_Toc482978819"/>
      <w:bookmarkStart w:id="701" w:name="_Toc482978928"/>
      <w:bookmarkStart w:id="702" w:name="_Toc482979036"/>
      <w:bookmarkStart w:id="703" w:name="_Toc482979147"/>
      <w:bookmarkStart w:id="704" w:name="_Toc482979256"/>
      <w:bookmarkStart w:id="705" w:name="_Toc482979365"/>
      <w:bookmarkStart w:id="706" w:name="_Toc482979473"/>
      <w:bookmarkStart w:id="707" w:name="_Toc482979582"/>
      <w:bookmarkStart w:id="708" w:name="_Toc482979680"/>
      <w:bookmarkStart w:id="709" w:name="_Toc483233641"/>
      <w:bookmarkStart w:id="710" w:name="_Toc483302341"/>
      <w:bookmarkStart w:id="711" w:name="_Toc483315891"/>
      <w:bookmarkStart w:id="712" w:name="_Toc483316096"/>
      <w:bookmarkStart w:id="713" w:name="_Toc483316299"/>
      <w:bookmarkStart w:id="714" w:name="_Toc483316430"/>
      <w:bookmarkStart w:id="715" w:name="_Toc483325733"/>
      <w:bookmarkStart w:id="716" w:name="_Toc483401212"/>
      <w:bookmarkStart w:id="717" w:name="_Toc483474009"/>
      <w:bookmarkStart w:id="718" w:name="_Toc483571438"/>
      <w:bookmarkStart w:id="719" w:name="_Toc483571559"/>
      <w:bookmarkStart w:id="720" w:name="_Toc483906936"/>
      <w:bookmarkStart w:id="721" w:name="_Toc484010686"/>
      <w:bookmarkStart w:id="722" w:name="_Toc484010808"/>
      <w:bookmarkStart w:id="723" w:name="_Toc484010932"/>
      <w:bookmarkStart w:id="724" w:name="_Toc484011054"/>
      <w:bookmarkStart w:id="725" w:name="_Toc484011176"/>
      <w:bookmarkStart w:id="726" w:name="_Toc484011651"/>
      <w:bookmarkStart w:id="727" w:name="_Toc484097725"/>
      <w:bookmarkStart w:id="728" w:name="_Toc484428897"/>
      <w:bookmarkStart w:id="729" w:name="_Toc484429067"/>
      <w:bookmarkStart w:id="730" w:name="_Toc484438642"/>
      <w:bookmarkStart w:id="731" w:name="_Toc484438766"/>
      <w:bookmarkStart w:id="732" w:name="_Toc484438890"/>
      <w:bookmarkStart w:id="733" w:name="_Toc484439810"/>
      <w:bookmarkStart w:id="734" w:name="_Toc484439933"/>
      <w:bookmarkStart w:id="735" w:name="_Toc484440057"/>
      <w:bookmarkStart w:id="736" w:name="_Toc484440417"/>
      <w:bookmarkStart w:id="737" w:name="_Toc484448076"/>
      <w:bookmarkStart w:id="738" w:name="_Toc484448201"/>
      <w:bookmarkStart w:id="739" w:name="_Toc484448325"/>
      <w:bookmarkStart w:id="740" w:name="_Toc484448449"/>
      <w:bookmarkStart w:id="741" w:name="_Toc484448573"/>
      <w:bookmarkStart w:id="742" w:name="_Toc484448697"/>
      <w:bookmarkStart w:id="743" w:name="_Toc484448820"/>
      <w:bookmarkStart w:id="744" w:name="_Toc484448944"/>
      <w:bookmarkStart w:id="745" w:name="_Toc484449068"/>
      <w:bookmarkStart w:id="746" w:name="_Toc484526563"/>
      <w:bookmarkStart w:id="747" w:name="_Toc484605283"/>
      <w:bookmarkStart w:id="748" w:name="_Toc484605407"/>
      <w:bookmarkStart w:id="749" w:name="_Toc484688276"/>
      <w:bookmarkStart w:id="750" w:name="_Toc484688831"/>
      <w:bookmarkStart w:id="751" w:name="_Toc485218267"/>
      <w:bookmarkStart w:id="752" w:name="_Toc482025719"/>
      <w:bookmarkStart w:id="753" w:name="_Toc482097542"/>
      <w:bookmarkStart w:id="754" w:name="_Toc482097631"/>
      <w:bookmarkStart w:id="755" w:name="_Toc482097720"/>
      <w:bookmarkStart w:id="756" w:name="_Toc482097912"/>
      <w:bookmarkStart w:id="757" w:name="_Toc482099010"/>
      <w:bookmarkStart w:id="758" w:name="_Toc482100727"/>
      <w:bookmarkStart w:id="759" w:name="_Toc482100884"/>
      <w:bookmarkStart w:id="760" w:name="_Toc482101310"/>
      <w:bookmarkStart w:id="761" w:name="_Toc482101447"/>
      <w:bookmarkStart w:id="762" w:name="_Toc482101562"/>
      <w:bookmarkStart w:id="763" w:name="_Toc482101737"/>
      <w:bookmarkStart w:id="764" w:name="_Toc482101830"/>
      <w:bookmarkStart w:id="765" w:name="_Toc482101925"/>
      <w:bookmarkStart w:id="766" w:name="_Toc482102020"/>
      <w:bookmarkStart w:id="767" w:name="_Toc482102114"/>
      <w:bookmarkStart w:id="768" w:name="_Toc482351978"/>
      <w:bookmarkStart w:id="769" w:name="_Toc482352068"/>
      <w:bookmarkStart w:id="770" w:name="_Toc482352158"/>
      <w:bookmarkStart w:id="771" w:name="_Toc482352248"/>
      <w:bookmarkStart w:id="772" w:name="_Toc482633088"/>
      <w:bookmarkStart w:id="773" w:name="_Toc482641265"/>
      <w:bookmarkStart w:id="774" w:name="_Toc482712711"/>
      <w:bookmarkStart w:id="775" w:name="_Toc482959481"/>
      <w:bookmarkStart w:id="776" w:name="_Toc482959591"/>
      <w:bookmarkStart w:id="777" w:name="_Toc482959701"/>
      <w:bookmarkStart w:id="778" w:name="_Toc482978820"/>
      <w:bookmarkStart w:id="779" w:name="_Toc482978929"/>
      <w:bookmarkStart w:id="780" w:name="_Toc482979037"/>
      <w:bookmarkStart w:id="781" w:name="_Toc482979148"/>
      <w:bookmarkStart w:id="782" w:name="_Toc482979257"/>
      <w:bookmarkStart w:id="783" w:name="_Toc482979366"/>
      <w:bookmarkStart w:id="784" w:name="_Toc482979474"/>
      <w:bookmarkStart w:id="785" w:name="_Toc482979583"/>
      <w:bookmarkStart w:id="786" w:name="_Toc482979681"/>
      <w:bookmarkStart w:id="787" w:name="_Toc483233642"/>
      <w:bookmarkStart w:id="788" w:name="_Toc483302342"/>
      <w:bookmarkStart w:id="789" w:name="_Toc483315892"/>
      <w:bookmarkStart w:id="790" w:name="_Toc483316097"/>
      <w:bookmarkStart w:id="791" w:name="_Toc483316300"/>
      <w:bookmarkStart w:id="792" w:name="_Toc483316431"/>
      <w:bookmarkStart w:id="793" w:name="_Toc483325734"/>
      <w:bookmarkStart w:id="794" w:name="_Toc483401213"/>
      <w:bookmarkStart w:id="795" w:name="_Toc483474010"/>
      <w:bookmarkStart w:id="796" w:name="_Toc483571439"/>
      <w:bookmarkStart w:id="797" w:name="_Toc483571560"/>
      <w:bookmarkStart w:id="798" w:name="_Toc483906937"/>
      <w:bookmarkStart w:id="799" w:name="_Toc484010687"/>
      <w:bookmarkStart w:id="800" w:name="_Toc484010809"/>
      <w:bookmarkStart w:id="801" w:name="_Toc484010933"/>
      <w:bookmarkStart w:id="802" w:name="_Toc484011055"/>
      <w:bookmarkStart w:id="803" w:name="_Toc484011177"/>
      <w:bookmarkStart w:id="804" w:name="_Toc484011652"/>
      <w:bookmarkStart w:id="805" w:name="_Toc484097726"/>
      <w:bookmarkStart w:id="806" w:name="_Toc484428898"/>
      <w:bookmarkStart w:id="807" w:name="_Toc484429068"/>
      <w:bookmarkStart w:id="808" w:name="_Toc484438643"/>
      <w:bookmarkStart w:id="809" w:name="_Toc484438767"/>
      <w:bookmarkStart w:id="810" w:name="_Toc484438891"/>
      <w:bookmarkStart w:id="811" w:name="_Toc484439811"/>
      <w:bookmarkStart w:id="812" w:name="_Toc484439934"/>
      <w:bookmarkStart w:id="813" w:name="_Toc484440058"/>
      <w:bookmarkStart w:id="814" w:name="_Toc484440418"/>
      <w:bookmarkStart w:id="815" w:name="_Toc484448077"/>
      <w:bookmarkStart w:id="816" w:name="_Toc484448202"/>
      <w:bookmarkStart w:id="817" w:name="_Toc484448326"/>
      <w:bookmarkStart w:id="818" w:name="_Toc484448450"/>
      <w:bookmarkStart w:id="819" w:name="_Toc484448574"/>
      <w:bookmarkStart w:id="820" w:name="_Toc484448698"/>
      <w:bookmarkStart w:id="821" w:name="_Toc484448821"/>
      <w:bookmarkStart w:id="822" w:name="_Toc484448945"/>
      <w:bookmarkStart w:id="823" w:name="_Toc484449069"/>
      <w:bookmarkStart w:id="824" w:name="_Toc484526564"/>
      <w:bookmarkStart w:id="825" w:name="_Toc484605284"/>
      <w:bookmarkStart w:id="826" w:name="_Toc484605408"/>
      <w:bookmarkStart w:id="827" w:name="_Toc484688277"/>
      <w:bookmarkStart w:id="828" w:name="_Toc484688832"/>
      <w:bookmarkStart w:id="829" w:name="_Toc485218268"/>
      <w:bookmarkStart w:id="830" w:name="_Toc482025720"/>
      <w:bookmarkStart w:id="831" w:name="_Toc482097543"/>
      <w:bookmarkStart w:id="832" w:name="_Toc482097632"/>
      <w:bookmarkStart w:id="833" w:name="_Toc482097721"/>
      <w:bookmarkStart w:id="834" w:name="_Toc482097913"/>
      <w:bookmarkStart w:id="835" w:name="_Toc482099011"/>
      <w:bookmarkStart w:id="836" w:name="_Toc482100728"/>
      <w:bookmarkStart w:id="837" w:name="_Toc482100885"/>
      <w:bookmarkStart w:id="838" w:name="_Toc482101311"/>
      <w:bookmarkStart w:id="839" w:name="_Toc482101448"/>
      <w:bookmarkStart w:id="840" w:name="_Toc482101563"/>
      <w:bookmarkStart w:id="841" w:name="_Toc482101738"/>
      <w:bookmarkStart w:id="842" w:name="_Toc482101831"/>
      <w:bookmarkStart w:id="843" w:name="_Toc482101926"/>
      <w:bookmarkStart w:id="844" w:name="_Toc482102021"/>
      <w:bookmarkStart w:id="845" w:name="_Toc482102115"/>
      <w:bookmarkStart w:id="846" w:name="_Toc482351979"/>
      <w:bookmarkStart w:id="847" w:name="_Toc482352069"/>
      <w:bookmarkStart w:id="848" w:name="_Toc482352159"/>
      <w:bookmarkStart w:id="849" w:name="_Toc482352249"/>
      <w:bookmarkStart w:id="850" w:name="_Toc482633089"/>
      <w:bookmarkStart w:id="851" w:name="_Toc482641266"/>
      <w:bookmarkStart w:id="852" w:name="_Toc482712712"/>
      <w:bookmarkStart w:id="853" w:name="_Toc482959482"/>
      <w:bookmarkStart w:id="854" w:name="_Toc482959592"/>
      <w:bookmarkStart w:id="855" w:name="_Toc482959702"/>
      <w:bookmarkStart w:id="856" w:name="_Toc482978821"/>
      <w:bookmarkStart w:id="857" w:name="_Toc482978930"/>
      <w:bookmarkStart w:id="858" w:name="_Toc482979038"/>
      <w:bookmarkStart w:id="859" w:name="_Toc482979149"/>
      <w:bookmarkStart w:id="860" w:name="_Toc482979258"/>
      <w:bookmarkStart w:id="861" w:name="_Toc482979367"/>
      <w:bookmarkStart w:id="862" w:name="_Toc482979475"/>
      <w:bookmarkStart w:id="863" w:name="_Toc482979584"/>
      <w:bookmarkStart w:id="864" w:name="_Toc482979682"/>
      <w:bookmarkStart w:id="865" w:name="_Toc483233643"/>
      <w:bookmarkStart w:id="866" w:name="_Toc483302343"/>
      <w:bookmarkStart w:id="867" w:name="_Toc483315893"/>
      <w:bookmarkStart w:id="868" w:name="_Toc483316098"/>
      <w:bookmarkStart w:id="869" w:name="_Toc483316301"/>
      <w:bookmarkStart w:id="870" w:name="_Toc483316432"/>
      <w:bookmarkStart w:id="871" w:name="_Toc483325735"/>
      <w:bookmarkStart w:id="872" w:name="_Toc483401214"/>
      <w:bookmarkStart w:id="873" w:name="_Toc483474011"/>
      <w:bookmarkStart w:id="874" w:name="_Toc483571440"/>
      <w:bookmarkStart w:id="875" w:name="_Toc483571561"/>
      <w:bookmarkStart w:id="876" w:name="_Toc483906938"/>
      <w:bookmarkStart w:id="877" w:name="_Toc484010688"/>
      <w:bookmarkStart w:id="878" w:name="_Toc484010810"/>
      <w:bookmarkStart w:id="879" w:name="_Toc484010934"/>
      <w:bookmarkStart w:id="880" w:name="_Toc484011056"/>
      <w:bookmarkStart w:id="881" w:name="_Toc484011178"/>
      <w:bookmarkStart w:id="882" w:name="_Toc484011653"/>
      <w:bookmarkStart w:id="883" w:name="_Toc484097727"/>
      <w:bookmarkStart w:id="884" w:name="_Toc484428899"/>
      <w:bookmarkStart w:id="885" w:name="_Toc484429069"/>
      <w:bookmarkStart w:id="886" w:name="_Toc484438644"/>
      <w:bookmarkStart w:id="887" w:name="_Toc484438768"/>
      <w:bookmarkStart w:id="888" w:name="_Toc484438892"/>
      <w:bookmarkStart w:id="889" w:name="_Toc484439812"/>
      <w:bookmarkStart w:id="890" w:name="_Toc484439935"/>
      <w:bookmarkStart w:id="891" w:name="_Toc484440059"/>
      <w:bookmarkStart w:id="892" w:name="_Toc484440419"/>
      <w:bookmarkStart w:id="893" w:name="_Toc484448078"/>
      <w:bookmarkStart w:id="894" w:name="_Toc484448203"/>
      <w:bookmarkStart w:id="895" w:name="_Toc484448327"/>
      <w:bookmarkStart w:id="896" w:name="_Toc484448451"/>
      <w:bookmarkStart w:id="897" w:name="_Toc484448575"/>
      <w:bookmarkStart w:id="898" w:name="_Toc484448699"/>
      <w:bookmarkStart w:id="899" w:name="_Toc484448822"/>
      <w:bookmarkStart w:id="900" w:name="_Toc484448946"/>
      <w:bookmarkStart w:id="901" w:name="_Toc484449070"/>
      <w:bookmarkStart w:id="902" w:name="_Toc484526565"/>
      <w:bookmarkStart w:id="903" w:name="_Toc484605285"/>
      <w:bookmarkStart w:id="904" w:name="_Toc484605409"/>
      <w:bookmarkStart w:id="905" w:name="_Toc484688278"/>
      <w:bookmarkStart w:id="906" w:name="_Toc484688833"/>
      <w:bookmarkStart w:id="907" w:name="_Toc485218269"/>
      <w:bookmarkStart w:id="908" w:name="_Toc482025721"/>
      <w:bookmarkStart w:id="909" w:name="_Toc482097544"/>
      <w:bookmarkStart w:id="910" w:name="_Toc482097633"/>
      <w:bookmarkStart w:id="911" w:name="_Toc482097722"/>
      <w:bookmarkStart w:id="912" w:name="_Toc482097914"/>
      <w:bookmarkStart w:id="913" w:name="_Toc482099012"/>
      <w:bookmarkStart w:id="914" w:name="_Toc482100729"/>
      <w:bookmarkStart w:id="915" w:name="_Toc482100886"/>
      <w:bookmarkStart w:id="916" w:name="_Toc482101312"/>
      <w:bookmarkStart w:id="917" w:name="_Toc482101449"/>
      <w:bookmarkStart w:id="918" w:name="_Toc482101564"/>
      <w:bookmarkStart w:id="919" w:name="_Toc482101739"/>
      <w:bookmarkStart w:id="920" w:name="_Toc482101832"/>
      <w:bookmarkStart w:id="921" w:name="_Toc482101927"/>
      <w:bookmarkStart w:id="922" w:name="_Toc482102022"/>
      <w:bookmarkStart w:id="923" w:name="_Toc482102116"/>
      <w:bookmarkStart w:id="924" w:name="_Toc482351980"/>
      <w:bookmarkStart w:id="925" w:name="_Toc482352070"/>
      <w:bookmarkStart w:id="926" w:name="_Toc482352160"/>
      <w:bookmarkStart w:id="927" w:name="_Toc482352250"/>
      <w:bookmarkStart w:id="928" w:name="_Toc482633090"/>
      <w:bookmarkStart w:id="929" w:name="_Toc482641267"/>
      <w:bookmarkStart w:id="930" w:name="_Toc482712713"/>
      <w:bookmarkStart w:id="931" w:name="_Toc482959483"/>
      <w:bookmarkStart w:id="932" w:name="_Toc482959593"/>
      <w:bookmarkStart w:id="933" w:name="_Toc482959703"/>
      <w:bookmarkStart w:id="934" w:name="_Toc482978822"/>
      <w:bookmarkStart w:id="935" w:name="_Toc482978931"/>
      <w:bookmarkStart w:id="936" w:name="_Toc482979039"/>
      <w:bookmarkStart w:id="937" w:name="_Toc482979150"/>
      <w:bookmarkStart w:id="938" w:name="_Toc482979259"/>
      <w:bookmarkStart w:id="939" w:name="_Toc482979368"/>
      <w:bookmarkStart w:id="940" w:name="_Toc482979476"/>
      <w:bookmarkStart w:id="941" w:name="_Toc482979585"/>
      <w:bookmarkStart w:id="942" w:name="_Toc482979683"/>
      <w:bookmarkStart w:id="943" w:name="_Toc483233644"/>
      <w:bookmarkStart w:id="944" w:name="_Toc483302344"/>
      <w:bookmarkStart w:id="945" w:name="_Toc483315894"/>
      <w:bookmarkStart w:id="946" w:name="_Toc483316099"/>
      <w:bookmarkStart w:id="947" w:name="_Toc483316302"/>
      <w:bookmarkStart w:id="948" w:name="_Toc483316433"/>
      <w:bookmarkStart w:id="949" w:name="_Toc483325736"/>
      <w:bookmarkStart w:id="950" w:name="_Toc483401215"/>
      <w:bookmarkStart w:id="951" w:name="_Toc483474012"/>
      <w:bookmarkStart w:id="952" w:name="_Toc483571441"/>
      <w:bookmarkStart w:id="953" w:name="_Toc483571562"/>
      <w:bookmarkStart w:id="954" w:name="_Toc483906939"/>
      <w:bookmarkStart w:id="955" w:name="_Toc484010689"/>
      <w:bookmarkStart w:id="956" w:name="_Toc484010811"/>
      <w:bookmarkStart w:id="957" w:name="_Toc484010935"/>
      <w:bookmarkStart w:id="958" w:name="_Toc484011057"/>
      <w:bookmarkStart w:id="959" w:name="_Toc484011179"/>
      <w:bookmarkStart w:id="960" w:name="_Toc484011654"/>
      <w:bookmarkStart w:id="961" w:name="_Toc484097728"/>
      <w:bookmarkStart w:id="962" w:name="_Toc484428900"/>
      <w:bookmarkStart w:id="963" w:name="_Toc484429070"/>
      <w:bookmarkStart w:id="964" w:name="_Toc484438645"/>
      <w:bookmarkStart w:id="965" w:name="_Toc484438769"/>
      <w:bookmarkStart w:id="966" w:name="_Toc484438893"/>
      <w:bookmarkStart w:id="967" w:name="_Toc484439813"/>
      <w:bookmarkStart w:id="968" w:name="_Toc484439936"/>
      <w:bookmarkStart w:id="969" w:name="_Toc484440060"/>
      <w:bookmarkStart w:id="970" w:name="_Toc484440420"/>
      <w:bookmarkStart w:id="971" w:name="_Toc484448079"/>
      <w:bookmarkStart w:id="972" w:name="_Toc484448204"/>
      <w:bookmarkStart w:id="973" w:name="_Toc484448328"/>
      <w:bookmarkStart w:id="974" w:name="_Toc484448452"/>
      <w:bookmarkStart w:id="975" w:name="_Toc484448576"/>
      <w:bookmarkStart w:id="976" w:name="_Toc484448700"/>
      <w:bookmarkStart w:id="977" w:name="_Toc484448823"/>
      <w:bookmarkStart w:id="978" w:name="_Toc484448947"/>
      <w:bookmarkStart w:id="979" w:name="_Toc484449071"/>
      <w:bookmarkStart w:id="980" w:name="_Toc484526566"/>
      <w:bookmarkStart w:id="981" w:name="_Toc484605286"/>
      <w:bookmarkStart w:id="982" w:name="_Toc484605410"/>
      <w:bookmarkStart w:id="983" w:name="_Toc484688279"/>
      <w:bookmarkStart w:id="984" w:name="_Toc484688834"/>
      <w:bookmarkStart w:id="985" w:name="_Toc485218270"/>
      <w:bookmarkStart w:id="986" w:name="_Toc482025722"/>
      <w:bookmarkStart w:id="987" w:name="_Toc482097545"/>
      <w:bookmarkStart w:id="988" w:name="_Toc482097634"/>
      <w:bookmarkStart w:id="989" w:name="_Toc482097723"/>
      <w:bookmarkStart w:id="990" w:name="_Toc482097915"/>
      <w:bookmarkStart w:id="991" w:name="_Toc482099013"/>
      <w:bookmarkStart w:id="992" w:name="_Toc482100730"/>
      <w:bookmarkStart w:id="993" w:name="_Toc482100887"/>
      <w:bookmarkStart w:id="994" w:name="_Toc482101313"/>
      <w:bookmarkStart w:id="995" w:name="_Toc482101450"/>
      <w:bookmarkStart w:id="996" w:name="_Toc482101565"/>
      <w:bookmarkStart w:id="997" w:name="_Toc482101740"/>
      <w:bookmarkStart w:id="998" w:name="_Toc482101833"/>
      <w:bookmarkStart w:id="999" w:name="_Toc482101928"/>
      <w:bookmarkStart w:id="1000" w:name="_Toc482102023"/>
      <w:bookmarkStart w:id="1001" w:name="_Toc482102117"/>
      <w:bookmarkStart w:id="1002" w:name="_Toc482351981"/>
      <w:bookmarkStart w:id="1003" w:name="_Toc482352071"/>
      <w:bookmarkStart w:id="1004" w:name="_Toc482352161"/>
      <w:bookmarkStart w:id="1005" w:name="_Toc482352251"/>
      <w:bookmarkStart w:id="1006" w:name="_Toc482633091"/>
      <w:bookmarkStart w:id="1007" w:name="_Toc482641268"/>
      <w:bookmarkStart w:id="1008" w:name="_Toc482712714"/>
      <w:bookmarkStart w:id="1009" w:name="_Toc482959484"/>
      <w:bookmarkStart w:id="1010" w:name="_Toc482959594"/>
      <w:bookmarkStart w:id="1011" w:name="_Toc482959704"/>
      <w:bookmarkStart w:id="1012" w:name="_Toc482978823"/>
      <w:bookmarkStart w:id="1013" w:name="_Toc482978932"/>
      <w:bookmarkStart w:id="1014" w:name="_Toc482979040"/>
      <w:bookmarkStart w:id="1015" w:name="_Toc482979151"/>
      <w:bookmarkStart w:id="1016" w:name="_Toc482979260"/>
      <w:bookmarkStart w:id="1017" w:name="_Toc482979369"/>
      <w:bookmarkStart w:id="1018" w:name="_Toc482979477"/>
      <w:bookmarkStart w:id="1019" w:name="_Toc482979586"/>
      <w:bookmarkStart w:id="1020" w:name="_Toc482979684"/>
      <w:bookmarkStart w:id="1021" w:name="_Toc483233645"/>
      <w:bookmarkStart w:id="1022" w:name="_Toc483302345"/>
      <w:bookmarkStart w:id="1023" w:name="_Toc483315895"/>
      <w:bookmarkStart w:id="1024" w:name="_Toc483316100"/>
      <w:bookmarkStart w:id="1025" w:name="_Toc483316303"/>
      <w:bookmarkStart w:id="1026" w:name="_Toc483316434"/>
      <w:bookmarkStart w:id="1027" w:name="_Toc483325737"/>
      <w:bookmarkStart w:id="1028" w:name="_Toc483401216"/>
      <w:bookmarkStart w:id="1029" w:name="_Toc483474013"/>
      <w:bookmarkStart w:id="1030" w:name="_Toc483571442"/>
      <w:bookmarkStart w:id="1031" w:name="_Toc483571563"/>
      <w:bookmarkStart w:id="1032" w:name="_Toc483906940"/>
      <w:bookmarkStart w:id="1033" w:name="_Toc484010690"/>
      <w:bookmarkStart w:id="1034" w:name="_Toc484010812"/>
      <w:bookmarkStart w:id="1035" w:name="_Toc484010936"/>
      <w:bookmarkStart w:id="1036" w:name="_Toc484011058"/>
      <w:bookmarkStart w:id="1037" w:name="_Toc484011180"/>
      <w:bookmarkStart w:id="1038" w:name="_Toc484011655"/>
      <w:bookmarkStart w:id="1039" w:name="_Toc484097729"/>
      <w:bookmarkStart w:id="1040" w:name="_Toc484428901"/>
      <w:bookmarkStart w:id="1041" w:name="_Toc484429071"/>
      <w:bookmarkStart w:id="1042" w:name="_Toc484438646"/>
      <w:bookmarkStart w:id="1043" w:name="_Toc484438770"/>
      <w:bookmarkStart w:id="1044" w:name="_Toc484438894"/>
      <w:bookmarkStart w:id="1045" w:name="_Toc484439814"/>
      <w:bookmarkStart w:id="1046" w:name="_Toc484439937"/>
      <w:bookmarkStart w:id="1047" w:name="_Toc484440061"/>
      <w:bookmarkStart w:id="1048" w:name="_Toc484440421"/>
      <w:bookmarkStart w:id="1049" w:name="_Toc484448080"/>
      <w:bookmarkStart w:id="1050" w:name="_Toc484448205"/>
      <w:bookmarkStart w:id="1051" w:name="_Toc484448329"/>
      <w:bookmarkStart w:id="1052" w:name="_Toc484448453"/>
      <w:bookmarkStart w:id="1053" w:name="_Toc484448577"/>
      <w:bookmarkStart w:id="1054" w:name="_Toc484448701"/>
      <w:bookmarkStart w:id="1055" w:name="_Toc484448824"/>
      <w:bookmarkStart w:id="1056" w:name="_Toc484448948"/>
      <w:bookmarkStart w:id="1057" w:name="_Toc484449072"/>
      <w:bookmarkStart w:id="1058" w:name="_Toc484526567"/>
      <w:bookmarkStart w:id="1059" w:name="_Toc484605287"/>
      <w:bookmarkStart w:id="1060" w:name="_Toc484605411"/>
      <w:bookmarkStart w:id="1061" w:name="_Toc484688280"/>
      <w:bookmarkStart w:id="1062" w:name="_Toc484688835"/>
      <w:bookmarkStart w:id="1063" w:name="_Toc485218271"/>
      <w:bookmarkStart w:id="1064" w:name="_Toc482025723"/>
      <w:bookmarkStart w:id="1065" w:name="_Toc482097546"/>
      <w:bookmarkStart w:id="1066" w:name="_Toc482097635"/>
      <w:bookmarkStart w:id="1067" w:name="_Toc482097724"/>
      <w:bookmarkStart w:id="1068" w:name="_Toc482097916"/>
      <w:bookmarkStart w:id="1069" w:name="_Toc482099014"/>
      <w:bookmarkStart w:id="1070" w:name="_Toc482100731"/>
      <w:bookmarkStart w:id="1071" w:name="_Toc482100888"/>
      <w:bookmarkStart w:id="1072" w:name="_Toc482101314"/>
      <w:bookmarkStart w:id="1073" w:name="_Toc482101451"/>
      <w:bookmarkStart w:id="1074" w:name="_Toc482101566"/>
      <w:bookmarkStart w:id="1075" w:name="_Toc482101741"/>
      <w:bookmarkStart w:id="1076" w:name="_Toc482101834"/>
      <w:bookmarkStart w:id="1077" w:name="_Toc482101929"/>
      <w:bookmarkStart w:id="1078" w:name="_Toc482102024"/>
      <w:bookmarkStart w:id="1079" w:name="_Toc482102118"/>
      <w:bookmarkStart w:id="1080" w:name="_Toc482351982"/>
      <w:bookmarkStart w:id="1081" w:name="_Toc482352072"/>
      <w:bookmarkStart w:id="1082" w:name="_Toc482352162"/>
      <w:bookmarkStart w:id="1083" w:name="_Toc482352252"/>
      <w:bookmarkStart w:id="1084" w:name="_Toc482633092"/>
      <w:bookmarkStart w:id="1085" w:name="_Toc482641269"/>
      <w:bookmarkStart w:id="1086" w:name="_Toc482712715"/>
      <w:bookmarkStart w:id="1087" w:name="_Toc482959485"/>
      <w:bookmarkStart w:id="1088" w:name="_Toc482959595"/>
      <w:bookmarkStart w:id="1089" w:name="_Toc482959705"/>
      <w:bookmarkStart w:id="1090" w:name="_Toc482978824"/>
      <w:bookmarkStart w:id="1091" w:name="_Toc482978933"/>
      <w:bookmarkStart w:id="1092" w:name="_Toc482979041"/>
      <w:bookmarkStart w:id="1093" w:name="_Toc482979152"/>
      <w:bookmarkStart w:id="1094" w:name="_Toc482979261"/>
      <w:bookmarkStart w:id="1095" w:name="_Toc482979370"/>
      <w:bookmarkStart w:id="1096" w:name="_Toc482979478"/>
      <w:bookmarkStart w:id="1097" w:name="_Toc482979587"/>
      <w:bookmarkStart w:id="1098" w:name="_Toc482979685"/>
      <w:bookmarkStart w:id="1099" w:name="_Toc483233646"/>
      <w:bookmarkStart w:id="1100" w:name="_Toc483302346"/>
      <w:bookmarkStart w:id="1101" w:name="_Toc483315896"/>
      <w:bookmarkStart w:id="1102" w:name="_Toc483316101"/>
      <w:bookmarkStart w:id="1103" w:name="_Toc483316304"/>
      <w:bookmarkStart w:id="1104" w:name="_Toc483316435"/>
      <w:bookmarkStart w:id="1105" w:name="_Toc483325738"/>
      <w:bookmarkStart w:id="1106" w:name="_Toc483401217"/>
      <w:bookmarkStart w:id="1107" w:name="_Toc483474014"/>
      <w:bookmarkStart w:id="1108" w:name="_Toc483571443"/>
      <w:bookmarkStart w:id="1109" w:name="_Toc483571564"/>
      <w:bookmarkStart w:id="1110" w:name="_Toc483906941"/>
      <w:bookmarkStart w:id="1111" w:name="_Toc484010691"/>
      <w:bookmarkStart w:id="1112" w:name="_Toc484010813"/>
      <w:bookmarkStart w:id="1113" w:name="_Toc484010937"/>
      <w:bookmarkStart w:id="1114" w:name="_Toc484011059"/>
      <w:bookmarkStart w:id="1115" w:name="_Toc484011181"/>
      <w:bookmarkStart w:id="1116" w:name="_Toc484011656"/>
      <w:bookmarkStart w:id="1117" w:name="_Toc484097730"/>
      <w:bookmarkStart w:id="1118" w:name="_Toc484428902"/>
      <w:bookmarkStart w:id="1119" w:name="_Toc484429072"/>
      <w:bookmarkStart w:id="1120" w:name="_Toc484438647"/>
      <w:bookmarkStart w:id="1121" w:name="_Toc484438771"/>
      <w:bookmarkStart w:id="1122" w:name="_Toc484438895"/>
      <w:bookmarkStart w:id="1123" w:name="_Toc484439815"/>
      <w:bookmarkStart w:id="1124" w:name="_Toc484439938"/>
      <w:bookmarkStart w:id="1125" w:name="_Toc484440062"/>
      <w:bookmarkStart w:id="1126" w:name="_Toc484440422"/>
      <w:bookmarkStart w:id="1127" w:name="_Toc484448081"/>
      <w:bookmarkStart w:id="1128" w:name="_Toc484448206"/>
      <w:bookmarkStart w:id="1129" w:name="_Toc484448330"/>
      <w:bookmarkStart w:id="1130" w:name="_Toc484448454"/>
      <w:bookmarkStart w:id="1131" w:name="_Toc484448578"/>
      <w:bookmarkStart w:id="1132" w:name="_Toc484448702"/>
      <w:bookmarkStart w:id="1133" w:name="_Toc484448825"/>
      <w:bookmarkStart w:id="1134" w:name="_Toc484448949"/>
      <w:bookmarkStart w:id="1135" w:name="_Toc484449073"/>
      <w:bookmarkStart w:id="1136" w:name="_Toc484526568"/>
      <w:bookmarkStart w:id="1137" w:name="_Toc484605288"/>
      <w:bookmarkStart w:id="1138" w:name="_Toc484605412"/>
      <w:bookmarkStart w:id="1139" w:name="_Toc484688281"/>
      <w:bookmarkStart w:id="1140" w:name="_Toc484688836"/>
      <w:bookmarkStart w:id="1141" w:name="_Toc485218272"/>
      <w:bookmarkStart w:id="1142" w:name="_Toc482025724"/>
      <w:bookmarkStart w:id="1143" w:name="_Toc482097547"/>
      <w:bookmarkStart w:id="1144" w:name="_Toc482097636"/>
      <w:bookmarkStart w:id="1145" w:name="_Toc482097725"/>
      <w:bookmarkStart w:id="1146" w:name="_Toc482097917"/>
      <w:bookmarkStart w:id="1147" w:name="_Toc482099015"/>
      <w:bookmarkStart w:id="1148" w:name="_Toc482100732"/>
      <w:bookmarkStart w:id="1149" w:name="_Toc482100889"/>
      <w:bookmarkStart w:id="1150" w:name="_Toc482101315"/>
      <w:bookmarkStart w:id="1151" w:name="_Toc482101452"/>
      <w:bookmarkStart w:id="1152" w:name="_Toc482101567"/>
      <w:bookmarkStart w:id="1153" w:name="_Toc482101742"/>
      <w:bookmarkStart w:id="1154" w:name="_Toc482101835"/>
      <w:bookmarkStart w:id="1155" w:name="_Toc482101930"/>
      <w:bookmarkStart w:id="1156" w:name="_Toc482102025"/>
      <w:bookmarkStart w:id="1157" w:name="_Toc482102119"/>
      <w:bookmarkStart w:id="1158" w:name="_Toc482351983"/>
      <w:bookmarkStart w:id="1159" w:name="_Toc482352073"/>
      <w:bookmarkStart w:id="1160" w:name="_Toc482352163"/>
      <w:bookmarkStart w:id="1161" w:name="_Toc482352253"/>
      <w:bookmarkStart w:id="1162" w:name="_Toc482633093"/>
      <w:bookmarkStart w:id="1163" w:name="_Toc482641270"/>
      <w:bookmarkStart w:id="1164" w:name="_Toc482712716"/>
      <w:bookmarkStart w:id="1165" w:name="_Toc482959486"/>
      <w:bookmarkStart w:id="1166" w:name="_Toc482959596"/>
      <w:bookmarkStart w:id="1167" w:name="_Toc482959706"/>
      <w:bookmarkStart w:id="1168" w:name="_Toc482978825"/>
      <w:bookmarkStart w:id="1169" w:name="_Toc482978934"/>
      <w:bookmarkStart w:id="1170" w:name="_Toc482979042"/>
      <w:bookmarkStart w:id="1171" w:name="_Toc482979153"/>
      <w:bookmarkStart w:id="1172" w:name="_Toc482979262"/>
      <w:bookmarkStart w:id="1173" w:name="_Toc482979371"/>
      <w:bookmarkStart w:id="1174" w:name="_Toc482979479"/>
      <w:bookmarkStart w:id="1175" w:name="_Toc482979588"/>
      <w:bookmarkStart w:id="1176" w:name="_Toc482979686"/>
      <w:bookmarkStart w:id="1177" w:name="_Toc483233647"/>
      <w:bookmarkStart w:id="1178" w:name="_Toc483302347"/>
      <w:bookmarkStart w:id="1179" w:name="_Toc483315897"/>
      <w:bookmarkStart w:id="1180" w:name="_Toc483316102"/>
      <w:bookmarkStart w:id="1181" w:name="_Toc483316305"/>
      <w:bookmarkStart w:id="1182" w:name="_Toc483316436"/>
      <w:bookmarkStart w:id="1183" w:name="_Toc483325739"/>
      <w:bookmarkStart w:id="1184" w:name="_Toc483401218"/>
      <w:bookmarkStart w:id="1185" w:name="_Toc483474015"/>
      <w:bookmarkStart w:id="1186" w:name="_Toc483571444"/>
      <w:bookmarkStart w:id="1187" w:name="_Toc483571565"/>
      <w:bookmarkStart w:id="1188" w:name="_Toc483906942"/>
      <w:bookmarkStart w:id="1189" w:name="_Toc484010692"/>
      <w:bookmarkStart w:id="1190" w:name="_Toc484010814"/>
      <w:bookmarkStart w:id="1191" w:name="_Toc484010938"/>
      <w:bookmarkStart w:id="1192" w:name="_Toc484011060"/>
      <w:bookmarkStart w:id="1193" w:name="_Toc484011182"/>
      <w:bookmarkStart w:id="1194" w:name="_Toc484011657"/>
      <w:bookmarkStart w:id="1195" w:name="_Toc484097731"/>
      <w:bookmarkStart w:id="1196" w:name="_Toc484428903"/>
      <w:bookmarkStart w:id="1197" w:name="_Toc484429073"/>
      <w:bookmarkStart w:id="1198" w:name="_Toc484438648"/>
      <w:bookmarkStart w:id="1199" w:name="_Toc484438772"/>
      <w:bookmarkStart w:id="1200" w:name="_Toc484438896"/>
      <w:bookmarkStart w:id="1201" w:name="_Toc484439816"/>
      <w:bookmarkStart w:id="1202" w:name="_Toc484439939"/>
      <w:bookmarkStart w:id="1203" w:name="_Toc484440063"/>
      <w:bookmarkStart w:id="1204" w:name="_Toc484440423"/>
      <w:bookmarkStart w:id="1205" w:name="_Toc484448082"/>
      <w:bookmarkStart w:id="1206" w:name="_Toc484448207"/>
      <w:bookmarkStart w:id="1207" w:name="_Toc484448331"/>
      <w:bookmarkStart w:id="1208" w:name="_Toc484448455"/>
      <w:bookmarkStart w:id="1209" w:name="_Toc484448579"/>
      <w:bookmarkStart w:id="1210" w:name="_Toc484448703"/>
      <w:bookmarkStart w:id="1211" w:name="_Toc484448826"/>
      <w:bookmarkStart w:id="1212" w:name="_Toc484448950"/>
      <w:bookmarkStart w:id="1213" w:name="_Toc484449074"/>
      <w:bookmarkStart w:id="1214" w:name="_Toc484526569"/>
      <w:bookmarkStart w:id="1215" w:name="_Toc484605289"/>
      <w:bookmarkStart w:id="1216" w:name="_Toc484605413"/>
      <w:bookmarkStart w:id="1217" w:name="_Toc484688282"/>
      <w:bookmarkStart w:id="1218" w:name="_Toc484688837"/>
      <w:bookmarkStart w:id="1219" w:name="_Toc485218273"/>
      <w:bookmarkStart w:id="1220" w:name="_Toc482025725"/>
      <w:bookmarkStart w:id="1221" w:name="_Toc482097548"/>
      <w:bookmarkStart w:id="1222" w:name="_Toc482097637"/>
      <w:bookmarkStart w:id="1223" w:name="_Toc482097726"/>
      <w:bookmarkStart w:id="1224" w:name="_Toc482097918"/>
      <w:bookmarkStart w:id="1225" w:name="_Toc482099016"/>
      <w:bookmarkStart w:id="1226" w:name="_Toc482100733"/>
      <w:bookmarkStart w:id="1227" w:name="_Toc482100890"/>
      <w:bookmarkStart w:id="1228" w:name="_Toc482101316"/>
      <w:bookmarkStart w:id="1229" w:name="_Toc482101453"/>
      <w:bookmarkStart w:id="1230" w:name="_Toc482101568"/>
      <w:bookmarkStart w:id="1231" w:name="_Toc482101743"/>
      <w:bookmarkStart w:id="1232" w:name="_Toc482101836"/>
      <w:bookmarkStart w:id="1233" w:name="_Toc482101931"/>
      <w:bookmarkStart w:id="1234" w:name="_Toc482102026"/>
      <w:bookmarkStart w:id="1235" w:name="_Toc482102120"/>
      <w:bookmarkStart w:id="1236" w:name="_Toc482351984"/>
      <w:bookmarkStart w:id="1237" w:name="_Toc482352074"/>
      <w:bookmarkStart w:id="1238" w:name="_Toc482352164"/>
      <w:bookmarkStart w:id="1239" w:name="_Toc482352254"/>
      <w:bookmarkStart w:id="1240" w:name="_Toc482633094"/>
      <w:bookmarkStart w:id="1241" w:name="_Toc482641271"/>
      <w:bookmarkStart w:id="1242" w:name="_Toc482712717"/>
      <w:bookmarkStart w:id="1243" w:name="_Toc482959487"/>
      <w:bookmarkStart w:id="1244" w:name="_Toc482959597"/>
      <w:bookmarkStart w:id="1245" w:name="_Toc482959707"/>
      <w:bookmarkStart w:id="1246" w:name="_Toc482978826"/>
      <w:bookmarkStart w:id="1247" w:name="_Toc482978935"/>
      <w:bookmarkStart w:id="1248" w:name="_Toc482979043"/>
      <w:bookmarkStart w:id="1249" w:name="_Toc482979154"/>
      <w:bookmarkStart w:id="1250" w:name="_Toc482979263"/>
      <w:bookmarkStart w:id="1251" w:name="_Toc482979372"/>
      <w:bookmarkStart w:id="1252" w:name="_Toc482979480"/>
      <w:bookmarkStart w:id="1253" w:name="_Toc482979589"/>
      <w:bookmarkStart w:id="1254" w:name="_Toc482979687"/>
      <w:bookmarkStart w:id="1255" w:name="_Toc483233648"/>
      <w:bookmarkStart w:id="1256" w:name="_Toc483302348"/>
      <w:bookmarkStart w:id="1257" w:name="_Toc483315898"/>
      <w:bookmarkStart w:id="1258" w:name="_Toc483316103"/>
      <w:bookmarkStart w:id="1259" w:name="_Toc483316306"/>
      <w:bookmarkStart w:id="1260" w:name="_Toc483316437"/>
      <w:bookmarkStart w:id="1261" w:name="_Toc483325740"/>
      <w:bookmarkStart w:id="1262" w:name="_Toc483401219"/>
      <w:bookmarkStart w:id="1263" w:name="_Toc483474016"/>
      <w:bookmarkStart w:id="1264" w:name="_Toc483571445"/>
      <w:bookmarkStart w:id="1265" w:name="_Toc483571566"/>
      <w:bookmarkStart w:id="1266" w:name="_Toc483906943"/>
      <w:bookmarkStart w:id="1267" w:name="_Toc484010693"/>
      <w:bookmarkStart w:id="1268" w:name="_Toc484010815"/>
      <w:bookmarkStart w:id="1269" w:name="_Toc484010939"/>
      <w:bookmarkStart w:id="1270" w:name="_Toc484011061"/>
      <w:bookmarkStart w:id="1271" w:name="_Toc484011183"/>
      <w:bookmarkStart w:id="1272" w:name="_Toc484011658"/>
      <w:bookmarkStart w:id="1273" w:name="_Toc484097732"/>
      <w:bookmarkStart w:id="1274" w:name="_Toc484428904"/>
      <w:bookmarkStart w:id="1275" w:name="_Toc484429074"/>
      <w:bookmarkStart w:id="1276" w:name="_Toc484438649"/>
      <w:bookmarkStart w:id="1277" w:name="_Toc484438773"/>
      <w:bookmarkStart w:id="1278" w:name="_Toc484438897"/>
      <w:bookmarkStart w:id="1279" w:name="_Toc484439817"/>
      <w:bookmarkStart w:id="1280" w:name="_Toc484439940"/>
      <w:bookmarkStart w:id="1281" w:name="_Toc484440064"/>
      <w:bookmarkStart w:id="1282" w:name="_Toc484440424"/>
      <w:bookmarkStart w:id="1283" w:name="_Toc484448083"/>
      <w:bookmarkStart w:id="1284" w:name="_Toc484448208"/>
      <w:bookmarkStart w:id="1285" w:name="_Toc484448332"/>
      <w:bookmarkStart w:id="1286" w:name="_Toc484448456"/>
      <w:bookmarkStart w:id="1287" w:name="_Toc484448580"/>
      <w:bookmarkStart w:id="1288" w:name="_Toc484448704"/>
      <w:bookmarkStart w:id="1289" w:name="_Toc484448827"/>
      <w:bookmarkStart w:id="1290" w:name="_Toc484448951"/>
      <w:bookmarkStart w:id="1291" w:name="_Toc484449075"/>
      <w:bookmarkStart w:id="1292" w:name="_Toc484526570"/>
      <w:bookmarkStart w:id="1293" w:name="_Toc484605290"/>
      <w:bookmarkStart w:id="1294" w:name="_Toc484605414"/>
      <w:bookmarkStart w:id="1295" w:name="_Toc484688283"/>
      <w:bookmarkStart w:id="1296" w:name="_Toc484688838"/>
      <w:bookmarkStart w:id="1297" w:name="_Toc485218274"/>
      <w:bookmarkStart w:id="1298" w:name="_Toc391035976"/>
      <w:bookmarkStart w:id="1299" w:name="_Toc391036049"/>
      <w:bookmarkStart w:id="1300" w:name="_Toc380501865"/>
      <w:bookmarkStart w:id="1301" w:name="_Toc391035978"/>
      <w:bookmarkStart w:id="1302" w:name="_Toc391036051"/>
      <w:bookmarkStart w:id="1303" w:name="_Toc392577492"/>
      <w:bookmarkStart w:id="1304" w:name="_Toc393110559"/>
      <w:bookmarkStart w:id="1305" w:name="_Toc393112123"/>
      <w:bookmarkStart w:id="1306" w:name="_Toc393187840"/>
      <w:bookmarkStart w:id="1307" w:name="_Toc393272596"/>
      <w:bookmarkStart w:id="1308" w:name="_Toc393272654"/>
      <w:bookmarkStart w:id="1309" w:name="_Toc393283170"/>
      <w:bookmarkStart w:id="1310" w:name="_Toc393700829"/>
      <w:bookmarkStart w:id="1311" w:name="_Toc393706902"/>
      <w:bookmarkStart w:id="1312" w:name="_Toc397346817"/>
      <w:bookmarkStart w:id="1313" w:name="_Toc397422858"/>
      <w:bookmarkStart w:id="1314" w:name="_Toc403471265"/>
      <w:bookmarkStart w:id="1315" w:name="_Toc406058371"/>
      <w:bookmarkEnd w:id="199"/>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t>REQUISITI DI ORDINE GENERALE</w:t>
      </w:r>
      <w:bookmarkEnd w:id="202"/>
      <w:bookmarkEnd w:id="203"/>
      <w:r>
        <w:rPr/>
        <w:t xml:space="preserve"> E ALTRE CAUSE DI ESCLUSIONE</w:t>
      </w:r>
      <w:bookmarkEnd w:id="200"/>
      <w:bookmarkEnd w:id="201"/>
    </w:p>
    <w:p>
      <w:pPr>
        <w:pStyle w:val="Normal"/>
        <w:spacing w:before="60" w:after="0"/>
        <w:rPr>
          <w:rFonts w:ascii="Titillium" w:hAnsi="Titillium" w:cs="Arial"/>
          <w:sz w:val="18"/>
          <w:szCs w:val="18"/>
        </w:rPr>
      </w:pPr>
      <w:r>
        <w:rPr>
          <w:rFonts w:cs="Arial" w:ascii="Titillium" w:hAnsi="Titillium"/>
          <w:sz w:val="18"/>
          <w:szCs w:val="18"/>
        </w:rPr>
        <w:t>I concorrenti devono essere in possesso, a pena di esclusione, dei requisiti di ordine generale previsti dal Codice nonché degli ulteriori requisiti indicati nel presente paragrafo.</w:t>
      </w:r>
    </w:p>
    <w:p>
      <w:pPr>
        <w:pStyle w:val="Normal"/>
        <w:spacing w:before="60" w:after="0"/>
        <w:rPr>
          <w:rFonts w:ascii="Titillium" w:hAnsi="Titillium" w:cs="Arial"/>
          <w:sz w:val="18"/>
          <w:szCs w:val="18"/>
        </w:rPr>
      </w:pPr>
      <w:r>
        <w:rPr>
          <w:rFonts w:cs="Arial" w:ascii="Titillium" w:hAnsi="Titillium"/>
          <w:sz w:val="18"/>
          <w:szCs w:val="18"/>
        </w:rPr>
        <w:t>La stazione appaltante verifica il possesso dei requisiti di ordine generale accedendo al fascicolo virtuale dell’operatore economico (di seguito: FVOE), fatto salvo quanto previsto nel paragrafo 25.</w:t>
      </w:r>
    </w:p>
    <w:p>
      <w:pPr>
        <w:pStyle w:val="Normal"/>
        <w:spacing w:before="60" w:after="60"/>
        <w:rPr>
          <w:rFonts w:ascii="Titillium" w:hAnsi="Titillium" w:cs="Arial"/>
          <w:sz w:val="18"/>
          <w:szCs w:val="18"/>
        </w:rPr>
      </w:pPr>
      <w:r>
        <w:rPr>
          <w:rFonts w:cs="Arial" w:ascii="Titillium" w:hAnsi="Titillium"/>
          <w:sz w:val="18"/>
          <w:szCs w:val="18"/>
        </w:rPr>
        <w:t>Nella domanda di partecipazione, gli operatori economici acconsentono al trattamento dei dati tramite il FVOE, nel rispetto di quanto previsto dal codice in materia di protezione dei dati personali, di cui al decreto legislativo 30 giugno 2003, n.196.</w:t>
      </w:r>
      <w:r>
        <w:rPr>
          <w:rFonts w:cs="Calibri" w:ascii="Calibri" w:hAnsi="Calibri"/>
          <w:sz w:val="18"/>
          <w:szCs w:val="18"/>
        </w:rPr>
        <w:t> </w:t>
      </w:r>
      <w:r>
        <w:rPr>
          <w:rFonts w:cs="Arial" w:ascii="Titillium" w:hAnsi="Titillium"/>
          <w:sz w:val="18"/>
          <w:szCs w:val="18"/>
        </w:rPr>
        <w:t xml:space="preserve"> </w:t>
      </w:r>
    </w:p>
    <w:p>
      <w:pPr>
        <w:pStyle w:val="Normal"/>
        <w:spacing w:before="60" w:after="0"/>
        <w:rPr>
          <w:rFonts w:ascii="Titillium" w:hAnsi="Titillium" w:cs="Arial"/>
          <w:sz w:val="18"/>
          <w:szCs w:val="18"/>
        </w:rPr>
      </w:pPr>
      <w:r>
        <w:rPr>
          <w:rFonts w:cs="Arial" w:ascii="Titillium" w:hAnsi="Titillium"/>
          <w:sz w:val="18"/>
          <w:szCs w:val="18"/>
        </w:rPr>
        <w:t>Le circostanze di cui all’articolo 94 del Codice sono cause di esclusione automatica. La sussistenza delle circostanze di cui all’articolo 95 del Codice è accertata previo contraddittorio con l’operatore economico.</w:t>
      </w:r>
    </w:p>
    <w:p>
      <w:pPr>
        <w:pStyle w:val="Normal"/>
        <w:spacing w:before="60" w:after="0"/>
        <w:rPr>
          <w:rFonts w:ascii="Titillium" w:hAnsi="Titillium" w:cs="Arial"/>
          <w:sz w:val="18"/>
          <w:szCs w:val="18"/>
        </w:rPr>
      </w:pPr>
      <w:r>
        <w:rPr>
          <w:rFonts w:cs="Arial" w:ascii="Titillium" w:hAnsi="Titillium"/>
          <w:sz w:val="18"/>
          <w:szCs w:val="18"/>
        </w:rPr>
        <w:t>In caso di partecipazione di consorzi di cui all’articolo 65, comma 2, lettere b) e c) e d) del Codice, i requisiti di cui al presente paragrafo sono posseduti dal consorzio, dalle consorziate indicate quali esecutrici e dalle consorziate che prestano i requisiti.</w:t>
      </w:r>
    </w:p>
    <w:p>
      <w:pPr>
        <w:pStyle w:val="Normal"/>
        <w:spacing w:before="60" w:after="0"/>
        <w:rPr>
          <w:rFonts w:ascii="Titillium" w:hAnsi="Titillium" w:cs="Arial"/>
          <w:sz w:val="18"/>
          <w:szCs w:val="18"/>
        </w:rPr>
      </w:pPr>
      <w:r>
        <w:rPr>
          <w:rFonts w:cs="Arial" w:ascii="Titillium" w:hAnsi="Titillium"/>
          <w:sz w:val="18"/>
          <w:szCs w:val="18"/>
        </w:rPr>
        <w:t>In caso di partecipazione dei soggetti di cui all’articolo 65, comma 2, lettere e) f) g) e h) del Codice, i requisiti di cui al presente paragrafo sono posseduti da ciascun componente del ragruppamento/consorzio/GEIE anche da costituire, nonché dal GEIE medesimo, e da ciascun componente dell’aggregazione di rete che partecipa alla gara nonché dall’organo comune nel caso in cui questi abbia soggettività giuridica.</w:t>
      </w:r>
    </w:p>
    <w:p>
      <w:pPr>
        <w:pStyle w:val="Normal"/>
        <w:spacing w:before="60" w:after="0"/>
        <w:rPr>
          <w:rFonts w:ascii="Titillium" w:hAnsi="Titillium" w:cs="Arial"/>
          <w:b/>
          <w:bCs/>
          <w:sz w:val="18"/>
          <w:szCs w:val="18"/>
        </w:rPr>
      </w:pPr>
      <w:r>
        <w:rPr>
          <w:rFonts w:cs="Arial" w:ascii="Titillium" w:hAnsi="Titillium"/>
          <w:b/>
          <w:bCs/>
          <w:sz w:val="18"/>
          <w:szCs w:val="18"/>
        </w:rPr>
        <w:t>Self cleaning</w:t>
      </w:r>
    </w:p>
    <w:p>
      <w:pPr>
        <w:pStyle w:val="Normal"/>
        <w:spacing w:before="60" w:after="0"/>
        <w:rPr>
          <w:rFonts w:ascii="Titillium" w:hAnsi="Titillium" w:cs="Arial"/>
          <w:sz w:val="18"/>
          <w:szCs w:val="18"/>
        </w:rPr>
      </w:pPr>
      <w:r>
        <w:rPr>
          <w:rFonts w:cs="Arial" w:ascii="Titillium" w:hAnsi="Titillium"/>
          <w:sz w:val="18"/>
          <w:szCs w:val="18"/>
        </w:rPr>
        <w:t xml:space="preserve">Un operatore economico che si trovi in una delle situazioni di cui agli articoli 94 e 95 del Codice, ad eccezione delle irregolarità contributive e fiscali definitivamente e non definitivamente accertate, può fornire prova di aver adottato misure (c.d. self cleaning) sufficienti a dimostrare la sua affidabilità. </w:t>
      </w:r>
    </w:p>
    <w:p>
      <w:pPr>
        <w:pStyle w:val="Normal"/>
        <w:spacing w:before="60" w:after="0"/>
        <w:rPr>
          <w:rFonts w:ascii="Titillium" w:hAnsi="Titillium" w:cs="Arial"/>
          <w:sz w:val="18"/>
          <w:szCs w:val="18"/>
        </w:rPr>
      </w:pPr>
      <w:r>
        <w:rPr>
          <w:rFonts w:cs="Arial" w:ascii="Titillium" w:hAnsi="Titillium"/>
          <w:sz w:val="18"/>
          <w:szCs w:val="18"/>
        </w:rPr>
        <w:t>Se la causa di esclusione si è verificata prima della presentazione dell’offerta, l’operatore economico indica nel DGUE la causa ostativa e, alternativamente:</w:t>
      </w:r>
    </w:p>
    <w:p>
      <w:pPr>
        <w:pStyle w:val="ListParagraph"/>
        <w:numPr>
          <w:ilvl w:val="1"/>
          <w:numId w:val="34"/>
        </w:numPr>
        <w:spacing w:before="60" w:after="0"/>
        <w:ind w:hanging="360" w:left="426"/>
        <w:contextualSpacing/>
        <w:rPr>
          <w:rFonts w:ascii="Titillium" w:hAnsi="Titillium" w:cs="Arial"/>
          <w:sz w:val="18"/>
          <w:szCs w:val="18"/>
        </w:rPr>
      </w:pPr>
      <w:r>
        <w:rPr>
          <w:rFonts w:cs="Arial" w:ascii="Titillium" w:hAnsi="Titillium"/>
          <w:sz w:val="18"/>
          <w:szCs w:val="18"/>
        </w:rPr>
        <w:t>descrive le misure adottate ai sensi dell’articolo 96, comma 6 del Codice;</w:t>
      </w:r>
    </w:p>
    <w:p>
      <w:pPr>
        <w:pStyle w:val="ListParagraph"/>
        <w:numPr>
          <w:ilvl w:val="1"/>
          <w:numId w:val="34"/>
        </w:numPr>
        <w:spacing w:before="60" w:after="0"/>
        <w:ind w:hanging="360" w:left="426"/>
        <w:contextualSpacing/>
        <w:rPr>
          <w:rFonts w:ascii="Titillium" w:hAnsi="Titillium" w:cs="Arial"/>
          <w:sz w:val="18"/>
          <w:szCs w:val="18"/>
        </w:rPr>
      </w:pPr>
      <w:r>
        <w:rPr>
          <w:rFonts w:cs="Arial" w:ascii="Titillium" w:hAnsi="Titillium"/>
          <w:sz w:val="18"/>
          <w:szCs w:val="18"/>
        </w:rPr>
        <w:t xml:space="preserve">motiva l’impossibilità ad adottare dette misure e si impegna a provvedere successivamente. L’adozione delle misure è comunicata alla stazione appaltante. </w:t>
      </w:r>
    </w:p>
    <w:p>
      <w:pPr>
        <w:pStyle w:val="Normal"/>
        <w:spacing w:before="60" w:after="0"/>
        <w:rPr>
          <w:rFonts w:ascii="Titillium" w:hAnsi="Titillium" w:cs="Arial"/>
          <w:sz w:val="18"/>
          <w:szCs w:val="18"/>
        </w:rPr>
      </w:pPr>
      <w:r>
        <w:rPr>
          <w:rFonts w:cs="Arial" w:ascii="Titillium" w:hAnsi="Titillium"/>
          <w:sz w:val="18"/>
          <w:szCs w:val="18"/>
        </w:rPr>
        <w:t>Se la causa di esclusione si è verificata successivamente alla presentazione dell’offerta, l’operatore economico adotta le misure di cui al comma 6 dell’articolo 96 del Codice dandone comunicazione alla stazione appaltante.</w:t>
      </w:r>
    </w:p>
    <w:p>
      <w:pPr>
        <w:pStyle w:val="Normal"/>
        <w:spacing w:before="60" w:after="0"/>
        <w:rPr>
          <w:rFonts w:ascii="Titillium" w:hAnsi="Titillium" w:cs="Arial"/>
          <w:sz w:val="18"/>
          <w:szCs w:val="18"/>
        </w:rPr>
      </w:pPr>
      <w:r>
        <w:rPr>
          <w:rFonts w:cs="Arial" w:ascii="Titillium" w:hAnsi="Titillium"/>
          <w:sz w:val="18"/>
          <w:szCs w:val="18"/>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pPr>
        <w:pStyle w:val="Normal"/>
        <w:spacing w:before="60" w:after="0"/>
        <w:rPr>
          <w:rFonts w:ascii="Titillium" w:hAnsi="Titillium" w:cs="Arial"/>
          <w:sz w:val="18"/>
          <w:szCs w:val="18"/>
        </w:rPr>
      </w:pPr>
      <w:r>
        <w:rPr>
          <w:rFonts w:cs="Arial" w:ascii="Titillium" w:hAnsi="Titillium"/>
          <w:sz w:val="18"/>
          <w:szCs w:val="18"/>
        </w:rPr>
        <w:t xml:space="preserve">Se le misure adottate sono ritenute sufficienti e tempestive, l’operatore economico non è escluso. Se dette misure sono ritenute insufficienti e intempestive, la stazione appaltante ne comunica le ragioni all’operatore economico. </w:t>
      </w:r>
    </w:p>
    <w:p>
      <w:pPr>
        <w:pStyle w:val="Normal"/>
        <w:spacing w:before="60" w:after="0"/>
        <w:rPr>
          <w:rFonts w:ascii="Titillium" w:hAnsi="Titillium" w:cs="Arial"/>
          <w:sz w:val="18"/>
          <w:szCs w:val="18"/>
        </w:rPr>
      </w:pPr>
      <w:r>
        <w:rPr>
          <w:rFonts w:cs="Arial" w:ascii="Titillium" w:hAnsi="Titillium"/>
          <w:sz w:val="18"/>
          <w:szCs w:val="18"/>
        </w:rPr>
        <w:t>Non può avvalersi del self-cleaning l’operatore economico escluso con sentenza definitiva dalla partecipazione alle procedure di affidamento, nel corso del periodo di esclusione derivante da tale sentenza.</w:t>
      </w:r>
    </w:p>
    <w:p>
      <w:pPr>
        <w:pStyle w:val="Normal"/>
        <w:spacing w:before="60" w:after="60"/>
        <w:rPr>
          <w:rFonts w:ascii="Titillium" w:hAnsi="Titillium"/>
          <w:sz w:val="18"/>
          <w:szCs w:val="24"/>
        </w:rPr>
      </w:pPr>
      <w:r>
        <w:rPr>
          <w:rFonts w:ascii="Titillium" w:hAnsi="Titillium"/>
          <w:sz w:val="18"/>
          <w:szCs w:val="24"/>
        </w:rPr>
        <w:t xml:space="preserve">Nel caso in cui un raggruppamento/consorzio abbia estromesso o sostituito un partecipante/esecutrice/consorziata, avente i requisiti di cui i consorzi si avvalgono, interessato da una clausola di esclusione di cui agli articoli 94 e 95 del Codice, si valutano le misure adottate ai sensi dell’articolo 97 del Codice al fine di decidere sull’esclusione. </w:t>
      </w:r>
    </w:p>
    <w:p>
      <w:pPr>
        <w:pStyle w:val="Normal"/>
        <w:spacing w:before="60" w:after="0"/>
        <w:rPr>
          <w:rFonts w:ascii="Titillium" w:hAnsi="Titillium" w:cs="Arial"/>
          <w:sz w:val="18"/>
          <w:szCs w:val="18"/>
        </w:rPr>
      </w:pPr>
      <w:r>
        <w:rPr>
          <w:rFonts w:cs="Arial" w:ascii="Titillium" w:hAnsi="Titillium"/>
          <w:sz w:val="18"/>
          <w:szCs w:val="18"/>
        </w:rPr>
      </w:r>
    </w:p>
    <w:p>
      <w:pPr>
        <w:pStyle w:val="Normal"/>
        <w:spacing w:before="60" w:after="0"/>
        <w:rPr>
          <w:rFonts w:ascii="Titillium" w:hAnsi="Titillium" w:cs="Arial"/>
          <w:b/>
          <w:bCs/>
          <w:sz w:val="18"/>
          <w:szCs w:val="18"/>
        </w:rPr>
      </w:pPr>
      <w:r>
        <w:rPr>
          <w:rFonts w:cs="Arial" w:ascii="Titillium" w:hAnsi="Titillium"/>
          <w:b/>
          <w:bCs/>
          <w:sz w:val="18"/>
          <w:szCs w:val="18"/>
        </w:rPr>
        <w:t>Altre cause di esclusione</w:t>
      </w:r>
    </w:p>
    <w:p>
      <w:pPr>
        <w:pStyle w:val="Normal"/>
        <w:spacing w:before="120" w:after="60"/>
        <w:rPr/>
      </w:pPr>
      <w:r>
        <w:rPr>
          <w:rFonts w:cs="Arial" w:ascii="Titillium" w:hAnsi="Titillium"/>
          <w:sz w:val="18"/>
          <w:szCs w:val="18"/>
        </w:rPr>
        <w:t>Sono esclusi gli</w:t>
      </w:r>
      <w:r>
        <w:rPr>
          <w:rFonts w:cs="Arial" w:ascii="Titillium" w:hAnsi="Titillium"/>
          <w:b/>
          <w:sz w:val="18"/>
          <w:szCs w:val="18"/>
        </w:rPr>
        <w:t xml:space="preserve"> </w:t>
      </w:r>
      <w:r>
        <w:rPr>
          <w:rFonts w:cs="Calibri" w:ascii="Titillium" w:hAnsi="Titillium"/>
          <w:sz w:val="18"/>
          <w:szCs w:val="18"/>
        </w:rPr>
        <w:t xml:space="preserve">operatori economici che abbiano affidato incarichi in violazione dell’articolo 53, comma 16-ter, del decreto legislativo del 2001 n. 165 a soggetti che hanno esercitato, in qualità di dipendenti, poteri autoritativi o negoziali presso l’amministrazione affidante negli ultimi tre anni. </w:t>
      </w:r>
    </w:p>
    <w:p>
      <w:pPr>
        <w:pStyle w:val="Normal"/>
        <w:spacing w:before="120" w:after="60"/>
        <w:rPr>
          <w:rFonts w:ascii="Titillium" w:hAnsi="Titillium" w:cs="Calibri"/>
          <w:sz w:val="18"/>
          <w:szCs w:val="18"/>
        </w:rPr>
      </w:pPr>
      <w:r>
        <w:rPr>
          <w:rFonts w:cs="Arial" w:ascii="Titillium" w:hAnsi="Titillium"/>
          <w:sz w:val="18"/>
          <w:szCs w:val="18"/>
        </w:rPr>
        <w:t xml:space="preserve">La mancata accettazione delle clausole contenute nel protocollo di legalità/patto di integrità e il mancato rispetto dello stesso costituiscono causa di </w:t>
      </w:r>
      <w:r>
        <w:rPr>
          <w:rFonts w:cs="Arial" w:ascii="Titillium" w:hAnsi="Titillium"/>
          <w:bCs/>
          <w:sz w:val="18"/>
          <w:szCs w:val="18"/>
        </w:rPr>
        <w:t xml:space="preserve">esclusione </w:t>
      </w:r>
      <w:r>
        <w:rPr>
          <w:rFonts w:cs="Arial" w:ascii="Titillium" w:hAnsi="Titillium"/>
          <w:sz w:val="18"/>
          <w:szCs w:val="18"/>
        </w:rPr>
        <w:t>dalla gara, ai sensi dell’articolo 83-bis del decreto legislativo n. 159/2011.</w:t>
      </w:r>
      <w:r>
        <w:rPr>
          <w:rFonts w:cs="Calibri" w:ascii="Titillium" w:hAnsi="Titillium"/>
          <w:sz w:val="18"/>
          <w:szCs w:val="18"/>
        </w:rPr>
        <w:t xml:space="preserve"> </w:t>
      </w:r>
      <w:bookmarkStart w:id="1316" w:name="_Ref497211510"/>
    </w:p>
    <w:p>
      <w:pPr>
        <w:pStyle w:val="Heading2"/>
        <w:numPr>
          <w:ilvl w:val="0"/>
          <w:numId w:val="3"/>
        </w:numPr>
        <w:rPr/>
      </w:pPr>
      <w:bookmarkStart w:id="1317" w:name="__RefHeading___Toc11696_2735037374"/>
      <w:bookmarkStart w:id="1318" w:name="_Toc207275732"/>
      <w:bookmarkEnd w:id="1317"/>
      <w:r>
        <w:rPr/>
        <w:t>REQUISITI DI ORDINE SPECIALE E MEZZI DI PROVA</w:t>
      </w:r>
      <w:bookmarkEnd w:id="1316"/>
      <w:bookmarkEnd w:id="1318"/>
    </w:p>
    <w:p>
      <w:pPr>
        <w:pStyle w:val="Normal"/>
        <w:spacing w:before="60" w:after="60"/>
        <w:rPr>
          <w:rFonts w:ascii="Titillium" w:hAnsi="Titillium" w:cs="Calibri"/>
          <w:sz w:val="18"/>
          <w:szCs w:val="18"/>
        </w:rPr>
      </w:pPr>
      <w:r>
        <w:rPr>
          <w:rFonts w:cs="Calibri" w:ascii="Titillium" w:hAnsi="Titillium"/>
          <w:sz w:val="18"/>
          <w:szCs w:val="18"/>
        </w:rPr>
        <w:t xml:space="preserve">I concorrenti devono possedere, </w:t>
      </w:r>
      <w:r>
        <w:rPr>
          <w:rFonts w:cs="Calibri" w:ascii="Titillium" w:hAnsi="Titillium"/>
          <w:bCs/>
          <w:sz w:val="18"/>
          <w:szCs w:val="18"/>
        </w:rPr>
        <w:t>a pena di esclusione</w:t>
      </w:r>
      <w:r>
        <w:rPr>
          <w:rFonts w:cs="Calibri" w:ascii="Titillium" w:hAnsi="Titillium"/>
          <w:sz w:val="18"/>
          <w:szCs w:val="18"/>
        </w:rPr>
        <w:t xml:space="preserve">, i requisiti previsti nei commi seguenti. </w:t>
      </w:r>
    </w:p>
    <w:p>
      <w:pPr>
        <w:pStyle w:val="Normal"/>
        <w:spacing w:before="60" w:after="60"/>
        <w:rPr>
          <w:rFonts w:ascii="Titillium" w:hAnsi="Titillium" w:cs="Calibri"/>
          <w:sz w:val="18"/>
          <w:szCs w:val="18"/>
        </w:rPr>
      </w:pPr>
      <w:r>
        <w:rPr>
          <w:rFonts w:cs="Calibri" w:ascii="Titillium" w:hAnsi="Titillium"/>
          <w:sz w:val="18"/>
          <w:szCs w:val="18"/>
        </w:rPr>
        <w:t xml:space="preserve">La stazione appaltante verifica il possesso dei requisiti di ordine speciale accedendo al fascicolo virtuale dell’operatore economico (FVOE), fatto salvo quanto previsto nel paragrafo 25. </w:t>
      </w:r>
    </w:p>
    <w:p>
      <w:pPr>
        <w:pStyle w:val="Normal"/>
        <w:spacing w:before="60" w:after="60"/>
        <w:rPr>
          <w:rFonts w:ascii="Titillium" w:hAnsi="Titillium" w:cs="Calibri"/>
          <w:sz w:val="18"/>
          <w:szCs w:val="18"/>
        </w:rPr>
      </w:pPr>
      <w:r>
        <w:rPr>
          <w:rFonts w:cs="Calibri" w:ascii="Titillium" w:hAnsi="Titillium"/>
          <w:sz w:val="18"/>
          <w:szCs w:val="18"/>
        </w:rPr>
        <w:t>L’operatore economico è tenuto ad inserire nel FVOE i dati e le informazioni richiesti per la comprova del requisito, qualora questi non siano già presenti nel fascicolo o non siano già in possesso della stazione appaltante e non possano essere acquisiti d’ufficio da quest’ultima.</w:t>
      </w:r>
      <w:bookmarkStart w:id="1319" w:name="_Ref128681470"/>
      <w:bookmarkStart w:id="1320" w:name="_Ref128476563"/>
      <w:bookmarkStart w:id="1321" w:name="_Toc497831539"/>
      <w:bookmarkStart w:id="1322" w:name="_Toc498419731"/>
      <w:bookmarkStart w:id="1323" w:name="_Toc497484946"/>
      <w:bookmarkStart w:id="1324" w:name="_Toc497728144"/>
      <w:bookmarkEnd w:id="1321"/>
      <w:bookmarkEnd w:id="1322"/>
      <w:bookmarkEnd w:id="1323"/>
      <w:bookmarkEnd w:id="1324"/>
    </w:p>
    <w:p>
      <w:pPr>
        <w:pStyle w:val="Normal"/>
        <w:spacing w:before="60" w:after="60"/>
        <w:rPr>
          <w:rFonts w:ascii="Titillium" w:hAnsi="Titillium" w:cs="Calibri"/>
          <w:sz w:val="18"/>
          <w:szCs w:val="18"/>
        </w:rPr>
      </w:pPr>
      <w:r>
        <w:rPr>
          <w:rFonts w:cs="Calibri" w:ascii="Titillium" w:hAnsi="Titillium"/>
          <w:sz w:val="18"/>
          <w:szCs w:val="18"/>
        </w:rPr>
      </w:r>
    </w:p>
    <w:p>
      <w:pPr>
        <w:pStyle w:val="Heading3"/>
        <w:numPr>
          <w:ilvl w:val="1"/>
          <w:numId w:val="3"/>
        </w:numPr>
        <w:ind w:hanging="426" w:left="426"/>
        <w:rPr/>
      </w:pPr>
      <w:bookmarkStart w:id="1325" w:name="__RefHeading___Toc11698_2735037374"/>
      <w:bookmarkStart w:id="1326" w:name="_Toc207275733"/>
      <w:bookmarkEnd w:id="1325"/>
      <w:r>
        <w:rPr>
          <w:rFonts w:ascii="Titillium" w:hAnsi="Titillium"/>
          <w:sz w:val="18"/>
          <w:szCs w:val="18"/>
        </w:rPr>
        <w:t>REQUISITI DI IDONEITÀ</w:t>
      </w:r>
      <w:bookmarkEnd w:id="1320"/>
      <w:r>
        <w:rPr>
          <w:rFonts w:ascii="Titillium" w:hAnsi="Titillium"/>
          <w:sz w:val="18"/>
          <w:szCs w:val="18"/>
        </w:rPr>
        <w:t xml:space="preserve"> PROFESSIONALE</w:t>
      </w:r>
      <w:bookmarkEnd w:id="1319"/>
      <w:bookmarkEnd w:id="1326"/>
    </w:p>
    <w:p>
      <w:pPr>
        <w:pStyle w:val="ListParagraph"/>
        <w:numPr>
          <w:ilvl w:val="0"/>
          <w:numId w:val="4"/>
        </w:numPr>
        <w:spacing w:before="60" w:after="60"/>
        <w:ind w:hanging="284" w:left="284"/>
        <w:contextualSpacing w:val="false"/>
        <w:rPr/>
      </w:pPr>
      <w:bookmarkStart w:id="1327" w:name="_Ref128681493"/>
      <w:r>
        <w:rPr>
          <w:rFonts w:cs="Arial" w:ascii="Titillium" w:hAnsi="Titillium"/>
          <w:bCs/>
          <w:sz w:val="18"/>
          <w:szCs w:val="18"/>
        </w:rPr>
        <w:t>Iscrizione n</w:t>
      </w:r>
      <w:r>
        <w:rPr>
          <w:rFonts w:cs="Arial" w:ascii="Titillium" w:hAnsi="Titillium"/>
          <w:sz w:val="18"/>
          <w:szCs w:val="18"/>
        </w:rPr>
        <w:t>el R</w:t>
      </w:r>
      <w:r>
        <w:rPr>
          <w:rFonts w:cs="Calibri" w:ascii="Titillium" w:hAnsi="Titillium"/>
          <w:sz w:val="18"/>
          <w:szCs w:val="18"/>
        </w:rPr>
        <w:t>egistro delle Imprese oppure nell’Albo delle Imprese artigiane per attività pertinenti con quelle oggetto della prese</w:t>
      </w:r>
      <w:bookmarkStart w:id="1328" w:name="_Ref495411492"/>
      <w:bookmarkEnd w:id="1328"/>
      <w:r>
        <w:rPr>
          <w:rFonts w:cs="Calibri" w:ascii="Titillium" w:hAnsi="Titillium"/>
          <w:sz w:val="18"/>
          <w:szCs w:val="18"/>
        </w:rPr>
        <w:t>nte procedura di gara.</w:t>
      </w:r>
      <w:bookmarkEnd w:id="1327"/>
    </w:p>
    <w:p>
      <w:pPr>
        <w:pStyle w:val="ListParagraph"/>
        <w:widowControl/>
        <w:numPr>
          <w:ilvl w:val="0"/>
          <w:numId w:val="4"/>
        </w:numPr>
        <w:suppressAutoHyphens w:val="true"/>
        <w:bidi w:val="0"/>
        <w:spacing w:lineRule="auto" w:line="276" w:before="60" w:after="60"/>
        <w:ind w:hanging="284" w:left="284"/>
        <w:contextualSpacing w:val="false"/>
        <w:jc w:val="both"/>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 xml:space="preserve">Possesso di idonea patente per la conduzione dei nr. 3 natanti utilizzati per il servizio di trasporto del personale dell’AUSL nei siti di campionamento (acque interne ed acque del demanio marittimo) </w:t>
      </w:r>
    </w:p>
    <w:p>
      <w:pPr>
        <w:pStyle w:val="ListParagraph"/>
        <w:widowControl/>
        <w:numPr>
          <w:ilvl w:val="0"/>
          <w:numId w:val="4"/>
        </w:numPr>
        <w:suppressAutoHyphens w:val="true"/>
        <w:bidi w:val="0"/>
        <w:spacing w:lineRule="auto" w:line="276" w:before="60" w:after="60"/>
        <w:ind w:hanging="284" w:left="284"/>
        <w:contextualSpacing w:val="false"/>
        <w:jc w:val="both"/>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Avere la disponibilità di imbarcazioni (nr. 2), per lo svolgimento dei campionamenti dei molluschi bivalvi nelle acque interne (canali Comacchio e Sacca di Goro) ovvero in specchi acquei diversi dal demanio marittimo.</w:t>
      </w:r>
    </w:p>
    <w:p>
      <w:pPr>
        <w:pStyle w:val="Normal"/>
        <w:spacing w:before="60" w:after="60"/>
        <w:rPr>
          <w:rFonts w:ascii="Titillium" w:hAnsi="Titillium" w:cs="Calibri"/>
          <w:sz w:val="18"/>
          <w:szCs w:val="18"/>
        </w:rPr>
      </w:pPr>
      <w:r>
        <w:rPr>
          <w:rFonts w:cs="Calibri" w:ascii="Titillium" w:hAnsi="Titillium"/>
          <w:sz w:val="18"/>
          <w:szCs w:val="18"/>
        </w:rPr>
        <w:t>Per l’operatore economico di altro Stato membro, non residente in Italia: iscrizione in uno dei registri professionali o commerciali degli altri Stati membri di cui all’allegato II.11 del Codice;</w:t>
      </w:r>
    </w:p>
    <w:p>
      <w:pPr>
        <w:pStyle w:val="Normal"/>
        <w:spacing w:before="60" w:after="60"/>
        <w:rPr>
          <w:rFonts w:ascii="Titillium" w:hAnsi="Titillium"/>
          <w:sz w:val="18"/>
          <w:szCs w:val="18"/>
        </w:rPr>
      </w:pPr>
      <w:r>
        <w:rPr>
          <w:rFonts w:cs="Calibri" w:ascii="Titillium" w:hAnsi="Titillium"/>
          <w:sz w:val="18"/>
          <w:szCs w:val="18"/>
        </w:rPr>
        <w:t>Ai fini della comprova, l’iscrizione nel Registro è acquisita d’ufficio dalla stazione appaltante tramite il FVOE. Gli operatori stabiliti in altri Stati membri caricano nel fascicolo virtuale la dichiarazione, resa ai sensi del decreto del Presidente della Repubblica del 28 dicembre 2000, n. 445, di iscrizione in uno dei registri professionali o commerciali di cui all'allegato II.11, nonché</w:t>
      </w:r>
      <w:r>
        <w:rPr/>
        <w:t xml:space="preserve"> </w:t>
      </w:r>
      <w:r>
        <w:rPr>
          <w:rFonts w:cs="Calibri" w:ascii="Titillium" w:hAnsi="Titillium"/>
          <w:sz w:val="18"/>
          <w:szCs w:val="18"/>
        </w:rPr>
        <w:t>i dati e le informazioni utili alla comprova del requisito, se disponibili</w:t>
      </w:r>
      <w:r>
        <w:rPr>
          <w:rFonts w:ascii="Titillium" w:hAnsi="Titillium"/>
          <w:sz w:val="18"/>
          <w:szCs w:val="18"/>
        </w:rPr>
        <w:t>.</w:t>
      </w:r>
    </w:p>
    <w:p>
      <w:pPr>
        <w:pStyle w:val="Normal"/>
        <w:spacing w:before="60" w:after="60"/>
        <w:rPr>
          <w:rFonts w:ascii="Titillium" w:hAnsi="Titillium"/>
          <w:sz w:val="18"/>
          <w:szCs w:val="18"/>
        </w:rPr>
      </w:pPr>
      <w:r>
        <w:rPr>
          <w:rFonts w:cs="Calibri" w:ascii="Titillium" w:hAnsi="Titillium"/>
          <w:sz w:val="18"/>
          <w:szCs w:val="18"/>
        </w:rPr>
        <w:t>La comprova dei requisiti di cui alla lettera b) e c)  è fornita mediante copia dei documenti indicati.</w:t>
      </w:r>
    </w:p>
    <w:p>
      <w:pPr>
        <w:pStyle w:val="Heading3"/>
        <w:numPr>
          <w:ilvl w:val="1"/>
          <w:numId w:val="3"/>
        </w:numPr>
        <w:ind w:hanging="426" w:left="426"/>
        <w:rPr/>
      </w:pPr>
      <w:bookmarkStart w:id="1329" w:name="__RefHeading___Toc11700_2735037374"/>
      <w:bookmarkStart w:id="1330" w:name="_Toc207275734"/>
      <w:bookmarkStart w:id="1331" w:name="_Ref495411575"/>
      <w:bookmarkStart w:id="1332" w:name="_Toc484688842"/>
      <w:bookmarkStart w:id="1333" w:name="_Toc485218278"/>
      <w:bookmarkStart w:id="1334" w:name="_Toc483302352"/>
      <w:bookmarkStart w:id="1335" w:name="_Toc483315902"/>
      <w:bookmarkStart w:id="1336" w:name="_Toc483316107"/>
      <w:bookmarkStart w:id="1337" w:name="_Toc483316310"/>
      <w:bookmarkStart w:id="1338" w:name="_Toc483316441"/>
      <w:bookmarkStart w:id="1339" w:name="_Toc483325744"/>
      <w:bookmarkStart w:id="1340" w:name="_Toc483401223"/>
      <w:bookmarkStart w:id="1341" w:name="_Toc483474020"/>
      <w:bookmarkStart w:id="1342" w:name="_Toc483571449"/>
      <w:bookmarkStart w:id="1343" w:name="_Toc483571570"/>
      <w:bookmarkStart w:id="1344" w:name="_Toc483906947"/>
      <w:bookmarkStart w:id="1345" w:name="_Toc484010697"/>
      <w:bookmarkStart w:id="1346" w:name="_Toc484010819"/>
      <w:bookmarkStart w:id="1347" w:name="_Toc484010943"/>
      <w:bookmarkStart w:id="1348" w:name="_Toc484011065"/>
      <w:bookmarkStart w:id="1349" w:name="_Toc484011187"/>
      <w:bookmarkStart w:id="1350" w:name="_Toc484011662"/>
      <w:bookmarkStart w:id="1351" w:name="_Toc484097736"/>
      <w:bookmarkStart w:id="1352" w:name="_Toc484428908"/>
      <w:bookmarkStart w:id="1353" w:name="_Toc484429078"/>
      <w:bookmarkStart w:id="1354" w:name="_Toc484438653"/>
      <w:bookmarkStart w:id="1355" w:name="_Toc484438777"/>
      <w:bookmarkStart w:id="1356" w:name="_Toc484438901"/>
      <w:bookmarkStart w:id="1357" w:name="_Toc484439821"/>
      <w:bookmarkStart w:id="1358" w:name="_Toc484439944"/>
      <w:bookmarkStart w:id="1359" w:name="_Toc484440068"/>
      <w:bookmarkStart w:id="1360" w:name="_Toc484440428"/>
      <w:bookmarkStart w:id="1361" w:name="_Toc484448087"/>
      <w:bookmarkStart w:id="1362" w:name="_Toc484448212"/>
      <w:bookmarkStart w:id="1363" w:name="_Toc484448336"/>
      <w:bookmarkStart w:id="1364" w:name="_Toc484448460"/>
      <w:bookmarkStart w:id="1365" w:name="_Toc484448584"/>
      <w:bookmarkStart w:id="1366" w:name="_Toc484448708"/>
      <w:bookmarkStart w:id="1367" w:name="_Toc484448831"/>
      <w:bookmarkStart w:id="1368" w:name="_Toc484448955"/>
      <w:bookmarkStart w:id="1369" w:name="_Toc484449079"/>
      <w:bookmarkStart w:id="1370" w:name="_Toc484526574"/>
      <w:bookmarkStart w:id="1371" w:name="_Toc484605294"/>
      <w:bookmarkStart w:id="1372" w:name="_Toc484605418"/>
      <w:bookmarkStart w:id="1373" w:name="_Toc484688287"/>
      <w:bookmarkEnd w:id="1329"/>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Fonts w:ascii="Titillium" w:hAnsi="Titillium"/>
          <w:sz w:val="18"/>
          <w:szCs w:val="18"/>
        </w:rPr>
        <w:t>REQUISITI DI CAPACITÀ ECONOMICA E FINANZIARIA</w:t>
      </w:r>
      <w:bookmarkEnd w:id="1330"/>
      <w:bookmarkEnd w:id="1331"/>
      <w:r>
        <w:rPr>
          <w:rFonts w:ascii="Titillium" w:hAnsi="Titillium"/>
          <w:sz w:val="18"/>
          <w:szCs w:val="18"/>
        </w:rPr>
        <w:t xml:space="preserve"> </w:t>
      </w:r>
    </w:p>
    <w:p>
      <w:pPr>
        <w:pStyle w:val="ListParagraph"/>
        <w:spacing w:before="60" w:after="60"/>
        <w:ind w:left="0"/>
        <w:contextualSpacing/>
        <w:rPr>
          <w:rFonts w:ascii="Titillium" w:hAnsi="Titillium" w:cs="Arial"/>
          <w:bCs/>
          <w:iCs/>
          <w:sz w:val="18"/>
          <w:szCs w:val="18"/>
        </w:rPr>
      </w:pPr>
      <w:r>
        <w:rPr>
          <w:rFonts w:cs="Arial" w:ascii="Titillium" w:hAnsi="Titillium"/>
          <w:bCs/>
          <w:iCs/>
          <w:sz w:val="18"/>
          <w:szCs w:val="18"/>
        </w:rPr>
        <w:t>La presente procedura di gara non prevede il possesso di requisiti di capacità economica e finanziaria.</w:t>
      </w:r>
    </w:p>
    <w:p>
      <w:pPr>
        <w:pStyle w:val="Heading3"/>
        <w:numPr>
          <w:ilvl w:val="1"/>
          <w:numId w:val="3"/>
        </w:numPr>
        <w:ind w:hanging="426" w:left="426"/>
        <w:rPr>
          <w:rFonts w:ascii="Titillium" w:hAnsi="Titillium"/>
          <w:sz w:val="18"/>
          <w:szCs w:val="18"/>
        </w:rPr>
      </w:pPr>
      <w:bookmarkStart w:id="1374" w:name="__RefHeading___Toc11702_2735037374"/>
      <w:bookmarkStart w:id="1375" w:name="_Toc207275735"/>
      <w:bookmarkStart w:id="1376" w:name="_Ref495920623"/>
      <w:bookmarkStart w:id="1377" w:name="_Ref496707577"/>
      <w:bookmarkStart w:id="1378" w:name="_Ref495411584"/>
      <w:bookmarkStart w:id="1379" w:name="_Ref495482769"/>
      <w:bookmarkStart w:id="1380" w:name="_Ref495482790"/>
      <w:bookmarkStart w:id="1381" w:name="_Ref495506173"/>
      <w:bookmarkEnd w:id="1374"/>
      <w:r>
        <w:rPr>
          <w:rFonts w:ascii="Titillium" w:hAnsi="Titillium"/>
          <w:sz w:val="18"/>
          <w:szCs w:val="18"/>
        </w:rPr>
        <w:t>REQUISITI DI CAPACITÀ TECNICA E PROFESSIONALE</w:t>
      </w:r>
      <w:bookmarkEnd w:id="1375"/>
      <w:bookmarkEnd w:id="1376"/>
      <w:bookmarkEnd w:id="1377"/>
      <w:bookmarkEnd w:id="1378"/>
      <w:bookmarkEnd w:id="1379"/>
      <w:bookmarkEnd w:id="1380"/>
      <w:bookmarkEnd w:id="1381"/>
    </w:p>
    <w:p>
      <w:pPr>
        <w:pStyle w:val="ListParagraph"/>
        <w:spacing w:before="60" w:after="60"/>
        <w:ind w:left="0"/>
        <w:contextualSpacing/>
        <w:rPr>
          <w:rFonts w:ascii="Titillium" w:hAnsi="Titillium" w:cs="Arial"/>
          <w:bCs/>
          <w:iCs/>
          <w:sz w:val="18"/>
          <w:szCs w:val="18"/>
        </w:rPr>
      </w:pPr>
      <w:r>
        <w:rPr>
          <w:rFonts w:cs="Arial" w:ascii="Titillium" w:hAnsi="Titillium"/>
          <w:bCs/>
          <w:iCs/>
          <w:sz w:val="18"/>
          <w:szCs w:val="18"/>
        </w:rPr>
        <w:t>La presente procedura di gara non prevede il possesso di requisiti di capacità tecnica e professionale.</w:t>
      </w:r>
    </w:p>
    <w:p>
      <w:pPr>
        <w:pStyle w:val="ListParagraph"/>
        <w:spacing w:before="60" w:after="60"/>
        <w:ind w:left="0"/>
        <w:contextualSpacing/>
        <w:rPr>
          <w:rFonts w:ascii="Titillium" w:hAnsi="Titillium" w:cs="Arial"/>
          <w:bCs/>
          <w:iCs/>
          <w:sz w:val="18"/>
          <w:szCs w:val="18"/>
        </w:rPr>
      </w:pPr>
      <w:r>
        <w:rPr>
          <w:rFonts w:cs="Arial" w:ascii="Titillium" w:hAnsi="Titillium"/>
          <w:bCs/>
          <w:iCs/>
          <w:sz w:val="18"/>
          <w:szCs w:val="18"/>
        </w:rPr>
      </w:r>
    </w:p>
    <w:p>
      <w:pPr>
        <w:pStyle w:val="Heading3"/>
        <w:numPr>
          <w:ilvl w:val="1"/>
          <w:numId w:val="3"/>
        </w:numPr>
        <w:ind w:hanging="426" w:left="426"/>
        <w:rPr>
          <w:rFonts w:ascii="Titillium" w:hAnsi="Titillium"/>
          <w:caps/>
          <w:sz w:val="18"/>
          <w:szCs w:val="18"/>
        </w:rPr>
      </w:pPr>
      <w:bookmarkStart w:id="1382" w:name="__RefHeading___Toc11704_2735037374"/>
      <w:bookmarkStart w:id="1383" w:name="_Toc207275736"/>
      <w:bookmarkStart w:id="1384" w:name="_Toc497831544"/>
      <w:bookmarkStart w:id="1385" w:name="_Toc498419742"/>
      <w:bookmarkStart w:id="1386" w:name="_Toc498419735"/>
      <w:bookmarkStart w:id="1387" w:name="_Toc498419736"/>
      <w:bookmarkStart w:id="1388" w:name="_Toc498419737"/>
      <w:bookmarkStart w:id="1389" w:name="_Toc498419738"/>
      <w:bookmarkStart w:id="1390" w:name="_Toc498419739"/>
      <w:bookmarkStart w:id="1391" w:name="_Toc498419740"/>
      <w:bookmarkStart w:id="1392" w:name="_Toc497484950"/>
      <w:bookmarkStart w:id="1393" w:name="_Toc497728148"/>
      <w:bookmarkStart w:id="1394" w:name="_Toc497831543"/>
      <w:bookmarkStart w:id="1395" w:name="_Toc498419741"/>
      <w:bookmarkStart w:id="1396" w:name="_Toc483302355"/>
      <w:bookmarkStart w:id="1397" w:name="_Toc483315905"/>
      <w:bookmarkStart w:id="1398" w:name="_Toc483316110"/>
      <w:bookmarkStart w:id="1399" w:name="_Toc483316313"/>
      <w:bookmarkStart w:id="1400" w:name="_Toc483316444"/>
      <w:bookmarkStart w:id="1401" w:name="_Toc483325747"/>
      <w:bookmarkStart w:id="1402" w:name="_Toc483401226"/>
      <w:bookmarkStart w:id="1403" w:name="_Toc483474023"/>
      <w:bookmarkStart w:id="1404" w:name="_Toc483571452"/>
      <w:bookmarkStart w:id="1405" w:name="_Toc483571573"/>
      <w:bookmarkStart w:id="1406" w:name="_Toc483906950"/>
      <w:bookmarkStart w:id="1407" w:name="_Toc484010700"/>
      <w:bookmarkStart w:id="1408" w:name="_Toc484010822"/>
      <w:bookmarkStart w:id="1409" w:name="_Toc484010946"/>
      <w:bookmarkStart w:id="1410" w:name="_Toc484011068"/>
      <w:bookmarkStart w:id="1411" w:name="_Toc484011190"/>
      <w:bookmarkStart w:id="1412" w:name="_Toc484011665"/>
      <w:bookmarkStart w:id="1413" w:name="_Toc484097739"/>
      <w:bookmarkStart w:id="1414" w:name="_Toc484428911"/>
      <w:bookmarkStart w:id="1415" w:name="_Toc484429081"/>
      <w:bookmarkStart w:id="1416" w:name="_Toc484438656"/>
      <w:bookmarkStart w:id="1417" w:name="_Toc484438780"/>
      <w:bookmarkStart w:id="1418" w:name="_Toc484438904"/>
      <w:bookmarkStart w:id="1419" w:name="_Toc484439824"/>
      <w:bookmarkStart w:id="1420" w:name="_Toc484439947"/>
      <w:bookmarkStart w:id="1421" w:name="_Toc484440071"/>
      <w:bookmarkStart w:id="1422" w:name="_Toc484440431"/>
      <w:bookmarkStart w:id="1423" w:name="_Toc484448090"/>
      <w:bookmarkStart w:id="1424" w:name="_Toc484448215"/>
      <w:bookmarkStart w:id="1425" w:name="_Toc484448339"/>
      <w:bookmarkStart w:id="1426" w:name="_Toc484448463"/>
      <w:bookmarkStart w:id="1427" w:name="_Toc484448587"/>
      <w:bookmarkStart w:id="1428" w:name="_Toc484448711"/>
      <w:bookmarkStart w:id="1429" w:name="_Toc484448834"/>
      <w:bookmarkStart w:id="1430" w:name="_Toc484448958"/>
      <w:bookmarkStart w:id="1431" w:name="_Toc484449082"/>
      <w:bookmarkStart w:id="1432" w:name="_Toc484526577"/>
      <w:bookmarkStart w:id="1433" w:name="_Toc484605297"/>
      <w:bookmarkStart w:id="1434" w:name="_Toc484605421"/>
      <w:bookmarkStart w:id="1435" w:name="_Toc484688290"/>
      <w:bookmarkStart w:id="1436" w:name="_Toc484688845"/>
      <w:bookmarkStart w:id="1437" w:name="_Toc485218281"/>
      <w:bookmarkStart w:id="1438" w:name="_Toc483302356"/>
      <w:bookmarkStart w:id="1439" w:name="_Toc483315906"/>
      <w:bookmarkStart w:id="1440" w:name="_Toc483316111"/>
      <w:bookmarkStart w:id="1441" w:name="_Toc483316314"/>
      <w:bookmarkStart w:id="1442" w:name="_Toc483316445"/>
      <w:bookmarkStart w:id="1443" w:name="_Toc483325748"/>
      <w:bookmarkStart w:id="1444" w:name="_Toc483401227"/>
      <w:bookmarkStart w:id="1445" w:name="_Toc483474024"/>
      <w:bookmarkStart w:id="1446" w:name="_Toc483571453"/>
      <w:bookmarkStart w:id="1447" w:name="_Toc483571574"/>
      <w:bookmarkStart w:id="1448" w:name="_Toc483906951"/>
      <w:bookmarkStart w:id="1449" w:name="_Toc484010701"/>
      <w:bookmarkStart w:id="1450" w:name="_Toc484010823"/>
      <w:bookmarkStart w:id="1451" w:name="_Toc484010947"/>
      <w:bookmarkStart w:id="1452" w:name="_Toc484011069"/>
      <w:bookmarkStart w:id="1453" w:name="_Toc484011191"/>
      <w:bookmarkStart w:id="1454" w:name="_Toc484011666"/>
      <w:bookmarkStart w:id="1455" w:name="_Toc484097740"/>
      <w:bookmarkStart w:id="1456" w:name="_Toc484428912"/>
      <w:bookmarkStart w:id="1457" w:name="_Toc484429082"/>
      <w:bookmarkStart w:id="1458" w:name="_Toc484438657"/>
      <w:bookmarkStart w:id="1459" w:name="_Toc484438781"/>
      <w:bookmarkStart w:id="1460" w:name="_Toc484438905"/>
      <w:bookmarkStart w:id="1461" w:name="_Toc484439825"/>
      <w:bookmarkStart w:id="1462" w:name="_Toc484439948"/>
      <w:bookmarkStart w:id="1463" w:name="_Toc484440072"/>
      <w:bookmarkStart w:id="1464" w:name="_Toc484440432"/>
      <w:bookmarkStart w:id="1465" w:name="_Toc484448091"/>
      <w:bookmarkStart w:id="1466" w:name="_Toc484448216"/>
      <w:bookmarkStart w:id="1467" w:name="_Toc484448340"/>
      <w:bookmarkStart w:id="1468" w:name="_Toc484448464"/>
      <w:bookmarkStart w:id="1469" w:name="_Toc484448588"/>
      <w:bookmarkStart w:id="1470" w:name="_Toc484448712"/>
      <w:bookmarkStart w:id="1471" w:name="_Toc484448835"/>
      <w:bookmarkStart w:id="1472" w:name="_Toc484448959"/>
      <w:bookmarkStart w:id="1473" w:name="_Toc484449083"/>
      <w:bookmarkStart w:id="1474" w:name="_Toc484526578"/>
      <w:bookmarkStart w:id="1475" w:name="_Toc484605298"/>
      <w:bookmarkStart w:id="1476" w:name="_Toc484605422"/>
      <w:bookmarkStart w:id="1477" w:name="_Toc484688291"/>
      <w:bookmarkStart w:id="1478" w:name="_Toc484688846"/>
      <w:bookmarkStart w:id="1479" w:name="_Toc485218282"/>
      <w:bookmarkStart w:id="1480" w:name="_Toc483302357"/>
      <w:bookmarkStart w:id="1481" w:name="_Toc483315907"/>
      <w:bookmarkStart w:id="1482" w:name="_Toc483316112"/>
      <w:bookmarkStart w:id="1483" w:name="_Toc483316315"/>
      <w:bookmarkStart w:id="1484" w:name="_Toc483316446"/>
      <w:bookmarkStart w:id="1485" w:name="_Toc483325749"/>
      <w:bookmarkStart w:id="1486" w:name="_Toc483401228"/>
      <w:bookmarkStart w:id="1487" w:name="_Toc483474025"/>
      <w:bookmarkStart w:id="1488" w:name="_Toc483571454"/>
      <w:bookmarkStart w:id="1489" w:name="_Toc483571575"/>
      <w:bookmarkStart w:id="1490" w:name="_Toc483906952"/>
      <w:bookmarkStart w:id="1491" w:name="_Toc484010702"/>
      <w:bookmarkStart w:id="1492" w:name="_Toc484010824"/>
      <w:bookmarkStart w:id="1493" w:name="_Toc484010948"/>
      <w:bookmarkStart w:id="1494" w:name="_Toc484011070"/>
      <w:bookmarkStart w:id="1495" w:name="_Toc484011192"/>
      <w:bookmarkStart w:id="1496" w:name="_Toc484011667"/>
      <w:bookmarkStart w:id="1497" w:name="_Toc484097741"/>
      <w:bookmarkStart w:id="1498" w:name="_Toc484428913"/>
      <w:bookmarkStart w:id="1499" w:name="_Toc484429083"/>
      <w:bookmarkStart w:id="1500" w:name="_Toc484438658"/>
      <w:bookmarkStart w:id="1501" w:name="_Toc484438782"/>
      <w:bookmarkStart w:id="1502" w:name="_Toc484438906"/>
      <w:bookmarkStart w:id="1503" w:name="_Toc484439826"/>
      <w:bookmarkStart w:id="1504" w:name="_Toc484439949"/>
      <w:bookmarkStart w:id="1505" w:name="_Toc484440073"/>
      <w:bookmarkStart w:id="1506" w:name="_Toc484440433"/>
      <w:bookmarkStart w:id="1507" w:name="_Toc484448092"/>
      <w:bookmarkStart w:id="1508" w:name="_Toc484448217"/>
      <w:bookmarkStart w:id="1509" w:name="_Toc484448341"/>
      <w:bookmarkStart w:id="1510" w:name="_Toc484448465"/>
      <w:bookmarkStart w:id="1511" w:name="_Toc484448589"/>
      <w:bookmarkStart w:id="1512" w:name="_Toc484448713"/>
      <w:bookmarkStart w:id="1513" w:name="_Toc484448836"/>
      <w:bookmarkStart w:id="1514" w:name="_Toc484448960"/>
      <w:bookmarkStart w:id="1515" w:name="_Toc484449084"/>
      <w:bookmarkStart w:id="1516" w:name="_Toc484526579"/>
      <w:bookmarkStart w:id="1517" w:name="_Toc484605299"/>
      <w:bookmarkStart w:id="1518" w:name="_Toc484605423"/>
      <w:bookmarkStart w:id="1519" w:name="_Toc484688292"/>
      <w:bookmarkStart w:id="1520" w:name="_Toc484688847"/>
      <w:bookmarkStart w:id="1521" w:name="_Toc485218283"/>
      <w:bookmarkStart w:id="1522" w:name="_Toc483302358"/>
      <w:bookmarkStart w:id="1523" w:name="_Toc483315908"/>
      <w:bookmarkStart w:id="1524" w:name="_Toc483316113"/>
      <w:bookmarkStart w:id="1525" w:name="_Toc483316316"/>
      <w:bookmarkStart w:id="1526" w:name="_Toc483316447"/>
      <w:bookmarkStart w:id="1527" w:name="_Toc483325750"/>
      <w:bookmarkStart w:id="1528" w:name="_Toc483401229"/>
      <w:bookmarkStart w:id="1529" w:name="_Toc483474026"/>
      <w:bookmarkStart w:id="1530" w:name="_Toc483571455"/>
      <w:bookmarkStart w:id="1531" w:name="_Toc483571576"/>
      <w:bookmarkStart w:id="1532" w:name="_Toc483906953"/>
      <w:bookmarkStart w:id="1533" w:name="_Toc484010703"/>
      <w:bookmarkStart w:id="1534" w:name="_Toc484010825"/>
      <w:bookmarkStart w:id="1535" w:name="_Toc484010949"/>
      <w:bookmarkStart w:id="1536" w:name="_Toc484011071"/>
      <w:bookmarkStart w:id="1537" w:name="_Toc484011193"/>
      <w:bookmarkStart w:id="1538" w:name="_Toc484011668"/>
      <w:bookmarkStart w:id="1539" w:name="_Toc484097742"/>
      <w:bookmarkStart w:id="1540" w:name="_Toc484428914"/>
      <w:bookmarkStart w:id="1541" w:name="_Toc484429084"/>
      <w:bookmarkStart w:id="1542" w:name="_Toc484438659"/>
      <w:bookmarkStart w:id="1543" w:name="_Toc484438783"/>
      <w:bookmarkStart w:id="1544" w:name="_Toc484438907"/>
      <w:bookmarkStart w:id="1545" w:name="_Toc484439827"/>
      <w:bookmarkStart w:id="1546" w:name="_Toc484439950"/>
      <w:bookmarkStart w:id="1547" w:name="_Toc484440074"/>
      <w:bookmarkStart w:id="1548" w:name="_Toc484440434"/>
      <w:bookmarkStart w:id="1549" w:name="_Toc484448093"/>
      <w:bookmarkStart w:id="1550" w:name="_Toc484448218"/>
      <w:bookmarkStart w:id="1551" w:name="_Toc484448342"/>
      <w:bookmarkStart w:id="1552" w:name="_Toc484448466"/>
      <w:bookmarkStart w:id="1553" w:name="_Toc484448590"/>
      <w:bookmarkStart w:id="1554" w:name="_Toc484448714"/>
      <w:bookmarkStart w:id="1555" w:name="_Toc484448837"/>
      <w:bookmarkStart w:id="1556" w:name="_Toc484448961"/>
      <w:bookmarkStart w:id="1557" w:name="_Toc484449085"/>
      <w:bookmarkStart w:id="1558" w:name="_Toc484526580"/>
      <w:bookmarkStart w:id="1559" w:name="_Toc484605300"/>
      <w:bookmarkStart w:id="1560" w:name="_Toc484605424"/>
      <w:bookmarkStart w:id="1561" w:name="_Toc484688293"/>
      <w:bookmarkStart w:id="1562" w:name="_Toc484688848"/>
      <w:bookmarkStart w:id="1563" w:name="_Toc485218284"/>
      <w:bookmarkStart w:id="1564" w:name="_Toc483302359"/>
      <w:bookmarkStart w:id="1565" w:name="_Toc483315909"/>
      <w:bookmarkStart w:id="1566" w:name="_Toc483316114"/>
      <w:bookmarkStart w:id="1567" w:name="_Toc483316317"/>
      <w:bookmarkStart w:id="1568" w:name="_Toc483316448"/>
      <w:bookmarkStart w:id="1569" w:name="_Toc483325751"/>
      <w:bookmarkStart w:id="1570" w:name="_Toc483401230"/>
      <w:bookmarkStart w:id="1571" w:name="_Toc483474027"/>
      <w:bookmarkStart w:id="1572" w:name="_Toc483571456"/>
      <w:bookmarkStart w:id="1573" w:name="_Toc483571577"/>
      <w:bookmarkStart w:id="1574" w:name="_Toc483906954"/>
      <w:bookmarkStart w:id="1575" w:name="_Toc484010704"/>
      <w:bookmarkStart w:id="1576" w:name="_Toc484010826"/>
      <w:bookmarkStart w:id="1577" w:name="_Toc484010950"/>
      <w:bookmarkStart w:id="1578" w:name="_Toc484011072"/>
      <w:bookmarkStart w:id="1579" w:name="_Toc484011194"/>
      <w:bookmarkStart w:id="1580" w:name="_Toc484011669"/>
      <w:bookmarkStart w:id="1581" w:name="_Toc484097743"/>
      <w:bookmarkStart w:id="1582" w:name="_Toc484428915"/>
      <w:bookmarkStart w:id="1583" w:name="_Toc484429085"/>
      <w:bookmarkStart w:id="1584" w:name="_Toc484438660"/>
      <w:bookmarkStart w:id="1585" w:name="_Toc484438784"/>
      <w:bookmarkStart w:id="1586" w:name="_Toc484438908"/>
      <w:bookmarkStart w:id="1587" w:name="_Toc484439828"/>
      <w:bookmarkStart w:id="1588" w:name="_Toc484439951"/>
      <w:bookmarkStart w:id="1589" w:name="_Toc484440075"/>
      <w:bookmarkStart w:id="1590" w:name="_Toc484440435"/>
      <w:bookmarkStart w:id="1591" w:name="_Toc484448094"/>
      <w:bookmarkStart w:id="1592" w:name="_Toc484448219"/>
      <w:bookmarkStart w:id="1593" w:name="_Toc484448343"/>
      <w:bookmarkStart w:id="1594" w:name="_Toc484448467"/>
      <w:bookmarkStart w:id="1595" w:name="_Toc484448591"/>
      <w:bookmarkStart w:id="1596" w:name="_Toc484448715"/>
      <w:bookmarkStart w:id="1597" w:name="_Toc484448838"/>
      <w:bookmarkStart w:id="1598" w:name="_Toc484448962"/>
      <w:bookmarkStart w:id="1599" w:name="_Toc484449086"/>
      <w:bookmarkStart w:id="1600" w:name="_Toc484526581"/>
      <w:bookmarkStart w:id="1601" w:name="_Toc484605301"/>
      <w:bookmarkStart w:id="1602" w:name="_Toc484605425"/>
      <w:bookmarkStart w:id="1603" w:name="_Toc484688294"/>
      <w:bookmarkStart w:id="1604" w:name="_Toc484688849"/>
      <w:bookmarkStart w:id="1605" w:name="_Toc485218285"/>
      <w:bookmarkStart w:id="1606" w:name="_Toc497484951"/>
      <w:bookmarkStart w:id="1607" w:name="_Toc497728149"/>
      <w:bookmarkEnd w:id="1382"/>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r>
        <w:rPr>
          <w:rFonts w:ascii="Titillium" w:hAnsi="Titillium"/>
          <w:sz w:val="18"/>
          <w:szCs w:val="18"/>
        </w:rPr>
        <w:t>INDICAZIONI SUI REQUISITI SPECIALI NEI RAGGRUPPAMENTI TEMPORANEI, CONSORZI ORDINARI, AGGREGAZIONI DI IMPRESE DI RETE, GEIE</w:t>
      </w:r>
      <w:bookmarkEnd w:id="1383"/>
    </w:p>
    <w:p>
      <w:pPr>
        <w:pStyle w:val="Normal"/>
        <w:spacing w:before="60" w:after="60"/>
        <w:rPr>
          <w:rFonts w:ascii="Titillium" w:hAnsi="Titillium" w:cs="Calibri"/>
          <w:sz w:val="18"/>
          <w:szCs w:val="18"/>
        </w:rPr>
      </w:pPr>
      <w:r>
        <w:rPr>
          <w:rFonts w:cs="Calibri" w:ascii="Titillium" w:hAnsi="Titillium"/>
          <w:sz w:val="18"/>
          <w:szCs w:val="18"/>
        </w:rPr>
        <w:t xml:space="preserve">I soggetti di cui all’articolo 65, comma 2, lettera e), f) g) e h) del Codice devono possedere i requisiti di ordine speciale nei termini di seguito indicati. </w:t>
      </w:r>
    </w:p>
    <w:p>
      <w:pPr>
        <w:pStyle w:val="Normal"/>
        <w:spacing w:before="60" w:after="60"/>
        <w:rPr>
          <w:rFonts w:ascii="Titillium" w:hAnsi="Titillium" w:cs="Calibri"/>
          <w:sz w:val="18"/>
          <w:szCs w:val="18"/>
        </w:rPr>
      </w:pPr>
      <w:r>
        <w:rPr>
          <w:rFonts w:cs="Calibri" w:ascii="Titillium" w:hAnsi="Titillium"/>
          <w:sz w:val="18"/>
          <w:szCs w:val="18"/>
        </w:rPr>
        <w:t xml:space="preserve">Alle aggregazioni di retisti, ai consorzi ordinari ed ai GEIE si applica la disciplina prevista per i raggruppamenti temporanei. </w:t>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b/>
          <w:iCs/>
          <w:sz w:val="18"/>
          <w:szCs w:val="18"/>
        </w:rPr>
      </w:pPr>
      <w:r>
        <w:rPr>
          <w:rFonts w:ascii="Titillium" w:hAnsi="Titillium"/>
          <w:b/>
          <w:iCs/>
          <w:sz w:val="18"/>
          <w:szCs w:val="18"/>
        </w:rPr>
        <w:t>Requisiti di idoneità professionale</w:t>
      </w:r>
    </w:p>
    <w:p>
      <w:pPr>
        <w:pStyle w:val="ListParagraph"/>
        <w:numPr>
          <w:ilvl w:val="2"/>
          <w:numId w:val="27"/>
        </w:numPr>
        <w:spacing w:before="60" w:after="60"/>
        <w:contextualSpacing w:val="false"/>
        <w:rPr/>
      </w:pPr>
      <w:r>
        <w:rPr>
          <w:rFonts w:cs="Calibri" w:ascii="Titillium" w:hAnsi="Titillium"/>
          <w:sz w:val="18"/>
          <w:szCs w:val="18"/>
        </w:rPr>
        <w:t>Il requisito relativo all’iscrizione nel Registro delle Imprese oppure nell’Albo delle Imprese artigiane di cui al paragrafo 6.1. lett. a),  deve essere posseduto:</w:t>
      </w:r>
    </w:p>
    <w:p>
      <w:pPr>
        <w:pStyle w:val="ListParagraph"/>
        <w:numPr>
          <w:ilvl w:val="0"/>
          <w:numId w:val="25"/>
        </w:numPr>
        <w:spacing w:before="60" w:after="60"/>
        <w:ind w:hanging="360" w:left="709"/>
        <w:contextualSpacing w:val="false"/>
        <w:rPr/>
      </w:pPr>
      <w:r>
        <w:rPr>
          <w:rFonts w:cs="Calibri" w:ascii="Titillium" w:hAnsi="Titillium"/>
          <w:sz w:val="18"/>
          <w:szCs w:val="18"/>
        </w:rPr>
        <w:t>da ciascun componente del raggruppamento/consorzio/GEIE anche da costituire, nonché dal GEIE medesimo;</w:t>
      </w:r>
    </w:p>
    <w:p>
      <w:pPr>
        <w:pStyle w:val="ListParagraph"/>
        <w:numPr>
          <w:ilvl w:val="0"/>
          <w:numId w:val="25"/>
        </w:numPr>
        <w:spacing w:before="60" w:after="60"/>
        <w:ind w:hanging="360" w:left="709"/>
        <w:contextualSpacing w:val="false"/>
        <w:rPr>
          <w:rFonts w:ascii="Titillium" w:hAnsi="Titillium" w:cs="Calibri"/>
          <w:sz w:val="18"/>
          <w:szCs w:val="18"/>
        </w:rPr>
      </w:pPr>
      <w:r>
        <w:rPr>
          <w:rFonts w:cs="Calibri" w:ascii="Titillium" w:hAnsi="Titillium"/>
          <w:sz w:val="18"/>
          <w:szCs w:val="18"/>
        </w:rPr>
        <w:t>da ciascun componente dell’aggregazione di rete nonché dall’organo comune nel caso in cui questi abbia soggettività giuridica.</w:t>
      </w:r>
    </w:p>
    <w:p>
      <w:pPr>
        <w:pStyle w:val="Normal"/>
        <w:spacing w:before="60" w:after="60"/>
        <w:rPr>
          <w:rFonts w:ascii="Titillium" w:hAnsi="Titillium"/>
          <w:sz w:val="18"/>
          <w:szCs w:val="24"/>
        </w:rPr>
      </w:pPr>
      <w:r>
        <w:rPr>
          <w:rFonts w:ascii="Titillium" w:hAnsi="Titillium"/>
          <w:sz w:val="18"/>
          <w:szCs w:val="24"/>
        </w:rPr>
        <w:t>Nel caso in cui un raggruppamento abbia estromesso o sostituito un partecipante allo stesso poiché privo di un requisito di ordine speciale di cui all’articolo 100 del Codice, si valutano le misure adottate ai sensi dell’articolo 97 del Codice al fine di decidere sull’esclusione del raggruppamento.</w:t>
      </w:r>
    </w:p>
    <w:p>
      <w:pPr>
        <w:pStyle w:val="Normal"/>
        <w:spacing w:before="60" w:after="60"/>
        <w:rPr>
          <w:rFonts w:ascii="Titillium" w:hAnsi="Titillium"/>
          <w:sz w:val="18"/>
          <w:szCs w:val="24"/>
        </w:rPr>
      </w:pPr>
      <w:r>
        <w:rPr>
          <w:rFonts w:ascii="Titillium" w:hAnsi="Titillium"/>
          <w:sz w:val="18"/>
          <w:szCs w:val="24"/>
        </w:rPr>
        <w:t>b) I requisiti di cui al paragrafo 6.1. lett. B e C,  devono essere posseduti  dall’esecutore.</w:t>
      </w:r>
    </w:p>
    <w:p>
      <w:pPr>
        <w:pStyle w:val="Normal"/>
        <w:spacing w:before="60" w:after="60"/>
        <w:rPr>
          <w:rFonts w:ascii="Titillium" w:hAnsi="Titillium"/>
          <w:sz w:val="18"/>
          <w:szCs w:val="24"/>
        </w:rPr>
      </w:pPr>
      <w:r>
        <w:rPr>
          <w:rFonts w:ascii="Titillium" w:hAnsi="Titillium"/>
          <w:sz w:val="18"/>
          <w:szCs w:val="24"/>
        </w:rPr>
      </w:r>
    </w:p>
    <w:p>
      <w:pPr>
        <w:pStyle w:val="Heading3"/>
        <w:numPr>
          <w:ilvl w:val="1"/>
          <w:numId w:val="3"/>
        </w:numPr>
        <w:ind w:hanging="426" w:left="426"/>
        <w:rPr>
          <w:rFonts w:ascii="Titillium" w:hAnsi="Titillium"/>
          <w:caps/>
          <w:sz w:val="18"/>
          <w:szCs w:val="18"/>
        </w:rPr>
      </w:pPr>
      <w:bookmarkStart w:id="1608" w:name="__RefHeading___Toc11706_2735037374"/>
      <w:bookmarkStart w:id="1609" w:name="_Toc207275737"/>
      <w:bookmarkStart w:id="1610" w:name="_Ref496007650"/>
      <w:bookmarkStart w:id="1611" w:name="_Ref496007652"/>
      <w:bookmarkStart w:id="1612" w:name="_Toc497831546"/>
      <w:bookmarkStart w:id="1613" w:name="_Toc498419744"/>
      <w:bookmarkStart w:id="1614" w:name="_Toc494358983"/>
      <w:bookmarkStart w:id="1615" w:name="_Toc494359032"/>
      <w:bookmarkStart w:id="1616" w:name="_Toc497484953"/>
      <w:bookmarkStart w:id="1617" w:name="_Toc497728151"/>
      <w:bookmarkEnd w:id="1608"/>
      <w:bookmarkEnd w:id="1612"/>
      <w:bookmarkEnd w:id="1613"/>
      <w:bookmarkEnd w:id="1614"/>
      <w:bookmarkEnd w:id="1615"/>
      <w:bookmarkEnd w:id="1616"/>
      <w:bookmarkEnd w:id="1617"/>
      <w:r>
        <w:rPr>
          <w:rFonts w:ascii="Titillium" w:hAnsi="Titillium"/>
          <w:sz w:val="18"/>
          <w:szCs w:val="18"/>
        </w:rPr>
        <w:t>INDICAZIONI SUI REQUISITI SPECIALI NEI CONSORZI DI COOPERATIVE, CONSORZI DI IMPRESE ARTIGIANE, CONSORZI STABILI</w:t>
      </w:r>
      <w:bookmarkEnd w:id="1609"/>
      <w:bookmarkEnd w:id="1610"/>
      <w:bookmarkEnd w:id="1611"/>
      <w:r>
        <w:rPr>
          <w:rFonts w:ascii="Titillium" w:hAnsi="Titillium"/>
          <w:sz w:val="18"/>
          <w:szCs w:val="18"/>
        </w:rPr>
        <w:t xml:space="preserve"> </w:t>
      </w:r>
    </w:p>
    <w:p>
      <w:pPr>
        <w:pStyle w:val="Normal"/>
        <w:spacing w:before="60" w:after="60"/>
        <w:rPr>
          <w:rFonts w:ascii="Titillium" w:hAnsi="Titillium"/>
          <w:b/>
          <w:iCs/>
          <w:sz w:val="18"/>
          <w:szCs w:val="18"/>
        </w:rPr>
      </w:pPr>
      <w:r>
        <w:rPr>
          <w:rFonts w:ascii="Titillium" w:hAnsi="Titillium"/>
          <w:b/>
          <w:iCs/>
          <w:sz w:val="18"/>
          <w:szCs w:val="18"/>
        </w:rPr>
        <w:t>Requisiti di idoneità professionale</w:t>
      </w:r>
    </w:p>
    <w:p>
      <w:pPr>
        <w:pStyle w:val="ListParagraph"/>
        <w:numPr>
          <w:ilvl w:val="2"/>
          <w:numId w:val="28"/>
        </w:numPr>
        <w:spacing w:before="60" w:after="60"/>
        <w:contextualSpacing w:val="false"/>
        <w:rPr>
          <w:rFonts w:ascii="Titillium" w:hAnsi="Titillium"/>
          <w:sz w:val="18"/>
          <w:szCs w:val="24"/>
        </w:rPr>
      </w:pPr>
      <w:r>
        <w:rPr>
          <w:rFonts w:cs="Calibri" w:ascii="Titillium" w:hAnsi="Titillium"/>
          <w:sz w:val="18"/>
          <w:szCs w:val="18"/>
        </w:rPr>
        <w:t xml:space="preserve">Il requisito relativo all’iscrizione nel Registro delle Imprese oppure nell’Albo delle Imprese artigiane di cui al paragrafo 6.1. lett. a), deve essere posseduto dal consorzio e dalle consorziate indicate come esecutrici </w:t>
      </w:r>
    </w:p>
    <w:p>
      <w:pPr>
        <w:pStyle w:val="Normal"/>
        <w:spacing w:before="60" w:after="60"/>
        <w:rPr>
          <w:rFonts w:ascii="Titillium" w:hAnsi="Titillium"/>
          <w:sz w:val="18"/>
          <w:szCs w:val="24"/>
        </w:rPr>
      </w:pPr>
      <w:r>
        <w:rPr>
          <w:rFonts w:ascii="Titillium" w:hAnsi="Titillium"/>
          <w:sz w:val="18"/>
          <w:szCs w:val="24"/>
        </w:rPr>
        <w:t>Nel caso in cui un consorzio abbia estromesso o sostituito una consorziata poiché priva di un requisito di ordine speciale di cui all’articolo 100 del Codice, si valutano le misure adottate ai sensi dell’articolo 97 del Codice al fine di decidere sull’esclusione.</w:t>
      </w:r>
    </w:p>
    <w:p>
      <w:pPr>
        <w:pStyle w:val="ListParagraph"/>
        <w:spacing w:before="60" w:after="60"/>
        <w:ind w:hanging="0" w:left="0"/>
        <w:contextualSpacing w:val="false"/>
        <w:rPr>
          <w:rFonts w:ascii="Aptos" w:hAnsi="Aptos" w:cs="Aptos" w:asciiTheme="minorHAnsi" w:cstheme="minorHAnsi" w:hAnsiTheme="minorHAnsi"/>
          <w:sz w:val="22"/>
        </w:rPr>
      </w:pPr>
      <w:r>
        <w:rPr>
          <w:rFonts w:cs="Aptos" w:ascii="Titillium" w:hAnsi="Titillium" w:cstheme="minorHAnsi"/>
          <w:sz w:val="18"/>
          <w:szCs w:val="24"/>
        </w:rPr>
        <w:t>b) I requisiti di cui al paragrafo 6.1. lett. B e C,  devono essere possedut</w:t>
      </w:r>
      <w:r>
        <w:rPr>
          <w:rFonts w:eastAsia="Times New Roman" w:cs="Aptos" w:ascii="Titillium" w:hAnsi="Titillium" w:cstheme="minorHAnsi"/>
          <w:color w:val="auto"/>
          <w:kern w:val="0"/>
          <w:sz w:val="18"/>
          <w:szCs w:val="24"/>
          <w:lang w:val="it-IT" w:eastAsia="en-US" w:bidi="ar-SA"/>
        </w:rPr>
        <w:t>i  dal consorziato esecutore.</w:t>
      </w:r>
    </w:p>
    <w:p>
      <w:pPr>
        <w:pStyle w:val="Normal"/>
        <w:spacing w:before="60" w:after="60"/>
        <w:rPr>
          <w:rFonts w:ascii="Titillium" w:hAnsi="Titillium" w:cs="Calibri"/>
          <w:sz w:val="18"/>
          <w:szCs w:val="18"/>
        </w:rPr>
      </w:pPr>
      <w:r>
        <w:rPr>
          <w:rFonts w:cs="Calibri" w:ascii="Titillium" w:hAnsi="Titillium"/>
          <w:sz w:val="18"/>
          <w:szCs w:val="18"/>
        </w:rPr>
      </w:r>
    </w:p>
    <w:p>
      <w:pPr>
        <w:pStyle w:val="Heading2"/>
        <w:numPr>
          <w:ilvl w:val="0"/>
          <w:numId w:val="3"/>
        </w:numPr>
        <w:rPr/>
      </w:pPr>
      <w:bookmarkStart w:id="1618" w:name="__RefHeading___Toc11708_2735037374"/>
      <w:bookmarkStart w:id="1619" w:name="_Toc207275738"/>
      <w:bookmarkEnd w:id="1618"/>
      <w:r>
        <w:rPr/>
        <w:t>AVVALIMENTO</w:t>
      </w:r>
      <w:bookmarkEnd w:id="1619"/>
      <w:r>
        <w:rPr/>
        <w:t xml:space="preserve"> </w:t>
      </w:r>
    </w:p>
    <w:p>
      <w:pPr>
        <w:pStyle w:val="Normal"/>
        <w:tabs>
          <w:tab w:val="clear" w:pos="708"/>
          <w:tab w:val="left" w:pos="0" w:leader="none"/>
        </w:tabs>
        <w:spacing w:before="60" w:after="60"/>
        <w:rPr>
          <w:rFonts w:ascii="Titillium" w:hAnsi="Titillium" w:cs="Calibri"/>
          <w:sz w:val="18"/>
          <w:szCs w:val="18"/>
        </w:rPr>
      </w:pPr>
      <w:r>
        <w:rPr>
          <w:rFonts w:cs="Calibri" w:ascii="Titillium" w:hAnsi="Titillium"/>
          <w:sz w:val="18"/>
          <w:szCs w:val="18"/>
        </w:rPr>
        <w:t>Il concorrente può avvalersi di dotazioni tecniche, risorse umane e strumentali messe a disposizione da uno o più operatori economici ausiliari per dimostrare il possesso dei requisiti di ordine speciale di cui al paragrafo 6 per migliorare la propria offerta.</w:t>
      </w:r>
    </w:p>
    <w:p>
      <w:pPr>
        <w:pStyle w:val="Normal"/>
        <w:tabs>
          <w:tab w:val="clear" w:pos="708"/>
          <w:tab w:val="left" w:pos="0" w:leader="none"/>
        </w:tabs>
        <w:spacing w:before="60" w:after="60"/>
        <w:rPr>
          <w:rFonts w:ascii="Titillium" w:hAnsi="Titillium" w:cs="Calibri"/>
          <w:sz w:val="18"/>
          <w:szCs w:val="18"/>
        </w:rPr>
      </w:pPr>
      <w:r>
        <w:rPr>
          <w:rFonts w:cs="Calibri" w:ascii="Titillium" w:hAnsi="Titillium"/>
          <w:sz w:val="18"/>
          <w:szCs w:val="18"/>
        </w:rPr>
        <w:t>Nel contratto di avvalimento le parti specificano le risorse strumentali e umane che l’impresa ausiliaria mette a disposizione del concorrente e indicano se l’avvalimento è finalizzato ad acquisire un requisito di partecipazione o a migliorare l’offerta del concorrente, o se serve ad entrambe le finalità.</w:t>
      </w:r>
    </w:p>
    <w:p>
      <w:pPr>
        <w:pStyle w:val="Normal"/>
        <w:spacing w:before="60" w:after="60"/>
        <w:rPr>
          <w:rFonts w:ascii="Titillium" w:hAnsi="Titillium" w:cs="Calibri"/>
          <w:iCs/>
          <w:sz w:val="18"/>
          <w:szCs w:val="18"/>
        </w:rPr>
      </w:pPr>
      <w:r>
        <w:rPr>
          <w:rFonts w:cs="Calibri" w:ascii="Titillium" w:hAnsi="Titillium"/>
          <w:iCs/>
          <w:sz w:val="18"/>
          <w:szCs w:val="18"/>
        </w:rPr>
        <w:t xml:space="preserve">Nel caso di avvalimento finalizzato a migliorare l’offerta, l’impresa ausiliata e l’impresa ausiliaria non possono partecipare alla stessa gara, pena l’esclusione di entrambi i soggetti, salvo che l’impresa ausiliaria non dimostri, facendo ricorso ad </w:t>
      </w:r>
      <w:r>
        <w:rPr>
          <w:rFonts w:cs="Calibri" w:ascii="Titillium" w:hAnsi="Titillium"/>
          <w:sz w:val="18"/>
          <w:szCs w:val="18"/>
        </w:rPr>
        <w:t>idoneo supporto documentale, che non sussistono collegamenti con l‘impresa ausiliata tali da ricondurre entrambe le imprese ad uno stesso centro decisionale.</w:t>
      </w:r>
    </w:p>
    <w:p>
      <w:pPr>
        <w:pStyle w:val="Normal"/>
        <w:spacing w:before="60" w:after="60"/>
        <w:rPr/>
      </w:pPr>
      <w:r>
        <w:rPr>
          <w:rFonts w:cs="Calibri" w:ascii="Titillium" w:hAnsi="Titillium"/>
          <w:sz w:val="18"/>
          <w:szCs w:val="18"/>
        </w:rPr>
        <w:t>Il concorrente e l’impresa ausiliaria sono responsabili in solido nei confronti della stazione appaltante in relazione alle prestazioni oggetto del contratto.</w:t>
      </w:r>
    </w:p>
    <w:p>
      <w:pPr>
        <w:pStyle w:val="Normal"/>
        <w:tabs>
          <w:tab w:val="clear" w:pos="708"/>
          <w:tab w:val="left" w:pos="0" w:leader="none"/>
        </w:tabs>
        <w:spacing w:before="60" w:after="60"/>
        <w:rPr>
          <w:rFonts w:ascii="Titillium" w:hAnsi="Titillium" w:cs="Calibri"/>
          <w:sz w:val="18"/>
          <w:szCs w:val="18"/>
        </w:rPr>
      </w:pPr>
      <w:r>
        <w:rPr>
          <w:rFonts w:cs="Calibri" w:ascii="Titillium" w:hAnsi="Titillium"/>
          <w:sz w:val="18"/>
          <w:szCs w:val="18"/>
        </w:rPr>
        <w:t>Non è consentito l’avvalimento per soddisfare i requisiti di ordine generale e dell’iscrizione alla Camera di commercio.</w:t>
      </w:r>
    </w:p>
    <w:p>
      <w:pPr>
        <w:pStyle w:val="Normal"/>
        <w:spacing w:before="60" w:after="60"/>
        <w:rPr>
          <w:rFonts w:ascii="Titillium" w:hAnsi="Titillium" w:cs="Calibri"/>
          <w:sz w:val="18"/>
          <w:szCs w:val="18"/>
        </w:rPr>
      </w:pPr>
      <w:r>
        <w:rPr>
          <w:rFonts w:cs="Calibri" w:ascii="Titillium" w:hAnsi="Titillium"/>
          <w:sz w:val="18"/>
          <w:szCs w:val="18"/>
        </w:rPr>
        <w:t>L’impresa ausiliaria deve:</w:t>
      </w:r>
    </w:p>
    <w:p>
      <w:pPr>
        <w:pStyle w:val="ListParagraph"/>
        <w:numPr>
          <w:ilvl w:val="2"/>
          <w:numId w:val="13"/>
        </w:numPr>
        <w:spacing w:before="60" w:after="60"/>
        <w:ind w:hanging="360" w:left="709"/>
        <w:contextualSpacing w:val="false"/>
        <w:rPr/>
      </w:pPr>
      <w:r>
        <w:rPr>
          <w:rFonts w:cs="Calibri" w:ascii="Titillium" w:hAnsi="Titillium"/>
          <w:sz w:val="18"/>
          <w:szCs w:val="18"/>
        </w:rPr>
        <w:t xml:space="preserve">possedere i requisiti previsti dall’articolo </w:t>
      </w:r>
      <w:r>
        <w:rPr>
          <w:rFonts w:cs="Calibri" w:ascii="Titillium" w:hAnsi="Titillium"/>
          <w:sz w:val="18"/>
          <w:szCs w:val="18"/>
        </w:rPr>
        <w:fldChar w:fldCharType="begin"/>
      </w:r>
      <w:r>
        <w:rPr>
          <w:rFonts w:cs="Calibri" w:ascii="Titillium" w:hAnsi="Titillium"/>
          <w:sz w:val="18"/>
          <w:szCs w:val="18"/>
        </w:rPr>
        <w:instrText xml:space="preserve"> REF _Ref128477566 \r \r \h </w:instrText>
      </w:r>
      <w:r>
        <w:rPr>
          <w:rFonts w:cs="Calibri" w:ascii="Titillium" w:hAnsi="Titillium"/>
          <w:sz w:val="18"/>
          <w:szCs w:val="18"/>
        </w:rPr>
        <w:fldChar w:fldCharType="separate"/>
      </w:r>
      <w:r>
        <w:rPr>
          <w:rFonts w:cs="Calibri" w:ascii="Titillium" w:hAnsi="Titillium"/>
          <w:sz w:val="18"/>
          <w:szCs w:val="18"/>
        </w:rPr>
        <w:t>5</w:t>
      </w:r>
      <w:r>
        <w:rPr>
          <w:rFonts w:cs="Calibri" w:ascii="Titillium" w:hAnsi="Titillium"/>
          <w:sz w:val="18"/>
          <w:szCs w:val="18"/>
        </w:rPr>
        <w:fldChar w:fldCharType="end"/>
      </w:r>
      <w:r>
        <w:rPr>
          <w:rFonts w:cs="Calibri" w:ascii="Titillium" w:hAnsi="Titillium"/>
          <w:sz w:val="18"/>
          <w:szCs w:val="18"/>
        </w:rPr>
        <w:t xml:space="preserve"> e dichiararli presentando un proprio DGUE, da compilare nelle parti pertinenti;</w:t>
      </w:r>
    </w:p>
    <w:p>
      <w:pPr>
        <w:pStyle w:val="ListParagraph"/>
        <w:numPr>
          <w:ilvl w:val="2"/>
          <w:numId w:val="13"/>
        </w:numPr>
        <w:spacing w:before="60" w:after="60"/>
        <w:ind w:hanging="360" w:left="709"/>
        <w:contextualSpacing w:val="false"/>
        <w:rPr/>
      </w:pPr>
      <w:r>
        <w:rPr>
          <w:rFonts w:cs="Calibri" w:ascii="Titillium" w:hAnsi="Titillium"/>
          <w:sz w:val="18"/>
          <w:szCs w:val="18"/>
        </w:rPr>
        <w:t xml:space="preserve">possedere i requisiti i di cui all’articolo 6 oggetto di avvalimento e dichiararli nel proprio DGUE, da compilare nelle parti pertinenti; </w:t>
      </w:r>
    </w:p>
    <w:p>
      <w:pPr>
        <w:pStyle w:val="ListParagraph"/>
        <w:numPr>
          <w:ilvl w:val="2"/>
          <w:numId w:val="13"/>
        </w:numPr>
        <w:spacing w:before="60" w:after="60"/>
        <w:ind w:hanging="360" w:left="709"/>
        <w:contextualSpacing w:val="false"/>
        <w:rPr/>
      </w:pPr>
      <w:r>
        <w:rPr>
          <w:rFonts w:cs="Calibri" w:ascii="Titillium" w:hAnsi="Titillium"/>
          <w:sz w:val="18"/>
          <w:szCs w:val="18"/>
        </w:rPr>
        <w:t xml:space="preserve">impegnarsi, verso il concorrente che si avvale e verso la stazione appaltante, a mettere a disposizione, per tutta la durata dell’appalto, le risorse (riferite a requisiti di partecipazione e/o premiali) oggetto di avvalimento. </w:t>
      </w:r>
    </w:p>
    <w:p>
      <w:pPr>
        <w:pStyle w:val="Normal"/>
        <w:spacing w:before="60" w:after="60"/>
        <w:rPr>
          <w:rFonts w:ascii="Titillium" w:hAnsi="Titillium" w:cs="Calibri"/>
          <w:sz w:val="18"/>
          <w:szCs w:val="18"/>
        </w:rPr>
      </w:pPr>
      <w:r>
        <w:rPr>
          <w:rFonts w:cs="Calibri" w:ascii="Titillium" w:hAnsi="Titillium"/>
          <w:sz w:val="18"/>
          <w:szCs w:val="18"/>
        </w:rPr>
        <w:t>Le dichiarazioni dell’ausiliaria sono allegate alla domanda di partecipazione.</w:t>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cs="Calibri"/>
          <w:b/>
          <w:bCs/>
          <w:i/>
          <w:iCs/>
          <w:sz w:val="18"/>
          <w:szCs w:val="18"/>
        </w:rPr>
      </w:pPr>
      <w:r>
        <w:rPr>
          <w:rFonts w:cs="Calibri" w:ascii="Titillium" w:hAnsi="Titillium"/>
          <w:sz w:val="18"/>
          <w:szCs w:val="18"/>
        </w:rPr>
        <w:t>Il concorrente allega alla domanda di partecipazione il contratto di avvalimento e allega all’offerta tecnica il contratto di avvalimento premiale.</w:t>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cs="Calibri"/>
          <w:sz w:val="18"/>
          <w:szCs w:val="18"/>
        </w:rPr>
      </w:pPr>
      <w:r>
        <w:rPr>
          <w:rFonts w:cs="Calibri" w:ascii="Titillium" w:hAnsi="Titillium"/>
          <w:sz w:val="18"/>
          <w:szCs w:val="18"/>
        </w:rPr>
        <w:t>Il contratto di avvalimento deve essere nativo digitale e firmato digitalmente dalle parti.</w:t>
      </w:r>
    </w:p>
    <w:p>
      <w:pPr>
        <w:pStyle w:val="Normal"/>
        <w:spacing w:before="60" w:after="60"/>
        <w:rPr>
          <w:rFonts w:ascii="Titillium" w:hAnsi="Titillium" w:cs="Calibri"/>
          <w:sz w:val="18"/>
          <w:szCs w:val="18"/>
        </w:rPr>
      </w:pPr>
      <w:r>
        <w:rPr>
          <w:rFonts w:cs="Calibri" w:ascii="Titillium" w:hAnsi="Titillium"/>
          <w:sz w:val="18"/>
          <w:szCs w:val="18"/>
        </w:rPr>
        <w:t>È sanabile, mediante soccorso istruttorio, la mancata produzione delle dichiarazioni dell’ausiliario.</w:t>
      </w:r>
    </w:p>
    <w:p>
      <w:pPr>
        <w:pStyle w:val="Normal"/>
        <w:spacing w:before="60" w:after="60"/>
        <w:rPr>
          <w:rFonts w:ascii="Titillium" w:hAnsi="Titillium" w:cs="Calibri"/>
          <w:sz w:val="18"/>
          <w:szCs w:val="18"/>
        </w:rPr>
      </w:pPr>
      <w:r>
        <w:rPr>
          <w:rFonts w:cs="Calibri" w:ascii="Titillium" w:hAnsi="Titillium"/>
          <w:sz w:val="18"/>
          <w:szCs w:val="18"/>
        </w:rPr>
        <w:t>È sanabile, mediante soccorso istruttorio, la mancata produzione del contratto di avvalimento a condizione che il contratto sia stato stipulato prima del termine di presentazione dell’offerta e che tale circostanza sia comprovabile con data certa.</w:t>
      </w:r>
    </w:p>
    <w:p>
      <w:pPr>
        <w:pStyle w:val="Normal"/>
        <w:spacing w:before="60" w:after="60"/>
        <w:rPr>
          <w:rFonts w:ascii="Titillium" w:hAnsi="Titillium" w:cs="Calibri"/>
          <w:sz w:val="18"/>
          <w:szCs w:val="18"/>
        </w:rPr>
      </w:pPr>
      <w:r>
        <w:rPr>
          <w:rFonts w:cs="Calibri" w:ascii="Titillium" w:hAnsi="Titillium"/>
          <w:sz w:val="18"/>
          <w:szCs w:val="18"/>
        </w:rPr>
        <w:t>Non è sanabile la mancata indicazione delle risorse messe a disposizione dall’ausiliario in quanto causa di nullità del contratto di avvalimento.</w:t>
      </w:r>
    </w:p>
    <w:p>
      <w:pPr>
        <w:pStyle w:val="Normal"/>
        <w:spacing w:before="60" w:after="60"/>
        <w:rPr/>
      </w:pPr>
      <w:r>
        <w:rPr>
          <w:rFonts w:cs="Calibri" w:ascii="Titillium" w:hAnsi="Titillium"/>
          <w:sz w:val="18"/>
          <w:szCs w:val="18"/>
        </w:rPr>
        <w:t xml:space="preserve">Qualora per l’impresa ausiliaria sussistano motivi di esclusione o laddove essa non soddisfi i requisiti di ordine speciale, il concorrente sostituisce l’impresa ausiliaria entro 10 giorni decorrenti dal ricevimento della richiesta da parte della stazione appaltante. Contestualmente il concorrente produce i documenti richiesti per l’avvalimento. </w:t>
      </w:r>
    </w:p>
    <w:p>
      <w:pPr>
        <w:pStyle w:val="Normal"/>
        <w:tabs>
          <w:tab w:val="clear" w:pos="708"/>
          <w:tab w:val="left" w:pos="0" w:leader="none"/>
        </w:tabs>
        <w:spacing w:before="60" w:after="60"/>
        <w:rPr>
          <w:rFonts w:ascii="Titillium" w:hAnsi="Titillium" w:cs="Calibri"/>
          <w:sz w:val="18"/>
          <w:szCs w:val="18"/>
        </w:rPr>
      </w:pPr>
      <w:r>
        <w:rPr>
          <w:rFonts w:cs="Calibri" w:ascii="Titillium" w:hAnsi="Titillium"/>
          <w:sz w:val="18"/>
          <w:szCs w:val="18"/>
        </w:rPr>
        <w:t>Nel caso in cui l’impresa ausiliaria si sia resa responsabile di una falsa dichiarazione sul possesso dei requisiti, la stazione appaltante procede a segnalare all’Autorità nazionale anticorruzione il comportamento tenuto dall’impresa ausiliaria per consentire le valutazioni di cui all’articolo 96, comma 15, del Codice. L’operatore economico può indicare un’altra impresa ausiliaria nel termine di dieci giorni, pena l’esclusione dalla gara. La sostituzione può essere effettuata soltanto nel caso in cui non conduca a una modifica sostanziale dell’offerta. Il mancato rispetto del termine assegnato per la sostituzione comporta l’esclusione del concorrente.</w:t>
      </w:r>
    </w:p>
    <w:p>
      <w:pPr>
        <w:pStyle w:val="Normal"/>
        <w:tabs>
          <w:tab w:val="clear" w:pos="708"/>
          <w:tab w:val="left" w:pos="0" w:leader="none"/>
        </w:tabs>
        <w:spacing w:before="60" w:after="60"/>
        <w:rPr/>
      </w:pPr>
      <w:r>
        <w:rPr/>
      </w:r>
    </w:p>
    <w:p>
      <w:pPr>
        <w:pStyle w:val="Heading2"/>
        <w:numPr>
          <w:ilvl w:val="0"/>
          <w:numId w:val="3"/>
        </w:numPr>
        <w:rPr/>
      </w:pPr>
      <w:bookmarkStart w:id="1620" w:name="__RefHeading___Toc11710_2735037374"/>
      <w:bookmarkStart w:id="1621" w:name="_Toc207275739"/>
      <w:bookmarkStart w:id="1622" w:name="_Toc406754176"/>
      <w:bookmarkStart w:id="1623" w:name="_Toc416423361"/>
      <w:bookmarkStart w:id="1624" w:name="_Toc354038180"/>
      <w:bookmarkStart w:id="1625" w:name="_Toc380501869"/>
      <w:bookmarkStart w:id="1626" w:name="_Toc391035982"/>
      <w:bookmarkStart w:id="1627" w:name="_Toc391036055"/>
      <w:bookmarkStart w:id="1628" w:name="_Toc392577496"/>
      <w:bookmarkStart w:id="1629" w:name="_Toc393110563"/>
      <w:bookmarkStart w:id="1630" w:name="_Toc393112127"/>
      <w:bookmarkStart w:id="1631" w:name="_Toc393187844"/>
      <w:bookmarkStart w:id="1632" w:name="_Toc393272600"/>
      <w:bookmarkStart w:id="1633" w:name="_Toc393272658"/>
      <w:bookmarkStart w:id="1634" w:name="_Toc393283174"/>
      <w:bookmarkStart w:id="1635" w:name="_Toc393700833"/>
      <w:bookmarkStart w:id="1636" w:name="_Toc393706906"/>
      <w:bookmarkStart w:id="1637" w:name="_Toc397346821"/>
      <w:bookmarkStart w:id="1638" w:name="_Toc397422862"/>
      <w:bookmarkStart w:id="1639" w:name="_Toc403471269"/>
      <w:bookmarkStart w:id="1640" w:name="_Toc406058375"/>
      <w:bookmarkEnd w:id="1620"/>
      <w:r>
        <w:rPr/>
        <w:t>SUBAPPALTO</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Normal"/>
        <w:spacing w:before="60" w:after="60"/>
        <w:rPr/>
      </w:pPr>
      <w:r>
        <w:rPr>
          <w:rFonts w:cs="Calibri" w:ascii="Titillium" w:hAnsi="Titillium"/>
          <w:sz w:val="18"/>
          <w:szCs w:val="18"/>
        </w:rPr>
        <w:t xml:space="preserve">Il concorrente indica le prestazioni che intende subappaltare o concedere in cottimo. In caso di mancata indicazione il subappalto è vietato. </w:t>
      </w:r>
    </w:p>
    <w:p>
      <w:pPr>
        <w:pStyle w:val="Normal"/>
        <w:spacing w:before="60" w:after="60"/>
        <w:rPr>
          <w:rFonts w:ascii="Titillium" w:hAnsi="Titillium" w:cs="Calibri"/>
          <w:sz w:val="18"/>
          <w:szCs w:val="18"/>
        </w:rPr>
      </w:pPr>
      <w:r>
        <w:rPr>
          <w:rFonts w:cs="Calibri" w:ascii="Titillium" w:hAnsi="Titillium"/>
          <w:sz w:val="18"/>
          <w:szCs w:val="18"/>
        </w:rPr>
        <w:t>Non può essere affidata in subappalto l’integrale esecuzione delle prestazioni oggetto del contratto nonché la prevalente esecuzione delle medesime.</w:t>
      </w:r>
    </w:p>
    <w:p>
      <w:pPr>
        <w:pStyle w:val="Normal"/>
        <w:rPr>
          <w:rFonts w:ascii="Titillium" w:hAnsi="Titillium" w:cs="Calibri"/>
          <w:sz w:val="18"/>
          <w:szCs w:val="18"/>
        </w:rPr>
      </w:pPr>
      <w:r>
        <w:rPr>
          <w:rFonts w:cs="Calibri" w:ascii="Titillium" w:hAnsi="Titillium"/>
          <w:sz w:val="18"/>
          <w:szCs w:val="18"/>
        </w:rPr>
        <w:t>L’aggiudicatario e il subappaltatore sono responsabili in solido nei confronti della stazione appaltante dell’esecuzione delle prestazioni oggetto del contratto di subappalto.</w:t>
      </w:r>
    </w:p>
    <w:p>
      <w:pPr>
        <w:pStyle w:val="Normal"/>
        <w:rPr>
          <w:rFonts w:ascii="Titillium" w:hAnsi="Titillium" w:cs="Calibri"/>
          <w:sz w:val="18"/>
          <w:szCs w:val="18"/>
        </w:rPr>
      </w:pPr>
      <w:r>
        <w:rPr>
          <w:rFonts w:cs="Calibri" w:ascii="Titillium" w:hAnsi="Titillium"/>
          <w:sz w:val="18"/>
          <w:szCs w:val="18"/>
        </w:rPr>
      </w:r>
    </w:p>
    <w:p>
      <w:pPr>
        <w:pStyle w:val="Heading2"/>
        <w:numPr>
          <w:ilvl w:val="0"/>
          <w:numId w:val="3"/>
        </w:numPr>
        <w:rPr>
          <w:rFonts w:cs="Calibri"/>
        </w:rPr>
      </w:pPr>
      <w:bookmarkStart w:id="1641" w:name="__RefHeading___Toc11712_2735037374"/>
      <w:bookmarkStart w:id="1642" w:name="_Toc207275740"/>
      <w:bookmarkStart w:id="1643" w:name="_Ref132050689"/>
      <w:bookmarkEnd w:id="1641"/>
      <w:r>
        <w:rPr/>
        <w:t>REQUISITI DI PARTECIPAZIONE E/O CONDIZIONI DI ESECUZIONE</w:t>
      </w:r>
      <w:bookmarkEnd w:id="1642"/>
      <w:bookmarkEnd w:id="1643"/>
      <w:r>
        <w:rPr/>
        <w:t xml:space="preserve"> </w:t>
      </w:r>
    </w:p>
    <w:p>
      <w:pPr>
        <w:pStyle w:val="Normal"/>
        <w:spacing w:before="60" w:after="60"/>
        <w:rPr>
          <w:rFonts w:ascii="Titillium" w:hAnsi="Titillium" w:cs="Calibri"/>
          <w:sz w:val="18"/>
          <w:szCs w:val="18"/>
        </w:rPr>
      </w:pPr>
      <w:bookmarkStart w:id="1644" w:name="_Toc483571640"/>
      <w:bookmarkStart w:id="1645" w:name="_Toc483907018"/>
      <w:bookmarkStart w:id="1646" w:name="_Toc482641321"/>
      <w:bookmarkStart w:id="1647" w:name="_Toc482712767"/>
      <w:bookmarkStart w:id="1648" w:name="_Toc482959555"/>
      <w:bookmarkStart w:id="1649" w:name="_Toc482959665"/>
      <w:bookmarkStart w:id="1650" w:name="_Toc482959775"/>
      <w:bookmarkStart w:id="1651" w:name="_Toc482978894"/>
      <w:bookmarkStart w:id="1652" w:name="_Toc482979003"/>
      <w:bookmarkStart w:id="1653" w:name="_Toc482979111"/>
      <w:bookmarkStart w:id="1654" w:name="_Toc482979222"/>
      <w:bookmarkStart w:id="1655" w:name="_Toc482979331"/>
      <w:bookmarkStart w:id="1656" w:name="_Toc482979440"/>
      <w:bookmarkStart w:id="1657" w:name="_Toc482979548"/>
      <w:bookmarkStart w:id="1658" w:name="_Toc482979646"/>
      <w:bookmarkStart w:id="1659" w:name="_Toc482979744"/>
      <w:bookmarkStart w:id="1660" w:name="_Toc483233704"/>
      <w:bookmarkStart w:id="1661" w:name="_Toc483302431"/>
      <w:bookmarkStart w:id="1662" w:name="_Toc483316052"/>
      <w:bookmarkStart w:id="1663" w:name="_Toc483316257"/>
      <w:bookmarkStart w:id="1664" w:name="_Toc483316389"/>
      <w:bookmarkStart w:id="1665" w:name="_Toc483316520"/>
      <w:bookmarkStart w:id="1666" w:name="_Toc483325813"/>
      <w:bookmarkStart w:id="1667" w:name="_Toc483401291"/>
      <w:bookmarkStart w:id="1668" w:name="_Toc483474087"/>
      <w:bookmarkStart w:id="1669" w:name="_Toc483571518"/>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r>
        <w:rPr>
          <w:rFonts w:ascii="Titillium" w:hAnsi="Titillium"/>
          <w:sz w:val="18"/>
          <w:szCs w:val="18"/>
        </w:rPr>
        <w:t>L</w:t>
      </w:r>
      <w:r>
        <w:rPr>
          <w:rFonts w:cs="Calibri" w:ascii="Titillium" w:hAnsi="Titillium"/>
          <w:sz w:val="18"/>
          <w:szCs w:val="18"/>
        </w:rPr>
        <w:t>’aggiudicatario è tenuto a garantire l’applicazione del contratto collettivo nazionale e territoriale di cui al paragrafo 3. In alternativa, l’aggiudicatario è tenuto a garantire l’applicazione di un altro contratto che garantisca le stesse tutele economiche e normative per i propri lavoratori e per quelli in subappalto</w:t>
      </w:r>
      <w:r>
        <w:rPr>
          <w:rFonts w:cs="Calibri" w:ascii="Titillium" w:hAnsi="Titillium"/>
          <w:b/>
          <w:sz w:val="18"/>
          <w:szCs w:val="18"/>
        </w:rPr>
        <w:t>.</w:t>
      </w:r>
    </w:p>
    <w:p>
      <w:pPr>
        <w:pStyle w:val="Normal"/>
        <w:rPr>
          <w:highlight w:val="none"/>
          <w:shd w:fill="FFFFFF" w:val="clear"/>
        </w:rPr>
      </w:pPr>
      <w:r>
        <w:rPr>
          <w:rFonts w:ascii="Titillium" w:hAnsi="Titillium"/>
          <w:sz w:val="18"/>
          <w:szCs w:val="18"/>
          <w:shd w:fill="FFFFFF" w:val="clear"/>
        </w:rPr>
        <w:t>Ferma restando la necessaria armonizzazione con la propria organizzazione e con le esigenze tecnico-organizzative e di manodopera previste nel nuovo contratto, l’aggiudicatario del contratto di appalto è tenuto a garantire la stabilità occupazionale del personale impiegato nel contratto, assorbendo prioritariamente nel proprio organico il personale già operante alle dipendenze dell’aggiudicatario uscente, garantendo le stesse tutele del CCNL indicato al paragrafo 3.</w:t>
      </w:r>
    </w:p>
    <w:p>
      <w:pPr>
        <w:pStyle w:val="Normal"/>
        <w:rPr>
          <w:rFonts w:ascii="Titillium" w:hAnsi="Titillium"/>
          <w:sz w:val="18"/>
          <w:szCs w:val="18"/>
          <w:highlight w:val="cyan"/>
        </w:rPr>
      </w:pPr>
      <w:r>
        <w:rPr>
          <w:rFonts w:ascii="Titillium" w:hAnsi="Titillium"/>
          <w:sz w:val="18"/>
          <w:szCs w:val="18"/>
          <w:shd w:fill="FFFFFF" w:val="clear"/>
        </w:rPr>
        <w:t>L’elenco e i dati relativi al personale attualmente impiegato dal contraente uscente per l’esecuzione del contratto sono riportati nell’Allegato A – clausola sociale e contiene il numero degli addetti con indicazione dei lavoratori svantaggiati ai sensi della legge n. 381/91, qualifica, livelli anzianità, sede di lavoro, monte ore, etc.</w:t>
      </w:r>
    </w:p>
    <w:p>
      <w:pPr>
        <w:pStyle w:val="Normal"/>
        <w:rPr>
          <w:highlight w:val="none"/>
          <w:shd w:fill="FFFFFF" w:val="clear"/>
        </w:rPr>
      </w:pPr>
      <w:r>
        <w:rPr>
          <w:shd w:fill="FFFFFF" w:val="clear"/>
        </w:rPr>
      </w:r>
    </w:p>
    <w:p>
      <w:pPr>
        <w:pStyle w:val="Normal"/>
        <w:spacing w:before="0" w:after="120"/>
        <w:rPr>
          <w:highlight w:val="none"/>
          <w:shd w:fill="FFFFFF" w:val="clear"/>
        </w:rPr>
      </w:pPr>
      <w:r>
        <w:rPr>
          <w:rFonts w:cs="Calibri" w:ascii="Titillium" w:hAnsi="Titillium"/>
          <w:sz w:val="18"/>
          <w:szCs w:val="18"/>
          <w:shd w:fill="FFFFFF" w:val="clear"/>
        </w:rPr>
        <w:t xml:space="preserve">Il concorrente si impegna, </w:t>
      </w:r>
      <w:r>
        <w:rPr>
          <w:rFonts w:cs="Calibri" w:ascii="Titillium" w:hAnsi="Titillium"/>
          <w:sz w:val="18"/>
          <w:szCs w:val="18"/>
          <w:u w:val="single"/>
          <w:shd w:fill="FFFFFF" w:val="clear"/>
        </w:rPr>
        <w:t>a pena di esclusione</w:t>
      </w:r>
      <w:r>
        <w:rPr>
          <w:rFonts w:cs="Arial" w:ascii="Titillium" w:hAnsi="Titillium"/>
          <w:sz w:val="18"/>
          <w:szCs w:val="18"/>
          <w:shd w:fill="FFFFFF" w:val="clear"/>
        </w:rPr>
        <w:t>, in caso di aggiudicazione del contratto, ad assicurare:</w:t>
      </w:r>
    </w:p>
    <w:p>
      <w:pPr>
        <w:pStyle w:val="ListParagraph"/>
        <w:widowControl w:val="false"/>
        <w:numPr>
          <w:ilvl w:val="0"/>
          <w:numId w:val="24"/>
        </w:numPr>
        <w:spacing w:before="0" w:after="0"/>
        <w:ind w:hanging="426" w:left="851"/>
        <w:contextualSpacing w:val="false"/>
        <w:rPr>
          <w:highlight w:val="none"/>
          <w:shd w:fill="FFFFFF" w:val="clear"/>
        </w:rPr>
      </w:pPr>
      <w:r>
        <w:rPr>
          <w:rFonts w:cs="Arial" w:ascii="Titillium" w:hAnsi="Titillium"/>
          <w:sz w:val="18"/>
          <w:szCs w:val="18"/>
          <w:shd w:fill="FFFFFF" w:val="clear"/>
        </w:rPr>
        <w:t>una quota pari almeno al 30 per cento delle assunzioni necessarie di occupazione giovanile</w:t>
      </w:r>
    </w:p>
    <w:p>
      <w:pPr>
        <w:pStyle w:val="ListParagraph"/>
        <w:widowControl w:val="false"/>
        <w:numPr>
          <w:ilvl w:val="0"/>
          <w:numId w:val="24"/>
        </w:numPr>
        <w:spacing w:before="0" w:after="0"/>
        <w:ind w:hanging="426" w:left="851"/>
        <w:contextualSpacing w:val="false"/>
        <w:rPr>
          <w:highlight w:val="none"/>
          <w:shd w:fill="FFFFFF" w:val="clear"/>
        </w:rPr>
      </w:pPr>
      <w:r>
        <w:rPr>
          <w:rFonts w:cs="Arial" w:ascii="Titillium" w:hAnsi="Titillium"/>
          <w:sz w:val="18"/>
          <w:szCs w:val="18"/>
          <w:shd w:fill="FFFFFF" w:val="clear"/>
        </w:rPr>
        <w:t>una quota pari almeno al 30 per cento delle assunzioni necessarie di occupazione femminile</w:t>
      </w:r>
    </w:p>
    <w:p>
      <w:pPr>
        <w:pStyle w:val="Normal"/>
        <w:widowControl w:val="false"/>
        <w:rPr>
          <w:highlight w:val="none"/>
          <w:shd w:fill="FFFFFF" w:val="clear"/>
        </w:rPr>
      </w:pPr>
      <w:r>
        <w:rPr>
          <w:shd w:fill="FFFFFF" w:val="clear"/>
        </w:rPr>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highlight w:val="none"/>
          <w:shd w:fill="FFFFFF" w:val="clear"/>
        </w:rPr>
      </w:pPr>
      <w:r>
        <w:rPr>
          <w:rFonts w:cs="Courier New" w:ascii="Titillium" w:hAnsi="Titillium"/>
          <w:sz w:val="18"/>
          <w:szCs w:val="18"/>
          <w:shd w:fill="FFFFFF" w:val="clear"/>
        </w:rPr>
        <w:t>Gli operatori economici che occupano un numero pari o superiore a quindici dipendenti e non superiore a cinquanta, non tenuti alla redazione del rapporto sulla situazione del personale, ai sensi dell'articolo 46 del decreto legislativo 11 aprile 2006, n. 198, sono tenuti, entro sei mesi dalla conclusione del contratto, a consegnare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L'operatore economico è altresì tenuto a trasmettere la relazione alle rappresentanze sindacali aziendali e alla consigliera e al consigliere regionale di parità</w:t>
      </w:r>
      <w:r>
        <w:rPr>
          <w:rFonts w:cs="Calibri" w:ascii="Titillium" w:hAnsi="Titillium"/>
          <w:sz w:val="18"/>
          <w:szCs w:val="18"/>
          <w:shd w:fill="FFFFFF" w:val="clear"/>
        </w:rPr>
        <w:t>.</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rFonts w:cs="Courier New" w:ascii="Titillium" w:hAnsi="Titillium"/>
          <w:sz w:val="18"/>
          <w:szCs w:val="18"/>
          <w:shd w:fill="FFFFFF" w:val="clear"/>
        </w:rPr>
        <w:t>Gli operatori economici che occupano un numero di dipendenti pari o superiore a quindici sono tenuti, entro sei mesi dalla conclusione del contratto, a consegnare alla stazione appaltante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w:t>
      </w:r>
    </w:p>
    <w:p>
      <w:pPr>
        <w:pStyle w:val="Normal"/>
        <w:spacing w:before="60" w:after="60"/>
        <w:rPr>
          <w:rFonts w:ascii="Titillium" w:hAnsi="Titillium" w:cs="Calibri"/>
          <w:i/>
          <w:iCs/>
          <w:sz w:val="18"/>
          <w:szCs w:val="18"/>
        </w:rPr>
      </w:pPr>
      <w:r>
        <w:rPr>
          <w:rFonts w:cs="Calibri" w:ascii="Titillium" w:hAnsi="Titillium"/>
          <w:i/>
          <w:iCs/>
          <w:sz w:val="18"/>
          <w:szCs w:val="18"/>
        </w:rPr>
      </w:r>
    </w:p>
    <w:p>
      <w:pPr>
        <w:pStyle w:val="Heading2"/>
        <w:numPr>
          <w:ilvl w:val="0"/>
          <w:numId w:val="3"/>
        </w:numPr>
        <w:rPr/>
      </w:pPr>
      <w:bookmarkStart w:id="1670" w:name="__RefHeading___Toc11716_2735037374"/>
      <w:bookmarkStart w:id="1671" w:name="_Toc207275742"/>
      <w:bookmarkStart w:id="1672" w:name="_Ref531346843"/>
      <w:bookmarkStart w:id="1673" w:name="_Ref531346857"/>
      <w:bookmarkStart w:id="1674" w:name="_Ref531264739"/>
      <w:bookmarkEnd w:id="1670"/>
      <w:r>
        <w:rPr/>
        <w:t>GARANZIA PROVVISORIA</w:t>
      </w:r>
      <w:bookmarkEnd w:id="1671"/>
      <w:bookmarkEnd w:id="1672"/>
      <w:bookmarkEnd w:id="1673"/>
      <w:bookmarkEnd w:id="1674"/>
    </w:p>
    <w:p>
      <w:pPr>
        <w:pStyle w:val="Normal"/>
        <w:spacing w:before="60" w:after="60"/>
        <w:rPr>
          <w:rFonts w:ascii="Titillium" w:hAnsi="Titillium" w:cs="Calibri"/>
          <w:sz w:val="18"/>
          <w:szCs w:val="18"/>
        </w:rPr>
      </w:pPr>
      <w:r>
        <w:rPr>
          <w:rFonts w:cs="Calibri" w:ascii="Titillium" w:hAnsi="Titillium"/>
          <w:sz w:val="18"/>
          <w:szCs w:val="18"/>
        </w:rPr>
        <w:t>L’offerta è corredata, a pena di esclusione,</w:t>
      </w:r>
      <w:r>
        <w:rPr>
          <w:rFonts w:cs="Calibri" w:ascii="Titillium" w:hAnsi="Titillium"/>
          <w:b/>
          <w:sz w:val="18"/>
          <w:szCs w:val="18"/>
        </w:rPr>
        <w:t xml:space="preserve"> </w:t>
      </w:r>
      <w:r>
        <w:rPr>
          <w:rFonts w:cs="Calibri" w:ascii="Titillium" w:hAnsi="Titillium"/>
          <w:sz w:val="18"/>
          <w:szCs w:val="18"/>
        </w:rPr>
        <w:t xml:space="preserve">da una garanzia provvisoria pari al </w:t>
      </w:r>
      <w:r>
        <w:rPr>
          <w:rFonts w:cs="Calibri" w:ascii="Titillium" w:hAnsi="Titillium"/>
          <w:iCs/>
          <w:sz w:val="18"/>
          <w:szCs w:val="18"/>
        </w:rPr>
        <w:t>2% del valore complessivo dell’appalto ovvero altra percentuale ai sensi dell’articolo 106, comma 1 del Codice</w:t>
      </w:r>
      <w:r>
        <w:rPr>
          <w:rFonts w:cs="Calibri" w:ascii="Titillium" w:hAnsi="Titillium"/>
          <w:i/>
          <w:sz w:val="18"/>
          <w:szCs w:val="18"/>
        </w:rPr>
        <w:t xml:space="preserve"> </w:t>
      </w:r>
      <w:r>
        <w:rPr>
          <w:rFonts w:cs="Calibri" w:ascii="Titillium" w:hAnsi="Titillium"/>
          <w:sz w:val="18"/>
          <w:szCs w:val="18"/>
        </w:rPr>
        <w:t xml:space="preserve">e precisamente di importo pari ad </w:t>
      </w:r>
      <w:r>
        <w:rPr>
          <w:rFonts w:cs="Calibri" w:ascii="Titillium" w:hAnsi="Titillium"/>
          <w:b/>
          <w:bCs/>
          <w:sz w:val="18"/>
          <w:szCs w:val="18"/>
          <w:shd w:fill="FFFFFF" w:val="clear"/>
          <w14:ligatures w14:val="none"/>
        </w:rPr>
        <w:t>€ 6.643,00</w:t>
      </w:r>
      <w:r>
        <w:rPr>
          <w:rFonts w:cs="Calibri" w:ascii="Titillium" w:hAnsi="Titillium"/>
          <w:sz w:val="18"/>
          <w:szCs w:val="18"/>
        </w:rPr>
        <w:t>, costituita in data certa anteriore al termine di presentazione delle offerte, resa a favore della presente stazione appaltante e sottoscritta da un soggetto legittimato a rilasciare la garanzia e ad impegnare il concorrente.  Si applicano le riduzioni di cui all’articolo 106, comma 8 del Codice.</w:t>
      </w:r>
    </w:p>
    <w:p>
      <w:pPr>
        <w:pStyle w:val="Normal"/>
        <w:spacing w:before="120" w:after="60"/>
        <w:ind w:hanging="425" w:left="425"/>
        <w:rPr/>
      </w:pPr>
      <w:r>
        <w:rPr>
          <w:rFonts w:cs="Calibri" w:ascii="Titillium" w:hAnsi="Titillium"/>
          <w:sz w:val="18"/>
          <w:szCs w:val="18"/>
        </w:rPr>
        <w:t>La garanzia provvisoria è costituita, a scelta del concorrente sotto forma di cauzione o di fideiussione.</w:t>
      </w:r>
    </w:p>
    <w:p>
      <w:pPr>
        <w:pStyle w:val="Normal"/>
        <w:spacing w:before="60" w:after="60"/>
        <w:rPr>
          <w:rFonts w:ascii="Titillium" w:hAnsi="Titillium" w:cs="Calibri"/>
          <w:sz w:val="18"/>
          <w:szCs w:val="18"/>
        </w:rPr>
      </w:pPr>
      <w:r>
        <w:rPr>
          <w:rFonts w:cs="Calibri" w:ascii="Titillium" w:hAnsi="Titillium"/>
          <w:sz w:val="18"/>
          <w:szCs w:val="18"/>
        </w:rPr>
        <w:t xml:space="preserve">La cauzione è costituita mediante accredito, con bonifico o con altri strumenti e canali di pagamento elettronici, presso il conto il Tesoriere dell’Azienda Unità Sanitaria Locale di Bologna – Intesa San Paolo spa: codice IBAN IT96D0306902520100000046027. </w:t>
      </w:r>
    </w:p>
    <w:p>
      <w:pPr>
        <w:pStyle w:val="Normal"/>
        <w:spacing w:before="60" w:after="60"/>
        <w:rPr>
          <w:rFonts w:ascii="Titillium" w:hAnsi="Titillium" w:cs="Calibri"/>
          <w:sz w:val="18"/>
          <w:szCs w:val="18"/>
        </w:rPr>
      </w:pPr>
      <w:r>
        <w:rPr>
          <w:rFonts w:cs="Calibri" w:ascii="Titillium" w:hAnsi="Titillium"/>
          <w:sz w:val="18"/>
          <w:szCs w:val="18"/>
        </w:rPr>
        <w:t xml:space="preserve">Per depositi cauzionali il codice Ente assegnato all’Azienda da parte del Tesoriere è il 1040039 con sottoconto IT29S0306902520100000300028 collegato al codice IBAN indicato. </w:t>
      </w:r>
    </w:p>
    <w:p>
      <w:pPr>
        <w:pStyle w:val="Normal"/>
        <w:spacing w:before="60" w:after="60"/>
        <w:rPr>
          <w:rFonts w:ascii="Titillium" w:hAnsi="Titillium" w:cs="Calibri"/>
          <w:sz w:val="18"/>
          <w:szCs w:val="18"/>
        </w:rPr>
      </w:pPr>
      <w:r>
        <w:rPr>
          <w:rFonts w:cs="Calibri" w:ascii="Titillium" w:hAnsi="Titillium"/>
          <w:sz w:val="18"/>
          <w:szCs w:val="18"/>
        </w:rPr>
        <w:t>Per pagamenti provenienti dall’estero, Codice BIC: BCITITMM.</w:t>
      </w:r>
    </w:p>
    <w:p>
      <w:pPr>
        <w:pStyle w:val="Normal"/>
        <w:spacing w:before="60" w:after="60"/>
        <w:rPr>
          <w:rFonts w:ascii="Titillium" w:hAnsi="Titillium" w:cs="Calibri"/>
          <w:sz w:val="18"/>
          <w:szCs w:val="24"/>
        </w:rPr>
      </w:pPr>
      <w:r>
        <w:rPr>
          <w:rFonts w:cs="Calibri" w:ascii="Titillium" w:hAnsi="Titillium"/>
          <w:sz w:val="18"/>
          <w:szCs w:val="24"/>
        </w:rPr>
        <w:t>La fideiussione può essere rilasciata:</w:t>
      </w:r>
    </w:p>
    <w:p>
      <w:pPr>
        <w:pStyle w:val="ListParagraph"/>
        <w:numPr>
          <w:ilvl w:val="1"/>
          <w:numId w:val="13"/>
        </w:numPr>
        <w:spacing w:before="60" w:after="60"/>
        <w:ind w:hanging="360" w:left="426"/>
        <w:contextualSpacing w:val="false"/>
        <w:rPr/>
      </w:pPr>
      <w:r>
        <w:rPr>
          <w:rFonts w:cs="Calibri" w:ascii="Titillium" w:hAnsi="Titillium"/>
          <w:sz w:val="18"/>
          <w:szCs w:val="24"/>
        </w:rPr>
        <w:t>da imprese bancarie o assicurative che rispondono ai requisiti di solvibilità previsti dalle leggi che ne disciplinano le rispettive attività;</w:t>
      </w:r>
    </w:p>
    <w:p>
      <w:pPr>
        <w:pStyle w:val="ListParagraph"/>
        <w:numPr>
          <w:ilvl w:val="1"/>
          <w:numId w:val="13"/>
        </w:numPr>
        <w:spacing w:before="60" w:after="60"/>
        <w:ind w:hanging="360" w:left="426"/>
        <w:contextualSpacing w:val="false"/>
        <w:rPr/>
      </w:pPr>
      <w:r>
        <w:rPr>
          <w:rFonts w:cs="Calibri" w:ascii="Titillium" w:hAnsi="Titillium"/>
          <w:sz w:val="18"/>
          <w:szCs w:val="24"/>
        </w:rPr>
        <w:t>da un intermediario finanziario iscritto nell'albo di cui all'</w:t>
      </w:r>
      <w:r>
        <w:fldChar w:fldCharType="begin"/>
      </w:r>
      <w:r>
        <w:rPr>
          <w:rStyle w:val="Style"/>
          <w:rFonts w:cs="Calibri" w:ascii="Titillium" w:hAnsi="Titillium"/>
          <w:sz w:val="18"/>
          <w:szCs w:val="24"/>
        </w:rPr>
        <w:instrText xml:space="preserve"> HYPERLINK "https://www.bosettiegatti.eu/info/norme/statali/1993_0385.htm" \l "107"</w:instrText>
      </w:r>
      <w:r>
        <w:rPr>
          <w:rStyle w:val="Style"/>
          <w:rFonts w:cs="Calibri" w:ascii="Titillium" w:hAnsi="Titillium"/>
          <w:sz w:val="18"/>
          <w:szCs w:val="24"/>
        </w:rPr>
        <w:fldChar w:fldCharType="separate"/>
      </w:r>
      <w:r>
        <w:rPr>
          <w:rStyle w:val="Style"/>
          <w:rFonts w:cs="Calibri" w:ascii="Titillium" w:hAnsi="Titillium"/>
          <w:sz w:val="18"/>
          <w:szCs w:val="24"/>
        </w:rPr>
        <w:t>articolo 106 del decreto legislativo 1 settembre 1993, n. 385</w:t>
      </w:r>
      <w:r>
        <w:rPr>
          <w:rStyle w:val="Style"/>
          <w:rFonts w:cs="Calibri" w:ascii="Titillium" w:hAnsi="Titillium"/>
          <w:sz w:val="18"/>
          <w:szCs w:val="24"/>
        </w:rPr>
        <w:fldChar w:fldCharType="end"/>
      </w:r>
      <w:r>
        <w:rPr>
          <w:rFonts w:ascii="Titillium" w:hAnsi="Titillium"/>
          <w:sz w:val="18"/>
          <w:szCs w:val="18"/>
        </w:rPr>
        <w:t xml:space="preserve">, che </w:t>
      </w:r>
      <w:r>
        <w:rPr>
          <w:rFonts w:cs="Calibri" w:ascii="Titillium" w:hAnsi="Titillium"/>
          <w:sz w:val="18"/>
          <w:szCs w:val="18"/>
        </w:rPr>
        <w:t>svolge</w:t>
      </w:r>
      <w:r>
        <w:rPr>
          <w:rFonts w:cs="Calibri" w:ascii="Titillium" w:hAnsi="Titillium"/>
          <w:sz w:val="18"/>
          <w:szCs w:val="24"/>
        </w:rPr>
        <w:t xml:space="preserve"> in via esclusiva o prevalente attività di rilascio di garanzie, che è sottoposto a revisione contabile da parte di una società di revisione iscritta nell'albo previsto dall'articolo 161 del decreto legislativo 24 febbraio 1998, n. 58; e che abbia i requisiti minimi di solvibilità richiesti dalla vigente normativa bancaria assicurativa.</w:t>
      </w:r>
    </w:p>
    <w:p>
      <w:pPr>
        <w:pStyle w:val="Normal"/>
        <w:spacing w:before="60" w:after="60"/>
        <w:rPr>
          <w:rFonts w:ascii="Titillium" w:hAnsi="Titillium" w:cs="Calibri"/>
          <w:sz w:val="18"/>
          <w:szCs w:val="24"/>
        </w:rPr>
      </w:pPr>
      <w:r>
        <w:rPr>
          <w:rFonts w:cs="Calibri" w:ascii="Titillium" w:hAnsi="Titillium"/>
          <w:sz w:val="18"/>
          <w:szCs w:val="24"/>
        </w:rPr>
      </w:r>
    </w:p>
    <w:p>
      <w:pPr>
        <w:pStyle w:val="Normal"/>
        <w:spacing w:before="60" w:after="60"/>
        <w:rPr>
          <w:rFonts w:ascii="Titillium" w:hAnsi="Titillium" w:cs="Calibri"/>
          <w:sz w:val="18"/>
          <w:szCs w:val="24"/>
        </w:rPr>
      </w:pPr>
      <w:r>
        <w:rPr>
          <w:rFonts w:cs="Calibri" w:ascii="Titillium" w:hAnsi="Titillium"/>
          <w:sz w:val="18"/>
          <w:szCs w:val="24"/>
        </w:rPr>
        <w:t xml:space="preserve">Gli operatori economici, prima di procedere alla sottoscrizione della garanzia, sono tenuti a verificare che il soggetto garante sia in possesso dell’autorizzazione al rilascio di garanzie, seguendo le indicazioni fornite nella Comunicazione congiunta della Banca D’Italia, dell’Istituto per la vigilanza sulle assicurazioni e dell’Autorità Nazionale Anticorruzione pubblicata il 18 luglio 2025 e consultabile al seguente link: </w:t>
      </w:r>
      <w:hyperlink r:id="rId3">
        <w:r>
          <w:rPr>
            <w:rStyle w:val="Hyperlink"/>
            <w:rFonts w:cs="Calibri" w:ascii="Titillium" w:hAnsi="Titillium"/>
            <w:sz w:val="18"/>
            <w:szCs w:val="24"/>
          </w:rPr>
          <w:t>https://www.anticorruzione.it/-/news.garanzie.finanziarie.18.07.2025</w:t>
        </w:r>
      </w:hyperlink>
      <w:r>
        <w:rPr>
          <w:rFonts w:cs="Calibri" w:ascii="Titillium" w:hAnsi="Titillium"/>
          <w:sz w:val="18"/>
          <w:szCs w:val="24"/>
        </w:rPr>
        <w:t xml:space="preserve">. </w:t>
      </w:r>
    </w:p>
    <w:p>
      <w:pPr>
        <w:pStyle w:val="Normal"/>
        <w:spacing w:before="60" w:after="60"/>
        <w:rPr>
          <w:rFonts w:ascii="Titillium" w:hAnsi="Titillium" w:cs="Calibri"/>
          <w:sz w:val="18"/>
          <w:szCs w:val="24"/>
        </w:rPr>
      </w:pPr>
      <w:r>
        <w:rPr>
          <w:rFonts w:cs="Calibri" w:ascii="Titillium" w:hAnsi="Titillium"/>
          <w:sz w:val="18"/>
          <w:szCs w:val="24"/>
        </w:rPr>
        <w:t xml:space="preserve">La garanzia fideiussoria deve essere emessa e firmata digitalmente da un soggetto in possesso dei poteri necessari per impegnare il garante. </w:t>
      </w:r>
    </w:p>
    <w:p>
      <w:pPr>
        <w:pStyle w:val="Normal"/>
        <w:spacing w:before="60" w:after="60"/>
        <w:ind w:left="66"/>
        <w:rPr>
          <w:rFonts w:ascii="Titillium" w:hAnsi="Titillium" w:cs="Calibri"/>
          <w:sz w:val="18"/>
          <w:szCs w:val="24"/>
        </w:rPr>
      </w:pPr>
      <w:r>
        <w:rPr>
          <w:rFonts w:cs="Calibri" w:ascii="Titillium" w:hAnsi="Titillium"/>
          <w:sz w:val="18"/>
          <w:szCs w:val="24"/>
        </w:rPr>
        <w:t>L’operatore economico può, alternativamente:</w:t>
      </w:r>
    </w:p>
    <w:p>
      <w:pPr>
        <w:pStyle w:val="ListParagraph"/>
        <w:numPr>
          <w:ilvl w:val="1"/>
          <w:numId w:val="35"/>
        </w:numPr>
        <w:spacing w:before="60" w:after="60"/>
        <w:ind w:hanging="360" w:left="426"/>
        <w:contextualSpacing/>
        <w:rPr>
          <w:rFonts w:ascii="Titillium" w:hAnsi="Titillium" w:cs="Calibri"/>
          <w:sz w:val="18"/>
          <w:szCs w:val="24"/>
        </w:rPr>
      </w:pPr>
      <w:r>
        <w:rPr>
          <w:rFonts w:cs="Calibri" w:ascii="Titillium" w:hAnsi="Titillium"/>
          <w:sz w:val="18"/>
          <w:szCs w:val="24"/>
        </w:rPr>
        <w:t>presentare una garanzia fideiussoria gestita in tutte le fasi mediante ricorso ad una piattaforma, operante con tecnologie basate su registri distribuiti o su registri elettronici, conforme alle caratteristiche stabilite dall’AgID;</w:t>
      </w:r>
    </w:p>
    <w:p>
      <w:pPr>
        <w:pStyle w:val="ListParagraph"/>
        <w:numPr>
          <w:ilvl w:val="1"/>
          <w:numId w:val="35"/>
        </w:numPr>
        <w:spacing w:before="60" w:after="60"/>
        <w:ind w:hanging="360" w:left="426"/>
        <w:contextualSpacing/>
        <w:rPr>
          <w:rFonts w:ascii="Titillium" w:hAnsi="Titillium" w:cs="Calibri"/>
          <w:sz w:val="18"/>
          <w:szCs w:val="24"/>
        </w:rPr>
      </w:pPr>
      <w:r>
        <w:rPr>
          <w:rFonts w:cs="Calibri" w:ascii="Titillium" w:hAnsi="Titillium"/>
          <w:sz w:val="18"/>
          <w:szCs w:val="24"/>
        </w:rPr>
        <w:t xml:space="preserve">presentare una garanzia fideiussoria verificabile telematicamente presso l’emittente; </w:t>
      </w:r>
    </w:p>
    <w:p>
      <w:pPr>
        <w:pStyle w:val="Normal"/>
        <w:spacing w:before="60" w:after="60"/>
        <w:ind w:left="66"/>
        <w:rPr>
          <w:rFonts w:ascii="Titillium" w:hAnsi="Titillium" w:cs="Calibri"/>
          <w:sz w:val="18"/>
          <w:szCs w:val="24"/>
        </w:rPr>
      </w:pPr>
      <w:r>
        <w:rPr>
          <w:rFonts w:cs="Calibri" w:ascii="Titillium" w:hAnsi="Titillium"/>
          <w:sz w:val="18"/>
          <w:szCs w:val="24"/>
        </w:rPr>
        <w:t xml:space="preserve">indicando nella domanda le modalità di verifica messe a disposizione dall’emittente medesimo. </w:t>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pPr>
      <w:r>
        <w:rPr>
          <w:rFonts w:cs="Calibri" w:ascii="Titillium" w:hAnsi="Titillium"/>
          <w:sz w:val="18"/>
          <w:szCs w:val="18"/>
        </w:rPr>
        <w:t>La fideiussione deve:</w:t>
      </w:r>
    </w:p>
    <w:p>
      <w:pPr>
        <w:pStyle w:val="Normal"/>
        <w:numPr>
          <w:ilvl w:val="2"/>
          <w:numId w:val="20"/>
        </w:numPr>
        <w:spacing w:before="60" w:after="60"/>
        <w:ind w:hanging="284" w:left="284"/>
        <w:rPr>
          <w:rFonts w:ascii="Titillium" w:hAnsi="Titillium" w:cs="Calibri"/>
          <w:sz w:val="18"/>
          <w:szCs w:val="18"/>
        </w:rPr>
      </w:pPr>
      <w:r>
        <w:rPr>
          <w:rFonts w:cs="Calibri" w:ascii="Titillium" w:hAnsi="Titillium"/>
          <w:sz w:val="18"/>
          <w:szCs w:val="18"/>
        </w:rPr>
        <w:t>contenere espressa menzione dell’oggetto del contratto di appalto e del soggetto garantito (stazione appaltante);</w:t>
      </w:r>
    </w:p>
    <w:p>
      <w:pPr>
        <w:pStyle w:val="Normal"/>
        <w:numPr>
          <w:ilvl w:val="2"/>
          <w:numId w:val="20"/>
        </w:numPr>
        <w:spacing w:before="60" w:after="60"/>
        <w:ind w:hanging="284" w:left="284"/>
        <w:rPr>
          <w:rFonts w:ascii="Titillium" w:hAnsi="Titillium" w:cs="Calibri"/>
          <w:sz w:val="18"/>
          <w:szCs w:val="18"/>
        </w:rPr>
      </w:pPr>
      <w:r>
        <w:rPr>
          <w:rFonts w:cs="Calibri" w:ascii="Titillium" w:hAnsi="Titillium"/>
          <w:sz w:val="18"/>
          <w:szCs w:val="18"/>
        </w:rPr>
        <w:t>essere intestata a tutti gli operatori economici del costituito/costituendo raggruppamento temporaneo o consorzio ordinario o GEIE, ovvero a tutte le imprese retiste che partecipano alla gara ovvero, in caso di consorzi di cui all’articolo 65, comma 2 lettere b), c), d) del Codice, al solo consorzio;</w:t>
      </w:r>
    </w:p>
    <w:p>
      <w:pPr>
        <w:pStyle w:val="Normal"/>
        <w:numPr>
          <w:ilvl w:val="2"/>
          <w:numId w:val="20"/>
        </w:numPr>
        <w:spacing w:before="60" w:after="60"/>
        <w:ind w:hanging="284" w:left="284"/>
        <w:rPr>
          <w:rFonts w:ascii="Titillium" w:hAnsi="Titillium" w:cs="Calibri"/>
          <w:sz w:val="18"/>
          <w:szCs w:val="18"/>
        </w:rPr>
      </w:pPr>
      <w:r>
        <w:rPr>
          <w:rFonts w:cs="Calibri" w:ascii="Titillium" w:hAnsi="Titillium"/>
          <w:sz w:val="18"/>
          <w:szCs w:val="18"/>
        </w:rPr>
        <w:t>essere conforme allo schema tipo approvato con decreto del Ministro dello sviluppo economico del 16 settembre 2022 n. 193;</w:t>
      </w:r>
    </w:p>
    <w:p>
      <w:pPr>
        <w:pStyle w:val="Normal"/>
        <w:numPr>
          <w:ilvl w:val="2"/>
          <w:numId w:val="20"/>
        </w:numPr>
        <w:spacing w:before="60" w:after="60"/>
        <w:ind w:hanging="284" w:left="284"/>
        <w:rPr/>
      </w:pPr>
      <w:r>
        <w:rPr>
          <w:rFonts w:cs="Calibri" w:ascii="Titillium" w:hAnsi="Titillium"/>
          <w:sz w:val="18"/>
          <w:szCs w:val="18"/>
        </w:rPr>
        <w:t xml:space="preserve">avere validità per </w:t>
      </w:r>
      <w:r>
        <w:rPr>
          <w:rFonts w:cs="Calibri" w:ascii="Titillium" w:hAnsi="Titillium"/>
          <w:iCs/>
          <w:sz w:val="18"/>
          <w:szCs w:val="18"/>
        </w:rPr>
        <w:t>180</w:t>
      </w:r>
      <w:r>
        <w:rPr>
          <w:rFonts w:cs="Calibri" w:ascii="Titillium" w:hAnsi="Titillium"/>
          <w:i/>
          <w:sz w:val="18"/>
          <w:szCs w:val="18"/>
        </w:rPr>
        <w:t xml:space="preserve"> </w:t>
      </w:r>
      <w:r>
        <w:rPr>
          <w:rFonts w:cs="Calibri" w:ascii="Titillium" w:hAnsi="Titillium"/>
          <w:sz w:val="18"/>
          <w:szCs w:val="18"/>
        </w:rPr>
        <w:t>giorni</w:t>
      </w:r>
      <w:r>
        <w:rPr>
          <w:rFonts w:cs="Calibri" w:ascii="Titillium" w:hAnsi="Titillium"/>
          <w:i/>
          <w:sz w:val="18"/>
          <w:szCs w:val="18"/>
        </w:rPr>
        <w:t xml:space="preserve"> </w:t>
      </w:r>
      <w:r>
        <w:rPr>
          <w:rFonts w:cs="Calibri" w:ascii="Titillium" w:hAnsi="Titillium"/>
          <w:sz w:val="18"/>
          <w:szCs w:val="18"/>
        </w:rPr>
        <w:t xml:space="preserve">dalla data di presentazione dell’offerta; </w:t>
      </w:r>
    </w:p>
    <w:p>
      <w:pPr>
        <w:pStyle w:val="Normal"/>
        <w:numPr>
          <w:ilvl w:val="2"/>
          <w:numId w:val="20"/>
        </w:numPr>
        <w:spacing w:before="60" w:after="60"/>
        <w:ind w:hanging="284" w:left="284"/>
        <w:rPr>
          <w:rFonts w:ascii="Titillium" w:hAnsi="Titillium" w:cs="Calibri"/>
          <w:sz w:val="18"/>
          <w:szCs w:val="18"/>
        </w:rPr>
      </w:pPr>
      <w:r>
        <w:rPr>
          <w:rFonts w:cs="Calibri" w:ascii="Titillium" w:hAnsi="Titillium"/>
          <w:sz w:val="18"/>
          <w:szCs w:val="18"/>
        </w:rPr>
        <w:t xml:space="preserve">prevedere espressamente: </w:t>
      </w:r>
    </w:p>
    <w:p>
      <w:pPr>
        <w:pStyle w:val="Normal"/>
        <w:numPr>
          <w:ilvl w:val="3"/>
          <w:numId w:val="20"/>
        </w:numPr>
        <w:spacing w:before="60" w:after="60"/>
        <w:ind w:hanging="425" w:left="709"/>
        <w:rPr>
          <w:rFonts w:ascii="Titillium" w:hAnsi="Titillium" w:cs="Calibri"/>
          <w:sz w:val="18"/>
          <w:szCs w:val="18"/>
        </w:rPr>
      </w:pPr>
      <w:r>
        <w:rPr>
          <w:rFonts w:cs="Calibri" w:ascii="Titillium" w:hAnsi="Titillium"/>
          <w:sz w:val="18"/>
          <w:szCs w:val="18"/>
        </w:rPr>
        <w:t xml:space="preserve">la rinuncia al beneficio della preventiva escussione del debitore principale di cui all’articolo 1944 del Codice civile; </w:t>
      </w:r>
    </w:p>
    <w:p>
      <w:pPr>
        <w:pStyle w:val="Normal"/>
        <w:numPr>
          <w:ilvl w:val="3"/>
          <w:numId w:val="20"/>
        </w:numPr>
        <w:spacing w:before="60" w:after="60"/>
        <w:ind w:hanging="425" w:left="709"/>
        <w:rPr>
          <w:rFonts w:ascii="Titillium" w:hAnsi="Titillium" w:cs="Calibri"/>
          <w:sz w:val="18"/>
          <w:szCs w:val="18"/>
        </w:rPr>
      </w:pPr>
      <w:r>
        <w:rPr>
          <w:rFonts w:cs="Calibri" w:ascii="Titillium" w:hAnsi="Titillium"/>
          <w:sz w:val="18"/>
          <w:szCs w:val="18"/>
        </w:rPr>
        <w:t xml:space="preserve">la rinuncia ad eccepire la decorrenza dei termini di cui all’articolo 1957, secondo comma, del Codice civile; </w:t>
      </w:r>
    </w:p>
    <w:p>
      <w:pPr>
        <w:pStyle w:val="Normal"/>
        <w:numPr>
          <w:ilvl w:val="3"/>
          <w:numId w:val="20"/>
        </w:numPr>
        <w:spacing w:before="60" w:after="60"/>
        <w:ind w:hanging="425" w:left="709"/>
        <w:rPr/>
      </w:pPr>
      <w:r>
        <w:rPr>
          <w:rFonts w:cs="Calibri" w:ascii="Titillium" w:hAnsi="Titillium"/>
          <w:sz w:val="18"/>
          <w:szCs w:val="18"/>
        </w:rPr>
        <w:t xml:space="preserve">l’operatività della stessa entro quindici giorni a semplice richiesta scritta della stazione appaltante. </w:t>
      </w:r>
    </w:p>
    <w:p>
      <w:pPr>
        <w:pStyle w:val="Normal"/>
        <w:numPr>
          <w:ilvl w:val="0"/>
          <w:numId w:val="21"/>
        </w:numPr>
        <w:spacing w:before="60" w:after="60"/>
        <w:ind w:hanging="284" w:left="284"/>
        <w:rPr/>
      </w:pPr>
      <w:bookmarkStart w:id="1675" w:name="_Ref496519438"/>
      <w:r>
        <w:rPr>
          <w:rFonts w:cs="Calibri" w:ascii="Titillium" w:hAnsi="Titillium"/>
          <w:sz w:val="18"/>
          <w:szCs w:val="18"/>
        </w:rPr>
        <w:t>essere corredata dall’impegno del garante a rinnovare la garanzia ai sensi dell’articolo 106, comma 5 del Codice, su richiesta della stazione appaltante per ulteriori 180 giorni, nel caso in cui al momento della sua scadenza non sia ancora intervenuta l’aggiudicazione</w:t>
      </w:r>
      <w:bookmarkEnd w:id="1675"/>
      <w:r>
        <w:rPr>
          <w:rFonts w:cs="Calibri" w:ascii="Titillium" w:hAnsi="Titillium"/>
          <w:sz w:val="18"/>
          <w:szCs w:val="18"/>
        </w:rPr>
        <w:t>.</w:t>
      </w:r>
    </w:p>
    <w:p>
      <w:pPr>
        <w:pStyle w:val="Normal"/>
        <w:spacing w:before="120" w:after="60"/>
        <w:rPr/>
      </w:pPr>
      <w:r>
        <w:rPr>
          <w:rFonts w:cs="Calibri" w:ascii="Titillium" w:hAnsi="Titillium"/>
          <w:sz w:val="18"/>
          <w:szCs w:val="18"/>
        </w:rPr>
        <w:t xml:space="preserve">In caso di richiesta di estensione della durata e validità dell’offerta e della garanzia fideiussoria, il concorrente </w:t>
      </w:r>
      <w:r>
        <w:rPr>
          <w:rFonts w:cs="Calibri" w:ascii="Titillium" w:hAnsi="Titillium"/>
          <w:color w:themeColor="text1" w:val="000000"/>
          <w:sz w:val="18"/>
          <w:szCs w:val="18"/>
        </w:rPr>
        <w:t xml:space="preserve">potrà produrre </w:t>
      </w:r>
      <w:r>
        <w:rPr>
          <w:rFonts w:cs="Calibri" w:ascii="Titillium" w:hAnsi="Titillium"/>
          <w:sz w:val="18"/>
          <w:szCs w:val="18"/>
        </w:rPr>
        <w:t>nelle medesime forme di cui sopra una nuova garanzia provvisoria del medesimo o di altro garante, in sostituzione della precedente, a condizione che abbia espressa decorrenza dalla data di presentazione dell’offerta.</w:t>
      </w:r>
    </w:p>
    <w:p>
      <w:pPr>
        <w:pStyle w:val="Normal"/>
        <w:spacing w:before="60" w:after="60"/>
        <w:rPr>
          <w:rFonts w:ascii="Titillium" w:hAnsi="Titillium" w:cs="Calibri"/>
          <w:sz w:val="18"/>
          <w:szCs w:val="18"/>
        </w:rPr>
      </w:pPr>
      <w:r>
        <w:rPr>
          <w:rFonts w:cs="Calibri" w:ascii="Titillium" w:hAnsi="Titillium"/>
          <w:sz w:val="18"/>
          <w:szCs w:val="18"/>
        </w:rPr>
        <w:t>Ai sensi dell’articolo 106, comma 8, del Codice l’importo della garanzia è ridotto nei termini di seguito indicati.</w:t>
      </w:r>
    </w:p>
    <w:p>
      <w:pPr>
        <w:pStyle w:val="ListParagraph"/>
        <w:numPr>
          <w:ilvl w:val="1"/>
          <w:numId w:val="30"/>
        </w:numPr>
        <w:spacing w:before="60" w:after="60"/>
        <w:ind w:hanging="360" w:left="284"/>
        <w:contextualSpacing w:val="false"/>
        <w:rPr>
          <w:rFonts w:ascii="Titillium" w:hAnsi="Titillium" w:cs="Calibri"/>
          <w:sz w:val="18"/>
          <w:szCs w:val="18"/>
        </w:rPr>
      </w:pPr>
      <w:r>
        <w:rPr>
          <w:rFonts w:cs="Calibri" w:ascii="Titillium" w:hAnsi="Titillium"/>
          <w:sz w:val="18"/>
          <w:szCs w:val="18"/>
        </w:rPr>
        <w:t>Riduzione del 30% in caso di possesso della certificazione di qualità conforme alle norme europee della serie UNI CEI ISO 9000. In caso di partecipazione in forma associata, la riduzione si ottiene:</w:t>
      </w:r>
    </w:p>
    <w:p>
      <w:pPr>
        <w:pStyle w:val="ListParagraph"/>
        <w:numPr>
          <w:ilvl w:val="1"/>
          <w:numId w:val="22"/>
        </w:numPr>
        <w:spacing w:before="60" w:after="60"/>
        <w:ind w:hanging="284" w:left="567"/>
        <w:contextualSpacing w:val="false"/>
        <w:rPr>
          <w:rFonts w:ascii="Titillium" w:hAnsi="Titillium" w:cs="Calibri"/>
          <w:sz w:val="18"/>
          <w:szCs w:val="18"/>
        </w:rPr>
      </w:pPr>
      <w:r>
        <w:rPr>
          <w:rFonts w:cs="Calibri" w:ascii="Titillium" w:hAnsi="Titillium"/>
          <w:sz w:val="18"/>
          <w:szCs w:val="18"/>
        </w:rPr>
        <w:t>per i soggetti di cui all’articolo 65, comma 2, lettere e), f), g), h) del Codice solo se tutti soggetti i che costituiscono il raggruppamento, consorzio ordinario o GEIE, o tutte le imprese retiste che partecipano alla gara siano in possesso della certificazione;</w:t>
      </w:r>
    </w:p>
    <w:p>
      <w:pPr>
        <w:pStyle w:val="ListParagraph"/>
        <w:numPr>
          <w:ilvl w:val="1"/>
          <w:numId w:val="22"/>
        </w:numPr>
        <w:spacing w:before="60" w:after="60"/>
        <w:ind w:hanging="284" w:left="567"/>
        <w:contextualSpacing w:val="false"/>
        <w:rPr>
          <w:rFonts w:ascii="Titillium" w:hAnsi="Titillium" w:cs="Calibri"/>
          <w:sz w:val="18"/>
          <w:szCs w:val="18"/>
        </w:rPr>
      </w:pPr>
      <w:r>
        <w:rPr>
          <w:rFonts w:cs="Calibri" w:ascii="Titillium" w:hAnsi="Titillium"/>
          <w:sz w:val="18"/>
          <w:szCs w:val="18"/>
        </w:rPr>
        <w:t>per i consorzi di cui all’articolo 65, comma 2, lettere b, c) e d) del Codice se il consorzio o almeno una delle imprese consorziate sia in possesso della certificazione.</w:t>
      </w:r>
    </w:p>
    <w:p>
      <w:pPr>
        <w:pStyle w:val="ListParagraph"/>
        <w:numPr>
          <w:ilvl w:val="1"/>
          <w:numId w:val="30"/>
        </w:numPr>
        <w:spacing w:before="60" w:after="60"/>
        <w:ind w:hanging="360" w:left="284"/>
        <w:contextualSpacing w:val="false"/>
        <w:rPr>
          <w:rFonts w:ascii="Titillium" w:hAnsi="Titillium" w:cs="Calibri"/>
          <w:sz w:val="18"/>
          <w:szCs w:val="18"/>
        </w:rPr>
      </w:pPr>
      <w:r>
        <w:rPr>
          <w:rFonts w:cs="Calibri" w:ascii="Titillium" w:hAnsi="Titillium"/>
          <w:sz w:val="18"/>
          <w:szCs w:val="18"/>
        </w:rPr>
        <w:t>Riduzione del 50% in caso di partecipazione di micro, piccole e medie imprese e di raggruppamenti di operatori economici o consorzi ordinari costituiti esclusivamente da micro, piccole e medie imprese. Tale riduzione non è cumulabile con quella indicata alla lett. a).</w:t>
      </w:r>
    </w:p>
    <w:p>
      <w:pPr>
        <w:pStyle w:val="ListParagraph"/>
        <w:numPr>
          <w:ilvl w:val="1"/>
          <w:numId w:val="30"/>
        </w:numPr>
        <w:spacing w:before="60" w:after="60"/>
        <w:ind w:hanging="360" w:left="284"/>
        <w:contextualSpacing w:val="false"/>
        <w:rPr>
          <w:rFonts w:ascii="Titillium" w:hAnsi="Titillium" w:cs="Calibri"/>
          <w:sz w:val="18"/>
          <w:szCs w:val="18"/>
        </w:rPr>
      </w:pPr>
      <w:r>
        <w:rPr>
          <w:rFonts w:cs="Calibri" w:ascii="Titillium" w:hAnsi="Titillium"/>
          <w:sz w:val="18"/>
          <w:szCs w:val="18"/>
        </w:rPr>
        <w:t>Riduzione del 10% cumulabile con quelle di cui alle precedenti lettere a) e b) in caso di presentazione di garanzie fideiussorie:</w:t>
      </w:r>
    </w:p>
    <w:p>
      <w:pPr>
        <w:pStyle w:val="ListParagraph"/>
        <w:numPr>
          <w:ilvl w:val="0"/>
          <w:numId w:val="31"/>
        </w:numPr>
        <w:spacing w:before="60" w:after="60"/>
        <w:ind w:hanging="283" w:left="567"/>
        <w:contextualSpacing w:val="false"/>
        <w:rPr>
          <w:rFonts w:ascii="Titillium" w:hAnsi="Titillium" w:cs="Calibri"/>
          <w:sz w:val="18"/>
          <w:szCs w:val="18"/>
        </w:rPr>
      </w:pPr>
      <w:r>
        <w:rPr>
          <w:rFonts w:cs="Calibri" w:ascii="Titillium" w:hAnsi="Titillium"/>
          <w:sz w:val="18"/>
          <w:szCs w:val="18"/>
        </w:rPr>
        <w:t>gestite mediante ricorso a piattaforme telematiche operanti con tecnologie basate su registri distribuiti</w:t>
      </w:r>
      <w:r>
        <w:rPr>
          <w:rFonts w:cs="Calibri" w:ascii="Calibri" w:hAnsi="Calibri"/>
          <w:sz w:val="18"/>
          <w:szCs w:val="18"/>
        </w:rPr>
        <w:t>;</w:t>
      </w:r>
    </w:p>
    <w:p>
      <w:pPr>
        <w:pStyle w:val="ListParagraph"/>
        <w:numPr>
          <w:ilvl w:val="0"/>
          <w:numId w:val="31"/>
        </w:numPr>
        <w:spacing w:before="60" w:after="60"/>
        <w:ind w:hanging="283" w:left="567"/>
        <w:contextualSpacing w:val="false"/>
        <w:rPr>
          <w:rFonts w:ascii="Titillium" w:hAnsi="Titillium" w:cs="Calibri"/>
          <w:sz w:val="18"/>
          <w:szCs w:val="18"/>
        </w:rPr>
      </w:pPr>
      <w:r>
        <w:rPr>
          <w:rFonts w:cs="Calibri" w:ascii="Titillium" w:hAnsi="Titillium"/>
          <w:sz w:val="18"/>
          <w:szCs w:val="18"/>
        </w:rPr>
        <w:t>verificabili telematicamente sul sito internet dell'emittente.</w:t>
      </w:r>
    </w:p>
    <w:p>
      <w:pPr>
        <w:pStyle w:val="ListParagraph"/>
        <w:numPr>
          <w:ilvl w:val="1"/>
          <w:numId w:val="30"/>
        </w:numPr>
        <w:spacing w:before="60" w:after="60"/>
        <w:ind w:hanging="360" w:left="284"/>
        <w:contextualSpacing w:val="false"/>
        <w:rPr>
          <w:rFonts w:ascii="Titillium" w:hAnsi="Titillium" w:cs="Calibri"/>
          <w:sz w:val="18"/>
          <w:szCs w:val="18"/>
        </w:rPr>
      </w:pPr>
      <w:r>
        <w:rPr>
          <w:rFonts w:cs="Calibri" w:ascii="Titillium" w:hAnsi="Titillium"/>
          <w:sz w:val="18"/>
          <w:szCs w:val="18"/>
        </w:rPr>
        <w:t>Riduzione del 20 % in caso di possesso di una o più delle certificazioni/marchi tra quelle indicate all’allegato II.13 del codice. Tale riduzione è cumulabile con quelle indicate alle lett. a), b) e c). In caso di partecipazione in forma associata la riduzione si ottiene:</w:t>
      </w:r>
    </w:p>
    <w:p>
      <w:pPr>
        <w:pStyle w:val="ListParagraph"/>
        <w:numPr>
          <w:ilvl w:val="1"/>
          <w:numId w:val="22"/>
        </w:numPr>
        <w:spacing w:before="60" w:after="60"/>
        <w:ind w:hanging="284" w:left="567"/>
        <w:contextualSpacing w:val="false"/>
        <w:rPr>
          <w:rFonts w:ascii="Titillium" w:hAnsi="Titillium" w:cs="Calibri"/>
          <w:sz w:val="18"/>
          <w:szCs w:val="18"/>
        </w:rPr>
      </w:pPr>
      <w:r>
        <w:rPr>
          <w:rFonts w:cs="Calibri" w:ascii="Titillium" w:hAnsi="Titillium"/>
          <w:sz w:val="18"/>
          <w:szCs w:val="18"/>
        </w:rPr>
        <w:t>per i soggetti di cui all’articolo 65, comma 2, lettere e), f), g), h) del Codice se uno dei soggetti che costituiscono il raggruppamento, consorzio ordinario o GEIE, o una delle imprese retiste che partecipano alla gara sia in possesso della certificazione;</w:t>
      </w:r>
    </w:p>
    <w:p>
      <w:pPr>
        <w:pStyle w:val="ListParagraph"/>
        <w:numPr>
          <w:ilvl w:val="1"/>
          <w:numId w:val="22"/>
        </w:numPr>
        <w:spacing w:before="60" w:after="60"/>
        <w:ind w:hanging="284" w:left="567"/>
        <w:contextualSpacing w:val="false"/>
        <w:rPr>
          <w:rFonts w:ascii="Titillium" w:hAnsi="Titillium" w:cs="Calibri"/>
          <w:sz w:val="18"/>
          <w:szCs w:val="18"/>
        </w:rPr>
      </w:pPr>
      <w:r>
        <w:rPr>
          <w:rFonts w:cs="Calibri" w:ascii="Titillium" w:hAnsi="Titillium"/>
          <w:sz w:val="18"/>
          <w:szCs w:val="18"/>
        </w:rPr>
        <w:t xml:space="preserve">per i consorzi di cui all’articolo 65, comma 2, lettere b), c), d) del Codice se il consorzio o una delle consorziate sia in possesso della certificazione. </w:t>
      </w:r>
    </w:p>
    <w:p>
      <w:pPr>
        <w:pStyle w:val="Normal"/>
        <w:spacing w:before="60" w:after="60"/>
        <w:rPr>
          <w:rFonts w:ascii="Titillium" w:hAnsi="Titillium" w:cs="Calibri"/>
          <w:sz w:val="18"/>
          <w:szCs w:val="18"/>
        </w:rPr>
      </w:pPr>
      <w:r>
        <w:rPr>
          <w:rFonts w:cs="Calibri" w:ascii="Titillium" w:hAnsi="Titillium"/>
          <w:sz w:val="18"/>
          <w:szCs w:val="18"/>
        </w:rPr>
        <w:t>Per fruire delle riduzioni di cui all’articolo 106, comma 8 del Codice, il concorrente dichiara nella domanda di partecipazione il possesso delle certificazioni e inserisce copia delle certificazioni possedute qualora non già presenti nel fascicolo virtuale.</w:t>
      </w:r>
    </w:p>
    <w:p>
      <w:pPr>
        <w:pStyle w:val="Normal"/>
        <w:spacing w:before="60" w:after="60"/>
        <w:rPr/>
      </w:pPr>
      <w:r>
        <w:rPr/>
      </w:r>
    </w:p>
    <w:p>
      <w:pPr>
        <w:pStyle w:val="Heading2"/>
        <w:numPr>
          <w:ilvl w:val="0"/>
          <w:numId w:val="3"/>
        </w:numPr>
        <w:rPr/>
      </w:pPr>
      <w:bookmarkStart w:id="1676" w:name="__RefHeading___Toc11718_2735037374"/>
      <w:bookmarkStart w:id="1677" w:name="_Toc207275743"/>
      <w:bookmarkEnd w:id="1676"/>
      <w:r>
        <w:rPr/>
        <w:t xml:space="preserve">SOPRALLUOGO </w:t>
      </w:r>
      <w:bookmarkEnd w:id="1677"/>
    </w:p>
    <w:p>
      <w:pPr>
        <w:pStyle w:val="Normal"/>
        <w:rPr>
          <w:rFonts w:ascii="Titillium" w:hAnsi="Titillium" w:cs="Calibri"/>
          <w:sz w:val="18"/>
          <w:szCs w:val="18"/>
        </w:rPr>
      </w:pPr>
      <w:r>
        <w:rPr>
          <w:rFonts w:cs="Calibri" w:ascii="Titillium" w:hAnsi="Titillium"/>
          <w:sz w:val="18"/>
          <w:szCs w:val="18"/>
        </w:rPr>
        <w:t>Non previsto.</w:t>
      </w:r>
      <w:bookmarkStart w:id="1678" w:name="_Toc207275744"/>
    </w:p>
    <w:p>
      <w:pPr>
        <w:pStyle w:val="Heading2"/>
        <w:numPr>
          <w:ilvl w:val="0"/>
          <w:numId w:val="3"/>
        </w:numPr>
        <w:rPr/>
      </w:pPr>
      <w:bookmarkStart w:id="1679" w:name="__RefHeading___Toc11720_2735037374"/>
      <w:bookmarkEnd w:id="1679"/>
      <w:r>
        <w:rPr/>
        <w:t>PAGAMENTO DEL CONTRIBUTO A FAVORE DELL’</w:t>
      </w:r>
      <w:r>
        <w:rPr>
          <w:rFonts w:cs="Calibri"/>
        </w:rPr>
        <w:t>ANAC</w:t>
      </w:r>
      <w:bookmarkStart w:id="1680" w:name="_Toc354038185"/>
      <w:bookmarkStart w:id="1681" w:name="_Toc380501872"/>
      <w:bookmarkStart w:id="1682" w:name="_Toc391035985"/>
      <w:bookmarkStart w:id="1683" w:name="_Toc391036058"/>
      <w:bookmarkStart w:id="1684" w:name="_Toc392577499"/>
      <w:bookmarkStart w:id="1685" w:name="_Toc393110566"/>
      <w:bookmarkStart w:id="1686" w:name="_Toc393112130"/>
      <w:bookmarkStart w:id="1687" w:name="_Toc393187847"/>
      <w:bookmarkStart w:id="1688" w:name="_Toc393272603"/>
      <w:bookmarkStart w:id="1689" w:name="_Toc393272661"/>
      <w:bookmarkStart w:id="1690" w:name="_Toc393283177"/>
      <w:bookmarkStart w:id="1691" w:name="_Toc393700836"/>
      <w:bookmarkStart w:id="1692" w:name="_Toc393706909"/>
      <w:bookmarkStart w:id="1693" w:name="_Toc397346824"/>
      <w:bookmarkStart w:id="1694" w:name="_Toc397422865"/>
      <w:bookmarkStart w:id="1695" w:name="_Toc403471272"/>
      <w:bookmarkStart w:id="1696" w:name="_Toc406058378"/>
      <w:bookmarkStart w:id="1697" w:name="_Toc406754179"/>
      <w:bookmarkStart w:id="1698" w:name="_Toc416423364"/>
      <w:bookmarkEnd w:id="1678"/>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ormal"/>
        <w:spacing w:before="60" w:after="60"/>
        <w:rPr>
          <w:rFonts w:ascii="Titillium" w:hAnsi="Titillium"/>
          <w:iCs/>
          <w:sz w:val="18"/>
          <w:szCs w:val="18"/>
        </w:rPr>
      </w:pPr>
      <w:r>
        <w:rPr>
          <w:rFonts w:cs="Calibri" w:ascii="Titillium" w:hAnsi="Titillium"/>
          <w:sz w:val="18"/>
          <w:szCs w:val="18"/>
        </w:rPr>
        <w:t xml:space="preserve">I concorrenti effettuano il pagamento del contributo previsto dalla legge in favore dell’Autorità Nazionale Anticorruzione per un importo pari a </w:t>
      </w:r>
      <w:r>
        <w:rPr>
          <w:rFonts w:cs="Calibri" w:ascii="Titillium" w:hAnsi="Titillium"/>
          <w:b/>
          <w:bCs/>
          <w:sz w:val="18"/>
          <w:szCs w:val="18"/>
        </w:rPr>
        <w:t>€ 33,00</w:t>
      </w:r>
      <w:r>
        <w:rPr>
          <w:rFonts w:cs="Calibri" w:ascii="Titillium" w:hAnsi="Titillium"/>
          <w:sz w:val="18"/>
          <w:szCs w:val="18"/>
        </w:rPr>
        <w:t xml:space="preserve"> secondo le modalità di cui alla delibera ANAC </w:t>
      </w:r>
      <w:r>
        <w:rPr>
          <w:rFonts w:cs="Calibri" w:ascii="Titillium" w:hAnsi="Titillium"/>
          <w:iCs/>
          <w:sz w:val="18"/>
          <w:szCs w:val="18"/>
        </w:rPr>
        <w:t xml:space="preserve">n. 598 del 30 dicembre 2024 </w:t>
      </w:r>
      <w:r>
        <w:rPr>
          <w:rFonts w:ascii="Titillium" w:hAnsi="Titillium"/>
          <w:iCs/>
          <w:sz w:val="18"/>
          <w:szCs w:val="18"/>
        </w:rPr>
        <w:t xml:space="preserve">o successiva delibera pubblicata al seguente </w:t>
      </w:r>
      <w:hyperlink r:id="rId4">
        <w:r>
          <w:rPr>
            <w:rStyle w:val="Hyperlink"/>
            <w:rFonts w:ascii="Titillium" w:hAnsi="Titillium"/>
            <w:iCs/>
            <w:sz w:val="18"/>
            <w:szCs w:val="18"/>
          </w:rPr>
          <w:t>https://www.anticorruzione.it/-/gestione-contributi-gara</w:t>
        </w:r>
      </w:hyperlink>
      <w:r>
        <w:rPr>
          <w:rFonts w:ascii="Titillium" w:hAnsi="Titillium"/>
          <w:iCs/>
          <w:sz w:val="18"/>
          <w:szCs w:val="18"/>
        </w:rPr>
        <w:t xml:space="preserve">. </w:t>
      </w:r>
    </w:p>
    <w:p>
      <w:pPr>
        <w:pStyle w:val="Normal"/>
        <w:spacing w:before="60" w:after="60"/>
        <w:rPr>
          <w:rFonts w:ascii="Titillium" w:hAnsi="Titillium"/>
          <w:iCs/>
          <w:sz w:val="18"/>
          <w:szCs w:val="18"/>
        </w:rPr>
      </w:pPr>
      <w:r>
        <w:rPr>
          <w:rFonts w:ascii="Titillium" w:hAnsi="Titillium"/>
          <w:iCs/>
          <w:sz w:val="18"/>
          <w:szCs w:val="18"/>
        </w:rPr>
        <w:t xml:space="preserve">Il pagamento del contributo è condizione di ammissibilità dell’offerta. </w:t>
      </w:r>
    </w:p>
    <w:p>
      <w:pPr>
        <w:pStyle w:val="Normal"/>
        <w:spacing w:before="60" w:after="60"/>
        <w:rPr>
          <w:rFonts w:ascii="Titillium" w:hAnsi="Titillium"/>
          <w:iCs/>
          <w:sz w:val="18"/>
          <w:szCs w:val="18"/>
        </w:rPr>
      </w:pPr>
      <w:r>
        <w:rPr>
          <w:rFonts w:ascii="Titillium" w:hAnsi="Titillium"/>
          <w:iCs/>
          <w:sz w:val="18"/>
          <w:szCs w:val="18"/>
        </w:rPr>
        <w:t xml:space="preserve">Il pagamento è verificato prima della valutazione dell’offerta, anche in caso di inversione procedimentale. Qualora il pagamento non risulti dal sistema, la stazione appaltante può richiedere, mediante soccorso istruttorio, la regolarizzazione del pagamento. In caso di mancata regolarizzazione nel termine assegnato, l’offerta è dichiarata inammissibile.  </w:t>
      </w:r>
    </w:p>
    <w:p>
      <w:pPr>
        <w:pStyle w:val="Normal"/>
        <w:spacing w:before="60" w:after="60"/>
        <w:rPr>
          <w:rFonts w:ascii="Titillium" w:hAnsi="Titillium"/>
          <w:iCs/>
          <w:sz w:val="18"/>
          <w:szCs w:val="18"/>
        </w:rPr>
      </w:pPr>
      <w:r>
        <w:rPr>
          <w:rFonts w:ascii="Titillium" w:hAnsi="Titillium"/>
          <w:iCs/>
          <w:sz w:val="18"/>
          <w:szCs w:val="18"/>
        </w:rPr>
        <w:t xml:space="preserve">Il pagamento del contributo è condizione di ammissibilità dell’offerta. </w:t>
      </w:r>
    </w:p>
    <w:p>
      <w:pPr>
        <w:pStyle w:val="Normal"/>
        <w:spacing w:before="60" w:after="60"/>
        <w:rPr>
          <w:rFonts w:ascii="Titillium" w:hAnsi="Titillium"/>
          <w:iCs/>
          <w:sz w:val="18"/>
          <w:szCs w:val="18"/>
        </w:rPr>
      </w:pPr>
      <w:r>
        <w:rPr>
          <w:rFonts w:ascii="Titillium" w:hAnsi="Titillium"/>
          <w:iCs/>
          <w:sz w:val="18"/>
          <w:szCs w:val="18"/>
        </w:rPr>
        <w:t xml:space="preserve">Il pagamento è verificato prima della valutazione dell’offerta, anche in caso di inversione procedimentale. Qualora il pagamento non risulti dal sistema, la stazione appaltante può richiedere, mediante soccorso istruttorio, la regolarizzazione del pagamento. In caso di mancata regolarizzazione nel termine assegnato, l’offerta è dichiarata inammissibile.  </w:t>
      </w:r>
    </w:p>
    <w:p>
      <w:pPr>
        <w:pStyle w:val="Normal"/>
        <w:spacing w:before="60" w:after="60"/>
        <w:rPr>
          <w:rFonts w:ascii="Titillium" w:hAnsi="Titillium" w:cs="Calibri"/>
          <w:sz w:val="18"/>
          <w:szCs w:val="18"/>
        </w:rPr>
      </w:pPr>
      <w:r>
        <w:rPr>
          <w:rFonts w:cs="Calibri" w:ascii="Titillium" w:hAnsi="Titillium"/>
          <w:sz w:val="18"/>
          <w:szCs w:val="18"/>
        </w:rPr>
      </w:r>
    </w:p>
    <w:tbl>
      <w:tblPr>
        <w:tblW w:w="9210" w:type="dxa"/>
        <w:jc w:val="left"/>
        <w:tblInd w:w="5" w:type="dxa"/>
        <w:tblLayout w:type="fixed"/>
        <w:tblCellMar>
          <w:top w:w="0" w:type="dxa"/>
          <w:left w:w="108" w:type="dxa"/>
          <w:bottom w:w="0" w:type="dxa"/>
          <w:right w:w="108" w:type="dxa"/>
        </w:tblCellMar>
        <w:tblLook w:val="04a0" w:firstRow="1" w:noVBand="1" w:lastRow="0" w:firstColumn="1" w:lastColumn="0" w:noHBand="0"/>
      </w:tblPr>
      <w:tblGrid>
        <w:gridCol w:w="9210"/>
      </w:tblGrid>
      <w:tr>
        <w:trPr/>
        <w:tc>
          <w:tcPr>
            <w:tcW w:w="921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tillium" w:hAnsi="Titillium"/>
                <w:i/>
                <w:sz w:val="18"/>
                <w:szCs w:val="18"/>
              </w:rPr>
            </w:pPr>
            <w:r>
              <w:rPr>
                <w:rFonts w:cs="Calibri" w:ascii="Titillium" w:hAnsi="Titillium"/>
                <w:i/>
                <w:sz w:val="18"/>
                <w:szCs w:val="18"/>
              </w:rPr>
              <w:t xml:space="preserve">N.B. Indicazioni operative sulle modalità di pagamento del contributo sono disponibili sul sito dell’Autorità Nazionale Anticorruzione al seguente link: </w:t>
            </w:r>
            <w:hyperlink r:id="rId5">
              <w:r>
                <w:rPr>
                  <w:rStyle w:val="Hyperlink"/>
                  <w:rFonts w:ascii="Titillium" w:hAnsi="Titillium"/>
                  <w:i/>
                  <w:sz w:val="18"/>
                  <w:szCs w:val="18"/>
                </w:rPr>
                <w:t>https://www.anticorruzione.it/-/portale-dei-pagamenti-di-anac</w:t>
              </w:r>
            </w:hyperlink>
          </w:p>
          <w:p>
            <w:pPr>
              <w:pStyle w:val="Normal"/>
              <w:spacing w:before="60" w:after="60"/>
              <w:rPr>
                <w:rFonts w:ascii="Titillium" w:hAnsi="Titillium" w:cs="Calibri"/>
                <w:i/>
                <w:sz w:val="18"/>
                <w:szCs w:val="18"/>
              </w:rPr>
            </w:pPr>
            <w:r>
              <w:rPr>
                <w:rFonts w:cs="Calibri" w:ascii="Titillium" w:hAnsi="Titillium"/>
                <w:i/>
                <w:sz w:val="18"/>
                <w:szCs w:val="18"/>
              </w:rPr>
              <w:t>L'importo del contributo è calcolato sul valore stimato d'appalto comprensivo delle eventuali opzioni contrattuali previste nella documentazione di gara.</w:t>
            </w:r>
          </w:p>
        </w:tc>
      </w:tr>
    </w:tbl>
    <w:p>
      <w:pPr>
        <w:pStyle w:val="Normal"/>
        <w:spacing w:before="60" w:after="60"/>
        <w:rPr>
          <w:rFonts w:ascii="Titillium" w:hAnsi="Titillium" w:cs="Calibri"/>
          <w:sz w:val="18"/>
          <w:szCs w:val="18"/>
        </w:rPr>
      </w:pPr>
      <w:r>
        <w:rPr>
          <w:rFonts w:cs="Calibri" w:ascii="Titillium" w:hAnsi="Titillium"/>
          <w:sz w:val="18"/>
          <w:szCs w:val="18"/>
        </w:rPr>
      </w:r>
    </w:p>
    <w:p>
      <w:pPr>
        <w:pStyle w:val="Heading2"/>
        <w:numPr>
          <w:ilvl w:val="0"/>
          <w:numId w:val="3"/>
        </w:numPr>
        <w:rPr/>
      </w:pPr>
      <w:bookmarkStart w:id="1699" w:name="__RefHeading___Toc11722_2735037374"/>
      <w:bookmarkStart w:id="1700" w:name="_Toc207275745"/>
      <w:bookmarkStart w:id="1701" w:name="_Ref498595281"/>
      <w:bookmarkEnd w:id="1699"/>
      <w:r>
        <w:rPr/>
        <w:t>MODALITÀ DI PRESENTAZIONE DELL’OFFERTA E SOTTOSCRIZIONE DEI DOCUMENTI DI GARA</w:t>
      </w:r>
      <w:bookmarkEnd w:id="1700"/>
      <w:bookmarkEnd w:id="1701"/>
      <w:r>
        <w:rPr/>
        <w:t xml:space="preserve"> </w:t>
      </w:r>
    </w:p>
    <w:p>
      <w:pPr>
        <w:pStyle w:val="Normal"/>
        <w:tabs>
          <w:tab w:val="clear" w:pos="708"/>
          <w:tab w:val="left" w:pos="360" w:leader="none"/>
        </w:tabs>
        <w:spacing w:before="60" w:after="60"/>
        <w:rPr>
          <w:rFonts w:ascii="Titillium" w:hAnsi="Titillium"/>
          <w:sz w:val="18"/>
          <w:szCs w:val="18"/>
        </w:rPr>
      </w:pPr>
      <w:r>
        <w:rPr>
          <w:rFonts w:cs="Calibri" w:ascii="Titillium" w:hAnsi="Titillium"/>
          <w:bCs/>
          <w:iCs/>
          <w:sz w:val="18"/>
          <w:szCs w:val="18"/>
        </w:rPr>
        <w:t xml:space="preserve">L’offerta e la documentazione relativa alla procedura devono essere presentate </w:t>
      </w:r>
      <w:r>
        <w:rPr>
          <w:rFonts w:cs="Calibri" w:ascii="Titillium" w:hAnsi="Titillium"/>
          <w:sz w:val="18"/>
          <w:szCs w:val="18"/>
        </w:rPr>
        <w:t xml:space="preserve">esclusivamente attraverso la PAD. Non sono considerate valide le offerte presentate attraverso modalità diverse da quelle previste nel presente disciplinare. L’offerta </w:t>
      </w:r>
      <w:r>
        <w:rPr>
          <w:rFonts w:cs="Calibri" w:ascii="Titillium" w:hAnsi="Titillium"/>
          <w:bCs/>
          <w:iCs/>
          <w:sz w:val="18"/>
          <w:szCs w:val="18"/>
        </w:rPr>
        <w:t>deve essere sottoscritta con firma digitale o altra firma elettronica qualificata o firma elettronica avanzata.</w:t>
      </w:r>
    </w:p>
    <w:p>
      <w:pPr>
        <w:pStyle w:val="Normal"/>
        <w:spacing w:before="60" w:after="60"/>
        <w:rPr>
          <w:rFonts w:ascii="Titillium" w:hAnsi="Titillium" w:cs="Calibri"/>
          <w:sz w:val="18"/>
          <w:szCs w:val="18"/>
        </w:rPr>
      </w:pPr>
      <w:r>
        <w:rPr>
          <w:rFonts w:cs="Calibri" w:ascii="Titillium" w:hAnsi="Titillium"/>
          <w:sz w:val="18"/>
          <w:szCs w:val="18"/>
        </w:rPr>
        <w:t xml:space="preserve">Le dichiarazioni sostitutive si redigono ai sensi degli articoli 19, 46 e 47 del decreto del Presidente della Repubblica n.  445/2000. </w:t>
      </w:r>
    </w:p>
    <w:p>
      <w:pPr>
        <w:pStyle w:val="Normal"/>
        <w:spacing w:before="60" w:after="60"/>
        <w:rPr/>
      </w:pPr>
      <w:r>
        <w:rPr>
          <w:rFonts w:cs="Calibri" w:ascii="Titillium" w:hAnsi="Titillium"/>
          <w:sz w:val="18"/>
          <w:szCs w:val="18"/>
        </w:rPr>
        <w:t xml:space="preserve">La documentazione presentata in copia viene prodotta ai sensi del decreto legislativo n. 82/05. </w:t>
      </w:r>
    </w:p>
    <w:p>
      <w:pPr>
        <w:pStyle w:val="Normal"/>
        <w:tabs>
          <w:tab w:val="clear" w:pos="708"/>
          <w:tab w:val="left" w:pos="360" w:leader="none"/>
        </w:tabs>
        <w:spacing w:before="60" w:after="60"/>
        <w:rPr>
          <w:rFonts w:ascii="Titillium" w:hAnsi="Titillium" w:cs="Calibri"/>
          <w:sz w:val="18"/>
          <w:szCs w:val="18"/>
        </w:rPr>
      </w:pPr>
      <w:r>
        <w:rPr>
          <w:rFonts w:cs="Calibri" w:ascii="Titillium" w:hAnsi="Titillium"/>
          <w:bCs/>
          <w:iCs/>
          <w:sz w:val="18"/>
          <w:szCs w:val="18"/>
        </w:rPr>
        <w:t>L’offerta deve pervenire</w:t>
      </w:r>
      <w:r>
        <w:rPr>
          <w:rFonts w:cs="Calibri" w:ascii="Titillium" w:hAnsi="Titillium"/>
          <w:sz w:val="18"/>
          <w:szCs w:val="18"/>
        </w:rPr>
        <w:t xml:space="preserve"> entro e non oltre quanto indicato dalla Piattaforma a pena di irricevibilità</w:t>
      </w:r>
      <w:r>
        <w:rPr>
          <w:rFonts w:ascii="Titillium" w:hAnsi="Titillium"/>
          <w:sz w:val="18"/>
          <w:szCs w:val="18"/>
        </w:rPr>
        <w:t>.</w:t>
      </w:r>
      <w:r>
        <w:rPr>
          <w:rFonts w:cs="Calibri" w:ascii="Titillium" w:hAnsi="Titillium"/>
          <w:sz w:val="18"/>
          <w:szCs w:val="18"/>
        </w:rPr>
        <w:t xml:space="preserve"> La PAD non accetta offerte presentate dopo la data e l’orario stabiliti come termine ultimo di presentazione dell’offerta.</w:t>
      </w:r>
    </w:p>
    <w:p>
      <w:pPr>
        <w:pStyle w:val="Normal"/>
        <w:spacing w:before="60" w:after="60"/>
        <w:rPr/>
      </w:pPr>
      <w:r>
        <w:rPr>
          <w:rFonts w:ascii="Titillium" w:hAnsi="Titillium"/>
          <w:iCs/>
          <w:sz w:val="18"/>
          <w:szCs w:val="18"/>
        </w:rPr>
        <w:t>Per l’individuazione di</w:t>
      </w:r>
      <w:r>
        <w:rPr>
          <w:rFonts w:cs="Calibri" w:ascii="Titillium" w:hAnsi="Titillium"/>
          <w:bCs/>
          <w:iCs/>
          <w:sz w:val="18"/>
          <w:szCs w:val="18"/>
        </w:rPr>
        <w:t xml:space="preserve"> data e ora di arrivo dell’offerta fa fede l’orario registrato dalla PAD.</w:t>
      </w:r>
    </w:p>
    <w:p>
      <w:pPr>
        <w:pStyle w:val="Normal"/>
        <w:widowControl w:val="false"/>
        <w:spacing w:lineRule="exact" w:line="280" w:before="60" w:after="60"/>
        <w:rPr/>
      </w:pPr>
      <w:r>
        <w:rPr>
          <w:rFonts w:cs="Calibri" w:ascii="Titillium" w:hAnsi="Titillium"/>
          <w:color w:val="000000"/>
          <w:sz w:val="18"/>
          <w:szCs w:val="18"/>
        </w:rPr>
        <w:t>Le operazioni di inserimento sulla PAD di tutta la documentazione richiesta rimangono ad esclusivo rischio del concorrente. Si invitano pertanto i concorrenti ad avviare tali attività con congruo anticipo rispetto alla scadenza prevista onde evitare la non completa e quindi mancata trasmissione dell’offerta entro il termine previsto.</w:t>
      </w:r>
      <w:r>
        <w:rPr>
          <w:rFonts w:cs="Calibri" w:ascii="Titillium" w:hAnsi="Titillium"/>
          <w:bCs/>
          <w:iCs/>
          <w:sz w:val="18"/>
          <w:szCs w:val="18"/>
        </w:rPr>
        <w:t xml:space="preserve"> </w:t>
      </w:r>
    </w:p>
    <w:p>
      <w:pPr>
        <w:pStyle w:val="Normal"/>
        <w:widowControl w:val="false"/>
        <w:spacing w:lineRule="exact" w:line="280" w:before="60" w:after="60"/>
        <w:rPr/>
      </w:pPr>
      <w:r>
        <w:rPr>
          <w:rFonts w:cs="Calibri" w:ascii="Titillium" w:hAnsi="Titillium"/>
          <w:bCs/>
          <w:iCs/>
          <w:sz w:val="18"/>
          <w:szCs w:val="18"/>
        </w:rPr>
        <w:t xml:space="preserve">Qualora si verifichi un mancato funzionamento o un malfunzionamento della PAD si applica quanto previsto al paragrafo </w:t>
      </w:r>
      <w:r>
        <w:rPr>
          <w:rFonts w:cs="Calibri" w:ascii="Titillium" w:hAnsi="Titillium"/>
          <w:bCs/>
          <w:iCs/>
          <w:sz w:val="18"/>
          <w:szCs w:val="18"/>
        </w:rPr>
        <w:fldChar w:fldCharType="begin"/>
      </w:r>
      <w:r>
        <w:rPr>
          <w:rFonts w:cs="Calibri" w:ascii="Titillium" w:hAnsi="Titillium"/>
          <w:bCs/>
          <w:iCs/>
          <w:sz w:val="18"/>
          <w:szCs w:val="18"/>
        </w:rPr>
        <w:instrText xml:space="preserve"> REF _Ref132303729 \r \r \h </w:instrText>
      </w:r>
      <w:r>
        <w:rPr>
          <w:rFonts w:cs="Calibri" w:ascii="Titillium" w:hAnsi="Titillium"/>
          <w:bCs/>
          <w:iCs/>
          <w:sz w:val="18"/>
          <w:szCs w:val="18"/>
        </w:rPr>
        <w:fldChar w:fldCharType="separate"/>
      </w:r>
      <w:r>
        <w:rPr>
          <w:rFonts w:cs="Calibri" w:ascii="Titillium" w:hAnsi="Titillium"/>
          <w:bCs/>
          <w:iCs/>
          <w:sz w:val="18"/>
          <w:szCs w:val="18"/>
        </w:rPr>
        <w:t>1.1</w:t>
      </w:r>
      <w:r>
        <w:rPr>
          <w:rFonts w:cs="Calibri" w:ascii="Titillium" w:hAnsi="Titillium"/>
          <w:bCs/>
          <w:iCs/>
          <w:sz w:val="18"/>
          <w:szCs w:val="18"/>
        </w:rPr>
        <w:fldChar w:fldCharType="end"/>
      </w:r>
      <w:r>
        <w:rPr>
          <w:rFonts w:cs="Calibri" w:ascii="Titillium" w:hAnsi="Titillium"/>
          <w:bCs/>
          <w:iCs/>
          <w:sz w:val="18"/>
          <w:szCs w:val="18"/>
        </w:rPr>
        <w:t>.</w:t>
      </w:r>
    </w:p>
    <w:p>
      <w:pPr>
        <w:pStyle w:val="Normal"/>
        <w:tabs>
          <w:tab w:val="clear" w:pos="708"/>
          <w:tab w:val="left" w:pos="360" w:leader="none"/>
        </w:tabs>
        <w:spacing w:before="60" w:after="60"/>
        <w:rPr>
          <w:rFonts w:ascii="Titillium" w:hAnsi="Titillium" w:cs="Calibri"/>
          <w:bCs/>
          <w:i/>
          <w:iCs/>
          <w:sz w:val="18"/>
          <w:szCs w:val="18"/>
        </w:rPr>
      </w:pPr>
      <w:r>
        <w:rPr>
          <w:rFonts w:cs="Calibri" w:ascii="Titillium" w:hAnsi="Titillium"/>
          <w:bCs/>
          <w:iCs/>
          <w:sz w:val="18"/>
          <w:szCs w:val="18"/>
        </w:rPr>
        <w:t xml:space="preserve">Ogni operatore economico per la presentazione dell’offerta ha a disposizione una capacità pari alla dimensione massima di </w:t>
      </w:r>
      <w:r>
        <w:rPr>
          <w:rFonts w:cs="Calibri" w:ascii="Titillium" w:hAnsi="Titillium"/>
          <w:bCs/>
          <w:sz w:val="18"/>
          <w:szCs w:val="18"/>
        </w:rPr>
        <w:t>100 MB</w:t>
      </w:r>
      <w:r>
        <w:rPr>
          <w:rFonts w:cs="Calibri" w:ascii="Titillium" w:hAnsi="Titillium"/>
          <w:bCs/>
          <w:i/>
          <w:iCs/>
          <w:sz w:val="18"/>
          <w:szCs w:val="18"/>
        </w:rPr>
        <w:t xml:space="preserve"> </w:t>
      </w:r>
      <w:r>
        <w:rPr>
          <w:rFonts w:cs="Calibri" w:ascii="Titillium" w:hAnsi="Titillium"/>
          <w:bCs/>
          <w:iCs/>
          <w:sz w:val="18"/>
          <w:szCs w:val="18"/>
        </w:rPr>
        <w:t xml:space="preserve">per singolo file. La PAD accetta esclusivamente file con i seguenti formati PDF, ZIP, ecc. </w:t>
      </w:r>
    </w:p>
    <w:p>
      <w:pPr>
        <w:pStyle w:val="Normal"/>
        <w:tabs>
          <w:tab w:val="clear" w:pos="708"/>
          <w:tab w:val="left" w:pos="360" w:leader="none"/>
        </w:tabs>
        <w:spacing w:before="60" w:after="60"/>
        <w:rPr>
          <w:i/>
        </w:rPr>
      </w:pPr>
      <w:r>
        <w:rPr>
          <w:i/>
        </w:rPr>
      </w:r>
    </w:p>
    <w:p>
      <w:pPr>
        <w:pStyle w:val="Heading3"/>
        <w:numPr>
          <w:ilvl w:val="1"/>
          <w:numId w:val="3"/>
        </w:numPr>
        <w:ind w:hanging="426" w:left="426"/>
        <w:rPr>
          <w:rFonts w:ascii="Titillium" w:hAnsi="Titillium"/>
          <w:sz w:val="18"/>
          <w:szCs w:val="18"/>
        </w:rPr>
      </w:pPr>
      <w:bookmarkStart w:id="1702" w:name="__RefHeading___Toc11724_2735037374"/>
      <w:bookmarkStart w:id="1703" w:name="_Toc207275746"/>
      <w:bookmarkEnd w:id="1702"/>
      <w:r>
        <w:rPr>
          <w:rFonts w:ascii="Titillium" w:hAnsi="Titillium"/>
          <w:sz w:val="18"/>
          <w:szCs w:val="18"/>
        </w:rPr>
        <w:t>REGOLE PER LA PRESENTAZIONE DELL’OFFERTA</w:t>
      </w:r>
      <w:bookmarkEnd w:id="1703"/>
    </w:p>
    <w:p>
      <w:pPr>
        <w:pStyle w:val="Normal"/>
        <w:spacing w:before="60" w:after="60"/>
        <w:rPr/>
      </w:pPr>
      <w:r>
        <w:rPr>
          <w:rFonts w:cs="Calibri" w:ascii="Titillium" w:hAnsi="Titillium"/>
          <w:sz w:val="18"/>
          <w:szCs w:val="18"/>
        </w:rPr>
        <w:t xml:space="preserve">Fermo restando le indicazioni tecniche riportate al paragrafo </w:t>
      </w:r>
      <w:r>
        <w:rPr>
          <w:rFonts w:cs="Calibri" w:ascii="Titillium" w:hAnsi="Titillium"/>
          <w:sz w:val="18"/>
          <w:szCs w:val="18"/>
        </w:rPr>
        <w:fldChar w:fldCharType="begin"/>
      </w:r>
      <w:r>
        <w:rPr>
          <w:rFonts w:cs="Calibri" w:ascii="Titillium" w:hAnsi="Titillium"/>
          <w:sz w:val="18"/>
          <w:szCs w:val="18"/>
        </w:rPr>
        <w:instrText xml:space="preserve"> REF _Ref132303744 \r \r \h </w:instrText>
      </w:r>
      <w:r>
        <w:rPr>
          <w:rFonts w:cs="Calibri" w:ascii="Titillium" w:hAnsi="Titillium"/>
          <w:sz w:val="18"/>
          <w:szCs w:val="18"/>
        </w:rPr>
        <w:fldChar w:fldCharType="separate"/>
      </w:r>
      <w:r>
        <w:rPr>
          <w:rFonts w:cs="Calibri" w:ascii="Titillium" w:hAnsi="Titillium"/>
          <w:sz w:val="18"/>
          <w:szCs w:val="18"/>
        </w:rPr>
        <w:t>1</w:t>
      </w:r>
      <w:r>
        <w:rPr>
          <w:rFonts w:cs="Calibri" w:ascii="Titillium" w:hAnsi="Titillium"/>
          <w:sz w:val="18"/>
          <w:szCs w:val="18"/>
        </w:rPr>
        <w:fldChar w:fldCharType="end"/>
      </w:r>
      <w:r>
        <w:rPr>
          <w:rFonts w:cs="Calibri" w:ascii="Titillium" w:hAnsi="Titillium"/>
          <w:sz w:val="18"/>
          <w:szCs w:val="18"/>
        </w:rPr>
        <w:t xml:space="preserve"> di seguito sono indicate le modalità di caricamento dell’offerta nella PAD.</w:t>
      </w:r>
    </w:p>
    <w:p>
      <w:pPr>
        <w:pStyle w:val="usoboll1"/>
        <w:spacing w:lineRule="exact" w:line="300"/>
        <w:rPr/>
      </w:pPr>
      <w:r>
        <w:rPr>
          <w:rFonts w:cs="Trebuchet MS" w:ascii="Titillium" w:hAnsi="Titillium"/>
          <w:sz w:val="18"/>
          <w:szCs w:val="18"/>
        </w:rPr>
        <w:t>L’“</w:t>
      </w:r>
      <w:r>
        <w:rPr>
          <w:rFonts w:cs="Trebuchet MS" w:ascii="Titillium" w:hAnsi="Titillium"/>
          <w:b/>
          <w:i/>
          <w:sz w:val="18"/>
          <w:szCs w:val="18"/>
        </w:rPr>
        <w:t>OFFERTA</w:t>
      </w:r>
      <w:r>
        <w:rPr>
          <w:rFonts w:cs="Trebuchet MS" w:ascii="Titillium" w:hAnsi="Titillium"/>
          <w:sz w:val="18"/>
          <w:szCs w:val="18"/>
        </w:rPr>
        <w:t xml:space="preserve">” è composta da: </w:t>
      </w:r>
    </w:p>
    <w:p>
      <w:pPr>
        <w:pStyle w:val="usoboll1"/>
        <w:spacing w:lineRule="exact" w:line="300"/>
        <w:ind w:left="567"/>
        <w:rPr/>
      </w:pPr>
      <w:r>
        <w:rPr>
          <w:rFonts w:cs="Trebuchet MS" w:ascii="Titillium" w:hAnsi="Titillium"/>
          <w:sz w:val="18"/>
          <w:szCs w:val="18"/>
        </w:rPr>
        <w:t xml:space="preserve">A – </w:t>
      </w:r>
      <w:r>
        <w:rPr>
          <w:rFonts w:cs="Trebuchet MS" w:ascii="Titillium" w:hAnsi="Titillium"/>
          <w:b/>
          <w:sz w:val="18"/>
          <w:szCs w:val="18"/>
        </w:rPr>
        <w:t>Documentazione amministrativa</w:t>
      </w:r>
      <w:r>
        <w:rPr>
          <w:rFonts w:cs="Trebuchet MS" w:ascii="Titillium" w:hAnsi="Titillium"/>
          <w:sz w:val="18"/>
          <w:szCs w:val="18"/>
        </w:rPr>
        <w:t xml:space="preserve">; </w:t>
      </w:r>
    </w:p>
    <w:p>
      <w:pPr>
        <w:pStyle w:val="usoboll1"/>
        <w:spacing w:lineRule="exact" w:line="300"/>
        <w:ind w:left="567"/>
        <w:rPr/>
      </w:pPr>
      <w:r>
        <w:rPr>
          <w:rFonts w:cs="Trebuchet MS" w:ascii="Titillium" w:hAnsi="Titillium"/>
          <w:sz w:val="18"/>
          <w:szCs w:val="18"/>
        </w:rPr>
        <w:t xml:space="preserve">B – </w:t>
      </w:r>
      <w:r>
        <w:rPr>
          <w:rFonts w:cs="Trebuchet MS" w:ascii="Titillium" w:hAnsi="Titillium"/>
          <w:b/>
          <w:bCs/>
          <w:sz w:val="18"/>
          <w:szCs w:val="18"/>
        </w:rPr>
        <w:t>Offerta tecnica</w:t>
      </w:r>
      <w:r>
        <w:rPr>
          <w:rFonts w:cs="Trebuchet MS" w:ascii="Titillium" w:hAnsi="Titillium"/>
          <w:color w:val="000000"/>
          <w:sz w:val="18"/>
          <w:szCs w:val="18"/>
        </w:rPr>
        <w:t xml:space="preserve">; </w:t>
      </w:r>
    </w:p>
    <w:p>
      <w:pPr>
        <w:pStyle w:val="usoboll1"/>
        <w:spacing w:lineRule="exact" w:line="300"/>
        <w:ind w:left="567"/>
        <w:rPr>
          <w:rFonts w:ascii="Titillium" w:hAnsi="Titillium" w:cs="Trebuchet MS"/>
          <w:color w:val="000000"/>
          <w:sz w:val="18"/>
          <w:szCs w:val="18"/>
        </w:rPr>
      </w:pPr>
      <w:r>
        <w:rPr>
          <w:rFonts w:cs="Trebuchet MS" w:ascii="Titillium" w:hAnsi="Titillium"/>
          <w:color w:val="000000"/>
          <w:sz w:val="18"/>
          <w:szCs w:val="18"/>
        </w:rPr>
        <w:t xml:space="preserve">C – </w:t>
      </w:r>
      <w:r>
        <w:rPr>
          <w:rFonts w:cs="Trebuchet MS" w:ascii="Titillium" w:hAnsi="Titillium"/>
          <w:b/>
          <w:bCs/>
          <w:color w:val="000000"/>
          <w:sz w:val="18"/>
          <w:szCs w:val="18"/>
        </w:rPr>
        <w:t>Offerta economica</w:t>
      </w:r>
      <w:r>
        <w:rPr>
          <w:rFonts w:cs="Trebuchet MS" w:ascii="Titillium" w:hAnsi="Titillium"/>
          <w:i/>
          <w:color w:val="000000"/>
          <w:sz w:val="18"/>
          <w:szCs w:val="18"/>
        </w:rPr>
        <w:t>.</w:t>
      </w:r>
    </w:p>
    <w:p>
      <w:pPr>
        <w:pStyle w:val="usoboll1"/>
        <w:spacing w:lineRule="exact" w:line="300"/>
        <w:ind w:left="567"/>
        <w:rPr/>
      </w:pPr>
      <w:r>
        <w:rPr/>
      </w:r>
    </w:p>
    <w:p>
      <w:pPr>
        <w:pStyle w:val="Normal"/>
        <w:spacing w:before="60" w:after="60"/>
        <w:rPr>
          <w:rFonts w:ascii="Titillium" w:hAnsi="Titillium" w:cs="Calibri"/>
          <w:sz w:val="18"/>
          <w:szCs w:val="18"/>
        </w:rPr>
      </w:pPr>
      <w:r>
        <w:rPr>
          <w:rFonts w:cs="Calibri" w:ascii="Titillium" w:hAnsi="Titillium"/>
          <w:sz w:val="18"/>
          <w:szCs w:val="18"/>
        </w:rPr>
        <w:t xml:space="preserve">L’operatore economico ha facoltà di inserire nella PAD offerte successive che sostituiscono la precedente, ovvero ritirare l’offerta presentata, nel periodo di tempo compreso tra la data e ora di inizio e la data e ora di chiusura della fase di presentazione delle offerte. </w:t>
      </w:r>
      <w:r>
        <w:rPr>
          <w:rFonts w:cs="Calibri" w:ascii="Titillium" w:hAnsi="Titillium"/>
          <w:bCs/>
          <w:color w:val="000000"/>
          <w:sz w:val="18"/>
          <w:szCs w:val="18"/>
        </w:rPr>
        <w:t>La stazione appaltante considera esclusivamente l’ultima offerta presentata.</w:t>
      </w:r>
      <w:r>
        <w:rPr>
          <w:rFonts w:cs="Calibri" w:ascii="Titillium" w:hAnsi="Titillium"/>
          <w:sz w:val="18"/>
          <w:szCs w:val="18"/>
        </w:rPr>
        <w:t xml:space="preserve"> </w:t>
      </w:r>
    </w:p>
    <w:p>
      <w:pPr>
        <w:pStyle w:val="Default"/>
        <w:rPr>
          <w:rFonts w:ascii="Titillium" w:hAnsi="Titillium"/>
          <w:sz w:val="18"/>
          <w:szCs w:val="18"/>
        </w:rPr>
      </w:pPr>
      <w:r>
        <w:rPr>
          <w:rFonts w:ascii="Titillium" w:hAnsi="Titillium"/>
          <w:sz w:val="18"/>
          <w:szCs w:val="18"/>
        </w:rPr>
        <w:t xml:space="preserve">Si precisa inoltre che: </w:t>
      </w:r>
    </w:p>
    <w:p>
      <w:pPr>
        <w:pStyle w:val="Default"/>
        <w:numPr>
          <w:ilvl w:val="0"/>
          <w:numId w:val="17"/>
        </w:numPr>
        <w:spacing w:lineRule="auto" w:line="240" w:before="0" w:after="70"/>
        <w:ind w:hanging="357" w:left="426"/>
        <w:rPr>
          <w:rFonts w:ascii="Titillium" w:hAnsi="Titillium"/>
          <w:sz w:val="18"/>
          <w:szCs w:val="18"/>
        </w:rPr>
      </w:pPr>
      <w:r>
        <w:rPr>
          <w:rFonts w:ascii="Titillium" w:hAnsi="Titillium"/>
          <w:sz w:val="18"/>
          <w:szCs w:val="18"/>
        </w:rPr>
        <w:t>l’offerta è vincolante per il concorrente;</w:t>
      </w:r>
    </w:p>
    <w:p>
      <w:pPr>
        <w:pStyle w:val="Default"/>
        <w:numPr>
          <w:ilvl w:val="0"/>
          <w:numId w:val="17"/>
        </w:numPr>
        <w:spacing w:lineRule="auto" w:line="240"/>
        <w:ind w:hanging="357" w:left="426"/>
        <w:rPr>
          <w:rFonts w:ascii="Titillium" w:hAnsi="Titillium" w:cs="Calibri"/>
          <w:sz w:val="18"/>
          <w:szCs w:val="18"/>
        </w:rPr>
      </w:pPr>
      <w:r>
        <w:rPr>
          <w:rFonts w:cs="Calibri" w:ascii="Titillium" w:hAnsi="Titillium"/>
          <w:sz w:val="18"/>
          <w:szCs w:val="18"/>
        </w:rPr>
        <w:t>con la trasmissione dell’offerta, il concorrente accetta tutta la documentazione di gara, allegati e chiarimenti inclusi.</w:t>
      </w:r>
    </w:p>
    <w:p>
      <w:pPr>
        <w:pStyle w:val="Normal"/>
        <w:spacing w:before="60" w:after="60"/>
        <w:rPr/>
      </w:pPr>
      <w:r>
        <w:rPr>
          <w:rFonts w:cs="Calibri" w:ascii="Titillium" w:hAnsi="Titillium"/>
          <w:sz w:val="18"/>
          <w:szCs w:val="18"/>
        </w:rPr>
        <w:t xml:space="preserve">Al momento della ricezione delle offerte, ciascun concorrente riceve notifica della corretta ricezione della documentazione inviata. </w:t>
      </w:r>
    </w:p>
    <w:p>
      <w:pPr>
        <w:pStyle w:val="Default"/>
        <w:spacing w:before="60" w:after="60"/>
        <w:rPr/>
      </w:pPr>
      <w:r>
        <w:rPr>
          <w:rFonts w:cs="Calibri" w:ascii="Titillium" w:hAnsi="Titillium"/>
          <w:sz w:val="18"/>
          <w:szCs w:val="18"/>
        </w:rPr>
        <w:t xml:space="preserve">La PAD consente al concorrente di visualizzare l’avvenuta trasmissione della domanda. </w:t>
      </w:r>
    </w:p>
    <w:p>
      <w:pPr>
        <w:pStyle w:val="Normal"/>
        <w:spacing w:before="60" w:after="60"/>
        <w:rPr/>
      </w:pPr>
      <w:r>
        <w:rPr>
          <w:rFonts w:ascii="Titillium" w:hAnsi="Titillium"/>
          <w:sz w:val="18"/>
          <w:szCs w:val="18"/>
        </w:rPr>
        <w:t xml:space="preserve">Il concorrente che intenda partecipare in forma associata (per esempio raggruppamento temporaneo di imprese/Consorzi, sia costituiti che costituendi) in sede di presentazione dell’offerta indica la forma di partecipazione e indica gli operatori economici riuniti o consorziati. </w:t>
      </w:r>
    </w:p>
    <w:p>
      <w:pPr>
        <w:pStyle w:val="Normal"/>
        <w:spacing w:before="60" w:after="60"/>
        <w:rPr>
          <w:rFonts w:ascii="Titillium" w:hAnsi="Titillium"/>
          <w:sz w:val="18"/>
          <w:szCs w:val="18"/>
        </w:rPr>
      </w:pPr>
      <w:r>
        <w:rPr>
          <w:rFonts w:ascii="Titillium" w:hAnsi="Titillium"/>
          <w:sz w:val="18"/>
          <w:szCs w:val="18"/>
        </w:rPr>
        <w:t xml:space="preserve">Tutta la documentazione da produrre deve essere in lingua italiana. </w:t>
      </w:r>
    </w:p>
    <w:p>
      <w:pPr>
        <w:pStyle w:val="Normal"/>
        <w:spacing w:before="60" w:after="60"/>
        <w:rPr/>
      </w:pPr>
      <w:r>
        <w:rPr>
          <w:rFonts w:cs="Calibri" w:ascii="Titillium" w:hAnsi="Titillium"/>
          <w:sz w:val="18"/>
          <w:szCs w:val="18"/>
        </w:rPr>
        <w:t>L’offerta vincola il concorrente per</w:t>
      </w:r>
      <w:r>
        <w:rPr>
          <w:rFonts w:cs="Calibri" w:ascii="Titillium" w:hAnsi="Titillium"/>
          <w:i/>
          <w:sz w:val="18"/>
          <w:szCs w:val="18"/>
        </w:rPr>
        <w:t xml:space="preserve"> </w:t>
      </w:r>
      <w:r>
        <w:rPr>
          <w:rFonts w:cs="Calibri" w:ascii="Titillium" w:hAnsi="Titillium"/>
          <w:iCs/>
          <w:sz w:val="18"/>
          <w:szCs w:val="18"/>
        </w:rPr>
        <w:t>180 giorni</w:t>
      </w:r>
      <w:r>
        <w:rPr>
          <w:rFonts w:cs="Calibri" w:ascii="Titillium" w:hAnsi="Titillium"/>
          <w:i/>
          <w:sz w:val="18"/>
          <w:szCs w:val="18"/>
        </w:rPr>
        <w:t xml:space="preserve"> </w:t>
      </w:r>
      <w:r>
        <w:rPr>
          <w:rFonts w:cs="Calibri" w:ascii="Titillium" w:hAnsi="Titillium"/>
          <w:sz w:val="18"/>
          <w:szCs w:val="18"/>
        </w:rPr>
        <w:t>dalla scadenza</w:t>
      </w:r>
      <w:r>
        <w:rPr>
          <w:rFonts w:cs="Calibri" w:ascii="Titillium" w:hAnsi="Titillium"/>
          <w:i/>
          <w:sz w:val="18"/>
          <w:szCs w:val="18"/>
        </w:rPr>
        <w:t xml:space="preserve"> </w:t>
      </w:r>
      <w:r>
        <w:rPr>
          <w:rFonts w:cs="Calibri" w:ascii="Titillium" w:hAnsi="Titillium"/>
          <w:sz w:val="18"/>
          <w:szCs w:val="18"/>
        </w:rPr>
        <w:t xml:space="preserve">del termine indicato per la presentazione dell’offerta. </w:t>
      </w:r>
    </w:p>
    <w:p>
      <w:pPr>
        <w:pStyle w:val="Normal"/>
        <w:spacing w:before="60" w:after="60"/>
        <w:rPr>
          <w:rFonts w:ascii="Titillium" w:hAnsi="Titillium" w:cs="Calibri"/>
          <w:sz w:val="18"/>
          <w:szCs w:val="18"/>
        </w:rPr>
      </w:pPr>
      <w:r>
        <w:rPr>
          <w:rFonts w:cs="Calibri" w:ascii="Titillium" w:hAnsi="Titillium"/>
          <w:sz w:val="18"/>
          <w:szCs w:val="18"/>
        </w:rPr>
        <w:t xml:space="preserve">Nel caso in cui alla data di scadenza della validità delle offerte le operazioni di gara siano ancora in corso, sarà richiesto agli offerenti di confermare la validità dell’offerta sino alla data indicata e di produrre un apposito documento attestante la validità della garanzia prestata in sede di gara fino alla medesima data. </w:t>
      </w:r>
    </w:p>
    <w:p>
      <w:pPr>
        <w:pStyle w:val="Normal"/>
        <w:spacing w:before="60" w:after="60"/>
        <w:rPr>
          <w:rFonts w:ascii="Titillium" w:hAnsi="Titillium" w:cs="Calibri"/>
          <w:sz w:val="18"/>
          <w:szCs w:val="18"/>
        </w:rPr>
      </w:pPr>
      <w:r>
        <w:rPr>
          <w:rFonts w:cs="Calibri" w:ascii="Titillium" w:hAnsi="Titillium"/>
          <w:sz w:val="18"/>
          <w:szCs w:val="18"/>
        </w:rPr>
        <w:t>Il mancato riscontro alla richiesta della stazione appaltante entro il termine fissato da quest’ultima o comunque in tempo utile alla celere prosecuzione della procedura è considerato come rinuncia del concorrente alla partecipazione alla gara.</w:t>
      </w:r>
    </w:p>
    <w:p>
      <w:pPr>
        <w:pStyle w:val="Normal"/>
        <w:spacing w:before="60" w:after="60"/>
        <w:rPr>
          <w:rFonts w:ascii="Titillium" w:hAnsi="Titillium" w:cs="Calibri"/>
          <w:sz w:val="18"/>
          <w:szCs w:val="18"/>
        </w:rPr>
      </w:pPr>
      <w:r>
        <w:rPr>
          <w:rFonts w:cs="Calibri" w:ascii="Titillium" w:hAnsi="Titillium"/>
          <w:sz w:val="18"/>
          <w:szCs w:val="18"/>
        </w:rPr>
        <w:t xml:space="preserve">Fino al giorno fissato per l’apertura delle offerte tecniche o economiche, l’operatore economico può effettuare, tramite la PAD, la richiesta di rettifica di un errore materiale contenuto rispettivamente nell’offerta tecnica o nell’offerta economica, di cui si sia avveduto dopo la scadenza del termine per la loro presentazione. A tal fine, richiede di potersi avvalere di tale facoltà.  </w:t>
      </w:r>
    </w:p>
    <w:p>
      <w:pPr>
        <w:pStyle w:val="Normal"/>
        <w:spacing w:before="60" w:after="60"/>
        <w:rPr>
          <w:rFonts w:ascii="Titillium" w:hAnsi="Titillium" w:cs="Calibri"/>
          <w:sz w:val="18"/>
          <w:szCs w:val="18"/>
        </w:rPr>
      </w:pPr>
      <w:r>
        <w:rPr>
          <w:rFonts w:cs="Calibri" w:ascii="Titillium" w:hAnsi="Titillium"/>
          <w:sz w:val="18"/>
          <w:szCs w:val="18"/>
        </w:rPr>
        <w:t>A seguito della richiesta, sono comunicate all’operatore economico le modalità e i tempi con cui procedere all’indicazione degli elementi che consentono l’individuazione dell’errore materiale e la sua correzione. La rettifica è operata nel rispetto della segretezza dell’offerta e non può comportare la presentazione di una nuova offerta, né la sua modifica sostanziale.</w:t>
      </w:r>
    </w:p>
    <w:p>
      <w:pPr>
        <w:pStyle w:val="Normal"/>
        <w:spacing w:before="60" w:after="60"/>
        <w:rPr>
          <w:rFonts w:ascii="Titillium" w:hAnsi="Titillium" w:cs="Calibri"/>
          <w:sz w:val="18"/>
          <w:szCs w:val="18"/>
        </w:rPr>
      </w:pPr>
      <w:r>
        <w:rPr>
          <w:rFonts w:cs="Calibri" w:ascii="Titillium" w:hAnsi="Titillium"/>
          <w:sz w:val="18"/>
          <w:szCs w:val="18"/>
        </w:rPr>
        <w:t>Se la rettifica è ritenuta non accoglibile perché sostanziale, è valutata la possibilità di dichiarare l’offerta inammissibile.</w:t>
      </w:r>
    </w:p>
    <w:p>
      <w:pPr>
        <w:pStyle w:val="Normal"/>
        <w:spacing w:before="60" w:after="60"/>
        <w:rPr/>
      </w:pPr>
      <w:r>
        <w:rPr/>
      </w:r>
    </w:p>
    <w:p>
      <w:pPr>
        <w:pStyle w:val="Heading2"/>
        <w:numPr>
          <w:ilvl w:val="0"/>
          <w:numId w:val="3"/>
        </w:numPr>
        <w:rPr/>
      </w:pPr>
      <w:bookmarkStart w:id="1704" w:name="__RefHeading___Toc11726_2735037374"/>
      <w:bookmarkStart w:id="1705" w:name="_Toc207275747"/>
      <w:bookmarkStart w:id="1706" w:name="_Ref129796272"/>
      <w:bookmarkEnd w:id="1704"/>
      <w:r>
        <w:rPr/>
        <w:t>SOCCORSO ISTRUTTORIO</w:t>
      </w:r>
      <w:bookmarkEnd w:id="1705"/>
      <w:bookmarkEnd w:id="1706"/>
    </w:p>
    <w:p>
      <w:pPr>
        <w:pStyle w:val="Normal"/>
        <w:spacing w:before="60" w:after="60"/>
        <w:rPr>
          <w:rFonts w:ascii="Titillium" w:hAnsi="Titillium"/>
          <w:sz w:val="18"/>
          <w:szCs w:val="18"/>
        </w:rPr>
      </w:pPr>
      <w:r>
        <w:rPr>
          <w:rFonts w:ascii="Titillium" w:hAnsi="Titillium"/>
          <w:sz w:val="18"/>
          <w:szCs w:val="18"/>
        </w:rPr>
        <w:t>Con la procedura di soccorso istruttorio di cui all’articolo 101 del Codice, possono essere sanate le carenze della documentazione trasmessa con la domanda di partecipazione ma non quelle della documentazione che compone l’offerta tecnica e l’offerta economica.</w:t>
      </w:r>
    </w:p>
    <w:p>
      <w:pPr>
        <w:pStyle w:val="Normal"/>
        <w:spacing w:before="60" w:after="60"/>
        <w:rPr>
          <w:rFonts w:ascii="Titillium" w:hAnsi="Titillium"/>
          <w:sz w:val="18"/>
          <w:szCs w:val="18"/>
        </w:rPr>
      </w:pPr>
      <w:r>
        <w:rPr>
          <w:rFonts w:ascii="Titillium" w:hAnsi="Titillium"/>
          <w:sz w:val="18"/>
          <w:szCs w:val="18"/>
        </w:rPr>
        <w:t xml:space="preserve">Con la medesima procedura può essere sanata ogni omissione, inesattezza o irregolarità della domanda di partecipazione e di ogni altro documento richiesto per la partecipazione alla procedura di gara, con esclusione della documentazione che compone l’offerta tecnica e l’offerta economica. Non sono sanabili le omissioni, le inesattezze e irregolarità che rendono assolutamente incerta l’identità del concorrente. </w:t>
      </w:r>
    </w:p>
    <w:p>
      <w:pPr>
        <w:pStyle w:val="Normal"/>
        <w:spacing w:before="60" w:after="60"/>
        <w:rPr>
          <w:rFonts w:ascii="Titillium" w:hAnsi="Titillium"/>
          <w:sz w:val="18"/>
          <w:szCs w:val="18"/>
        </w:rPr>
      </w:pPr>
      <w:r>
        <w:rPr>
          <w:rFonts w:ascii="Titillium" w:hAnsi="Titillium"/>
          <w:sz w:val="18"/>
          <w:szCs w:val="18"/>
        </w:rPr>
        <w:t xml:space="preserve">A titolo esemplificativo, si chiarisce che sono sanabili: </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 xml:space="preserve">il mancato o parziale pagamento del contributo ANAC anche laddove non effettuato entro la scadenza del termine di presentazione delle offerte; </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 xml:space="preserve">l’omessa o incompleta nonché irregolare presentazione delle dichiarazioni sul possesso dei requisiti di partecipazione e ogni altra mancanza, incompletezza o irregolarità della domanda;        </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 xml:space="preserve">la mancata produzione del contratto di avvalimento, della garanzia provvisoria, del mandato collettivo speciale o dell’impegno a conferire mandato collettivo, solo se i citati documenti sono preesistenti e comprovabili con data certa anteriore al termine di presentazione dell’offerta risultante dall’apposizione della marca temporale </w:t>
      </w:r>
      <w:bookmarkStart w:id="1707" w:name="_Hlk202279869"/>
      <w:r>
        <w:rPr>
          <w:rFonts w:ascii="Titillium" w:hAnsi="Titillium"/>
          <w:sz w:val="18"/>
          <w:szCs w:val="18"/>
        </w:rPr>
        <w:t xml:space="preserve">o da ulteriori riferimenti temporali equivalenti ai sensi della vigente normativa; </w:t>
      </w:r>
      <w:bookmarkEnd w:id="1707"/>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il non corretto ammontare della garanzia provvisoria;</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l’erronea indicazione del beneficiario della garanzia provvisoria che non comporti la costituzione di una nuova polizza;</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l’intestazione della garanzia provvisori non a tutti i componenti del costituendo RTI;</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il difetto di sottoscrizione della domanda di partecipazione, delle dichiarazioni richieste e dell’offerta, a condizione che la mancanza della sottoscrizione non precluda la riconoscibilità della provenienza dell’offerta e non comporti un’incertezza assoluta sulla stessa;</w:t>
      </w:r>
    </w:p>
    <w:p>
      <w:pPr>
        <w:pStyle w:val="ListParagraph"/>
        <w:numPr>
          <w:ilvl w:val="0"/>
          <w:numId w:val="36"/>
        </w:numPr>
        <w:spacing w:before="60" w:after="60"/>
        <w:ind w:hanging="360" w:left="426"/>
        <w:contextualSpacing/>
        <w:rPr>
          <w:rFonts w:ascii="Titillium" w:hAnsi="Titillium"/>
          <w:sz w:val="18"/>
          <w:szCs w:val="18"/>
        </w:rPr>
      </w:pPr>
      <w:r>
        <w:rPr>
          <w:rFonts w:ascii="Titillium" w:hAnsi="Titillium"/>
          <w:sz w:val="18"/>
          <w:szCs w:val="18"/>
        </w:rPr>
        <w:t>la mancata, incompleta o irregolare traduzione in italiano della documentazione di gara, quando richiesta ai sensi del paragrafo 13.1.</w:t>
      </w:r>
    </w:p>
    <w:p>
      <w:pPr>
        <w:pStyle w:val="Normal"/>
        <w:spacing w:before="60" w:after="60"/>
        <w:rPr>
          <w:rFonts w:ascii="Titillium" w:hAnsi="Titillium"/>
          <w:sz w:val="18"/>
          <w:szCs w:val="18"/>
        </w:rPr>
      </w:pPr>
      <w:r>
        <w:rPr>
          <w:rFonts w:ascii="Titillium" w:hAnsi="Titillium"/>
          <w:sz w:val="18"/>
          <w:szCs w:val="18"/>
        </w:rPr>
        <w:t xml:space="preserve">Non sono sanabili: </w:t>
      </w:r>
    </w:p>
    <w:p>
      <w:pPr>
        <w:pStyle w:val="ListParagraph"/>
        <w:numPr>
          <w:ilvl w:val="0"/>
          <w:numId w:val="32"/>
        </w:numPr>
        <w:suppressAutoHyphens w:val="true"/>
        <w:spacing w:before="0" w:after="0"/>
        <w:ind w:hanging="360" w:left="426"/>
        <w:contextualSpacing w:val="false"/>
        <w:rPr>
          <w:rFonts w:ascii="Titillium" w:hAnsi="Titillium"/>
          <w:sz w:val="18"/>
          <w:szCs w:val="18"/>
        </w:rPr>
      </w:pPr>
      <w:r>
        <w:rPr>
          <w:rFonts w:ascii="Titillium" w:hAnsi="Titillium"/>
          <w:sz w:val="18"/>
          <w:szCs w:val="18"/>
        </w:rPr>
        <w:t>il mancato possesso dei prescritti requisiti di partecipazione;</w:t>
      </w:r>
    </w:p>
    <w:p>
      <w:pPr>
        <w:pStyle w:val="ListParagraph"/>
        <w:numPr>
          <w:ilvl w:val="0"/>
          <w:numId w:val="32"/>
        </w:numPr>
        <w:suppressAutoHyphens w:val="true"/>
        <w:spacing w:before="60" w:after="60"/>
        <w:ind w:hanging="360" w:left="426"/>
        <w:contextualSpacing w:val="false"/>
        <w:rPr/>
      </w:pPr>
      <w:r>
        <w:rPr>
          <w:rFonts w:ascii="Titillium" w:hAnsi="Titillium"/>
          <w:sz w:val="18"/>
          <w:szCs w:val="18"/>
        </w:rPr>
        <w:t>le false dichiarazioni circa il possesso dei prescritti requisiti di partecipazione;</w:t>
      </w:r>
    </w:p>
    <w:p>
      <w:pPr>
        <w:pStyle w:val="ListParagraph"/>
        <w:numPr>
          <w:ilvl w:val="0"/>
          <w:numId w:val="32"/>
        </w:numPr>
        <w:suppressAutoHyphens w:val="true"/>
        <w:spacing w:before="60" w:after="120"/>
        <w:ind w:hanging="360" w:left="426"/>
        <w:contextualSpacing w:val="false"/>
        <w:rPr>
          <w:rFonts w:ascii="Titillium" w:hAnsi="Titillium"/>
          <w:sz w:val="18"/>
          <w:szCs w:val="18"/>
        </w:rPr>
      </w:pPr>
      <w:r>
        <w:rPr>
          <w:rFonts w:ascii="Titillium" w:hAnsi="Titillium"/>
          <w:sz w:val="18"/>
          <w:szCs w:val="18"/>
        </w:rPr>
        <w:t>la mancata indicazione nel contratto di avvalimento delle risorse messe a disposizione dell’ausiliario, in quanto causa di nullità del contratto di avvalimento;</w:t>
      </w:r>
    </w:p>
    <w:p>
      <w:pPr>
        <w:pStyle w:val="ListParagraph"/>
        <w:numPr>
          <w:ilvl w:val="0"/>
          <w:numId w:val="32"/>
        </w:numPr>
        <w:suppressAutoHyphens w:val="true"/>
        <w:spacing w:before="0" w:after="0"/>
        <w:ind w:hanging="360" w:left="426"/>
        <w:contextualSpacing w:val="false"/>
        <w:rPr>
          <w:rFonts w:ascii="Titillium" w:hAnsi="Titillium"/>
          <w:sz w:val="18"/>
          <w:szCs w:val="18"/>
        </w:rPr>
      </w:pPr>
      <w:r>
        <w:rPr>
          <w:rFonts w:ascii="Titillium" w:hAnsi="Titillium"/>
          <w:sz w:val="18"/>
          <w:szCs w:val="18"/>
        </w:rPr>
        <w:t>la sottoscrizione della garanzia provvisoria da parte di un soggetto non legittimato a rilasciare la garanzia o non autorizzato ad impegnare il garante.</w:t>
      </w:r>
    </w:p>
    <w:p>
      <w:pPr>
        <w:pStyle w:val="ListParagraph"/>
        <w:ind w:left="0"/>
        <w:rPr>
          <w:highlight w:val="none"/>
          <w:shd w:fill="FFFFFF" w:val="clear"/>
        </w:rPr>
      </w:pPr>
      <w:r>
        <w:rPr>
          <w:rFonts w:ascii="Titillium" w:hAnsi="Titillium"/>
          <w:bCs/>
          <w:iCs/>
          <w:sz w:val="18"/>
          <w:szCs w:val="18"/>
          <w:shd w:fill="FFFFFF" w:val="clear"/>
        </w:rPr>
        <w:t>Inoltre, si rappresenta che:</w:t>
      </w:r>
    </w:p>
    <w:p>
      <w:pPr>
        <w:pStyle w:val="ListParagraph"/>
        <w:numPr>
          <w:ilvl w:val="0"/>
          <w:numId w:val="6"/>
        </w:numPr>
        <w:spacing w:before="60" w:after="60"/>
        <w:ind w:hanging="360" w:left="426"/>
        <w:contextualSpacing w:val="false"/>
        <w:rPr>
          <w:highlight w:val="none"/>
          <w:shd w:fill="FFFFFF" w:val="clear"/>
        </w:rPr>
      </w:pPr>
      <w:r>
        <w:rPr>
          <w:rFonts w:ascii="Titillium" w:hAnsi="Titillium"/>
          <w:sz w:val="18"/>
          <w:szCs w:val="18"/>
          <w:shd w:fill="FFFFFF" w:val="clear"/>
        </w:rPr>
        <w:t xml:space="preserve">sono sanabili l’omessa dichiarazione sull’assolvimento degli obblighi di cui alla legge 68/1999 e, per i concorrenti che occupano oltre cinquanta dipendenti, l’omessa presentazione di copia </w:t>
      </w:r>
      <w:r>
        <w:rPr>
          <w:rFonts w:cs="Courier New" w:ascii="Titillium" w:hAnsi="Titillium"/>
          <w:sz w:val="18"/>
          <w:szCs w:val="18"/>
          <w:shd w:fill="FFFFFF" w:val="clear"/>
        </w:rPr>
        <w:t xml:space="preserve">dell’ultimo rapporto periodico sulla situazione del personale maschile e femminile, redatto ai sensi dell’articolo 46 decreto legislativo n. 198 del 2006, e la trasmissione dello stesso alle rappresentanze sindacali e ai consiglieri regionali di parità, purché il rapporto sia stato redatto e trasmesso in data anteriore al termine per la presentazione delle offerte; </w:t>
      </w:r>
    </w:p>
    <w:p>
      <w:pPr>
        <w:pStyle w:val="ListParagraph"/>
        <w:numPr>
          <w:ilvl w:val="0"/>
          <w:numId w:val="6"/>
        </w:numPr>
        <w:spacing w:before="60" w:after="60"/>
        <w:ind w:hanging="360" w:left="426"/>
        <w:contextualSpacing w:val="false"/>
        <w:rPr>
          <w:highlight w:val="none"/>
          <w:shd w:fill="FFFFFF" w:val="clear"/>
        </w:rPr>
      </w:pPr>
      <w:r>
        <w:rPr>
          <w:rFonts w:ascii="Titillium" w:hAnsi="Titillium"/>
          <w:sz w:val="18"/>
          <w:szCs w:val="18"/>
          <w:shd w:fill="FFFFFF" w:val="clear"/>
        </w:rPr>
        <w:t xml:space="preserve">non è sanabile mediante soccorso istruttorio l’omesso impegno ad assicurare, in caso di aggiudicazione del contratto, l’assunzione di una quota di </w:t>
      </w:r>
      <w:r>
        <w:rPr>
          <w:rFonts w:cs="Arial" w:ascii="Titillium" w:hAnsi="Titillium"/>
          <w:sz w:val="18"/>
          <w:szCs w:val="18"/>
          <w:shd w:fill="FFFFFF" w:val="clear"/>
        </w:rPr>
        <w:t xml:space="preserve">occupazione giovanile e femminile di cui al paragrafo </w:t>
      </w:r>
      <w:r>
        <w:rPr>
          <w:rFonts w:cs="Arial" w:ascii="Titillium" w:hAnsi="Titillium"/>
          <w:sz w:val="18"/>
          <w:szCs w:val="18"/>
          <w:shd w:fill="FFFFFF" w:val="clear"/>
        </w:rPr>
        <w:fldChar w:fldCharType="begin"/>
      </w:r>
      <w:r>
        <w:rPr>
          <w:rFonts w:cs="Arial" w:ascii="Titillium" w:hAnsi="Titillium"/>
          <w:sz w:val="18"/>
          <w:szCs w:val="18"/>
          <w:shd w:fill="FFFFFF" w:val="clear"/>
        </w:rPr>
        <w:instrText xml:space="preserve"> REF _Ref132050689 \r \r \h </w:instrText>
      </w:r>
      <w:r>
        <w:rPr>
          <w:rFonts w:cs="Arial" w:ascii="Titillium" w:hAnsi="Titillium"/>
          <w:sz w:val="18"/>
          <w:szCs w:val="18"/>
          <w:shd w:fill="FFFFFF" w:val="clear"/>
        </w:rPr>
        <w:fldChar w:fldCharType="separate"/>
      </w:r>
      <w:r>
        <w:rPr>
          <w:rFonts w:cs="Arial" w:ascii="Titillium" w:hAnsi="Titillium"/>
          <w:sz w:val="18"/>
          <w:szCs w:val="18"/>
          <w:shd w:fill="FFFFFF" w:val="clear"/>
        </w:rPr>
        <w:t>9</w:t>
      </w:r>
      <w:r>
        <w:rPr>
          <w:rFonts w:cs="Arial" w:ascii="Titillium" w:hAnsi="Titillium"/>
          <w:sz w:val="18"/>
          <w:szCs w:val="18"/>
          <w:shd w:fill="FFFFFF" w:val="clear"/>
        </w:rPr>
        <w:fldChar w:fldCharType="end"/>
      </w:r>
      <w:r>
        <w:rPr>
          <w:rFonts w:cs="Arial" w:ascii="Titillium" w:hAnsi="Titillium"/>
          <w:sz w:val="18"/>
          <w:szCs w:val="18"/>
          <w:shd w:fill="FFFFFF" w:val="clear"/>
        </w:rPr>
        <w:t xml:space="preserve"> del presente Disciplinare.</w:t>
      </w:r>
    </w:p>
    <w:p>
      <w:pPr>
        <w:pStyle w:val="ListParagraph"/>
        <w:spacing w:before="60" w:after="60"/>
        <w:contextualSpacing w:val="false"/>
        <w:rPr>
          <w:rFonts w:ascii="Titillium" w:hAnsi="Titillium"/>
          <w:sz w:val="18"/>
          <w:szCs w:val="18"/>
        </w:rPr>
      </w:pPr>
      <w:r>
        <w:rPr>
          <w:rFonts w:ascii="Titillium" w:hAnsi="Titillium"/>
          <w:sz w:val="18"/>
          <w:szCs w:val="18"/>
        </w:rPr>
      </w:r>
    </w:p>
    <w:p>
      <w:pPr>
        <w:pStyle w:val="Normal"/>
        <w:rPr>
          <w:rFonts w:ascii="Titillium" w:hAnsi="Titillium" w:eastAsia="Calibri"/>
          <w:sz w:val="18"/>
          <w:szCs w:val="18"/>
          <w:lang w:eastAsia="it-IT"/>
        </w:rPr>
      </w:pPr>
      <w:r>
        <w:rPr>
          <w:rFonts w:eastAsia="Calibri" w:ascii="Titillium" w:hAnsi="Titillium"/>
          <w:sz w:val="18"/>
          <w:szCs w:val="18"/>
          <w:lang w:eastAsia="it-IT"/>
        </w:rPr>
        <w:t xml:space="preserve">Ai fini del soccorso istruttorio la stazione appaltante assegna al concorrente un termine </w:t>
      </w:r>
      <w:r>
        <w:rPr>
          <w:rFonts w:eastAsia="Calibri" w:cs="Arial" w:ascii="Titillium" w:hAnsi="Titillium"/>
          <w:sz w:val="18"/>
          <w:szCs w:val="18"/>
          <w:lang w:eastAsia="it-IT"/>
        </w:rPr>
        <w:t>non inferiore a cinque e non superiore a dieci giorni, affinché siano rese, integrate o regolarizzate le dichiarazioni necessarie, indicando il contenuto e i soggetti che le devono rendere, nonché la sezione della PAD dove deve essere inserita</w:t>
      </w:r>
      <w:r>
        <w:rPr>
          <w:rFonts w:eastAsia="Calibri" w:ascii="Titillium" w:hAnsi="Titillium"/>
          <w:sz w:val="18"/>
          <w:szCs w:val="18"/>
          <w:lang w:eastAsia="it-IT"/>
        </w:rPr>
        <w:t xml:space="preserve"> la documentazione richiesta. </w:t>
      </w:r>
    </w:p>
    <w:p>
      <w:pPr>
        <w:pStyle w:val="Normal"/>
        <w:spacing w:before="60" w:after="60"/>
        <w:rPr/>
      </w:pPr>
      <w:r>
        <w:rPr>
          <w:rFonts w:ascii="Titillium" w:hAnsi="Titillium"/>
          <w:sz w:val="18"/>
          <w:szCs w:val="18"/>
        </w:rPr>
        <w:t>In caso di inutile decorso del termine, se la mancata allegazione, integrazione o regolarizzazione riguarda la domanda di partecipazione, il DGUE o ogni altro documento richiesto necessariamente ai fini della partecipazione alla gara, la stazione appaltante procede all’esclusione del concorrente dalla procedura.</w:t>
      </w:r>
    </w:p>
    <w:p>
      <w:pPr>
        <w:pStyle w:val="Normal"/>
        <w:spacing w:before="60" w:after="60"/>
        <w:rPr>
          <w:rFonts w:ascii="Titillium" w:hAnsi="Titillium"/>
          <w:sz w:val="18"/>
          <w:szCs w:val="18"/>
        </w:rPr>
      </w:pPr>
      <w:r>
        <w:rPr>
          <w:rFonts w:ascii="Titillium" w:hAnsi="Titillium"/>
          <w:sz w:val="18"/>
          <w:szCs w:val="18"/>
        </w:rPr>
        <w:t>Ove il concorrente produca dichiarazioni o documenti non perfettamente coerenti con la richiesta, la stazione appaltante può chiedere ulteriori precisazioni o chiarimenti, limitati alla documentazione presentata in fase di soccorso istruttorio, fissando un termine a pena di esclusione.</w:t>
      </w:r>
    </w:p>
    <w:p>
      <w:pPr>
        <w:pStyle w:val="Normal"/>
        <w:spacing w:before="60" w:after="60"/>
        <w:rPr>
          <w:rFonts w:ascii="Titillium" w:hAnsi="Titillium"/>
          <w:sz w:val="18"/>
          <w:szCs w:val="18"/>
        </w:rPr>
      </w:pPr>
      <w:r>
        <w:rPr>
          <w:rFonts w:ascii="Titillium" w:hAnsi="Titillium"/>
          <w:sz w:val="18"/>
          <w:szCs w:val="18"/>
        </w:rPr>
        <w:t>La stazione appaltante può sempre chiedere chiarimenti sui contenuti dell’offerta tecnica e dell’offerta economica e su ogni loro allegato. L’operatore economico è tenuto a fornire risposta nel termine di 5 giorni. I chiarimenti resi dall’operatore economico non possono modificare il contenuto dell’offerta.</w:t>
      </w:r>
    </w:p>
    <w:p>
      <w:pPr>
        <w:pStyle w:val="Normal"/>
        <w:spacing w:before="60" w:after="60"/>
        <w:rPr>
          <w:rFonts w:ascii="Titillium" w:hAnsi="Titillium"/>
          <w:sz w:val="18"/>
          <w:szCs w:val="18"/>
        </w:rPr>
      </w:pPr>
      <w:r>
        <w:rPr>
          <w:rFonts w:ascii="Titillium" w:hAnsi="Titillium"/>
          <w:sz w:val="18"/>
          <w:szCs w:val="18"/>
        </w:rPr>
      </w:r>
    </w:p>
    <w:p>
      <w:pPr>
        <w:pStyle w:val="Heading2"/>
        <w:numPr>
          <w:ilvl w:val="0"/>
          <w:numId w:val="3"/>
        </w:numPr>
        <w:rPr/>
      </w:pPr>
      <w:bookmarkStart w:id="1708" w:name="__RefHeading___Toc11728_2735037374"/>
      <w:bookmarkStart w:id="1709" w:name="_Toc207275748"/>
      <w:bookmarkEnd w:id="1708"/>
      <w:r>
        <w:rPr/>
        <w:t>DOMANDA DI PARTECIPAZIONE E DOCUMENTAZIONE AMMINISTRATIVA</w:t>
      </w:r>
      <w:bookmarkStart w:id="1710" w:name="_Toc380501873"/>
      <w:bookmarkStart w:id="1711" w:name="_Toc391035986"/>
      <w:bookmarkStart w:id="1712" w:name="_Toc391036059"/>
      <w:bookmarkStart w:id="1713" w:name="_Toc392577500"/>
      <w:bookmarkStart w:id="1714" w:name="_Toc393110567"/>
      <w:bookmarkStart w:id="1715" w:name="_Toc393112131"/>
      <w:bookmarkStart w:id="1716" w:name="_Toc393187848"/>
      <w:bookmarkStart w:id="1717" w:name="_Toc393272604"/>
      <w:bookmarkStart w:id="1718" w:name="_Toc393272662"/>
      <w:bookmarkStart w:id="1719" w:name="_Toc393283178"/>
      <w:bookmarkStart w:id="1720" w:name="_Toc393700837"/>
      <w:bookmarkStart w:id="1721" w:name="_Toc393706910"/>
      <w:bookmarkStart w:id="1722" w:name="_Toc397346825"/>
      <w:bookmarkStart w:id="1723" w:name="_Toc397422866"/>
      <w:bookmarkStart w:id="1724" w:name="_Toc403471273"/>
      <w:bookmarkStart w:id="1725" w:name="_Toc406058379"/>
      <w:bookmarkStart w:id="1726" w:name="_Toc406754180"/>
      <w:bookmarkStart w:id="1727" w:name="_Toc416423365"/>
      <w:bookmarkStart w:id="1728" w:name="_Toc354038186"/>
      <w:bookmarkStart w:id="1729" w:name="_Ref481767068"/>
      <w:bookmarkStart w:id="1730" w:name="_Ref481767076"/>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Normal"/>
        <w:spacing w:before="60" w:after="60"/>
        <w:rPr/>
      </w:pPr>
      <w:r>
        <w:rPr>
          <w:rFonts w:cs="Calibri" w:ascii="Titillium" w:hAnsi="Titillium"/>
          <w:sz w:val="18"/>
          <w:szCs w:val="18"/>
        </w:rPr>
        <w:t>L’operatore economico utilizza la PAD per compilare o allegare la seguente documentazione:</w:t>
      </w:r>
    </w:p>
    <w:p>
      <w:pPr>
        <w:pStyle w:val="ListParagraph"/>
        <w:numPr>
          <w:ilvl w:val="0"/>
          <w:numId w:val="11"/>
        </w:numPr>
        <w:spacing w:before="60" w:after="60"/>
        <w:contextualSpacing w:val="false"/>
        <w:rPr/>
      </w:pPr>
      <w:r>
        <w:rPr>
          <w:rFonts w:cs="Calibri" w:ascii="Titillium" w:hAnsi="Titillium"/>
          <w:sz w:val="18"/>
          <w:szCs w:val="18"/>
        </w:rPr>
        <w:t>Capitolato speciale;</w:t>
      </w:r>
    </w:p>
    <w:p>
      <w:pPr>
        <w:pStyle w:val="ListParagraph"/>
        <w:numPr>
          <w:ilvl w:val="0"/>
          <w:numId w:val="11"/>
        </w:numPr>
        <w:spacing w:before="60" w:after="60"/>
        <w:contextualSpacing w:val="false"/>
        <w:rPr/>
      </w:pPr>
      <w:r>
        <w:rPr>
          <w:rFonts w:cs="Calibri" w:ascii="Titillium" w:hAnsi="Titillium"/>
          <w:sz w:val="18"/>
          <w:szCs w:val="18"/>
        </w:rPr>
        <w:t>Allegato 1 – Clausole vessatorie</w:t>
      </w:r>
    </w:p>
    <w:p>
      <w:pPr>
        <w:pStyle w:val="ListParagraph"/>
        <w:numPr>
          <w:ilvl w:val="0"/>
          <w:numId w:val="11"/>
        </w:numPr>
        <w:spacing w:before="60" w:after="60"/>
        <w:contextualSpacing w:val="false"/>
        <w:rPr/>
      </w:pPr>
      <w:r>
        <w:rPr>
          <w:rFonts w:cs="Calibri" w:ascii="Titillium" w:hAnsi="Titillium"/>
          <w:sz w:val="18"/>
          <w:szCs w:val="18"/>
        </w:rPr>
        <w:t>Allegato 2 - Domanda di partecipazione+ pagamento imposta di bollo di € 16,00;</w:t>
      </w:r>
    </w:p>
    <w:p>
      <w:pPr>
        <w:pStyle w:val="ListParagraph"/>
        <w:numPr>
          <w:ilvl w:val="0"/>
          <w:numId w:val="11"/>
        </w:numPr>
        <w:spacing w:before="60" w:after="60"/>
        <w:contextualSpacing w:val="false"/>
        <w:rPr/>
      </w:pPr>
      <w:r>
        <w:rPr>
          <w:rFonts w:cs="Calibri" w:ascii="Titillium" w:hAnsi="Titillium"/>
          <w:sz w:val="18"/>
          <w:szCs w:val="18"/>
        </w:rPr>
        <w:t>Allegato 3 – Schema di contratto</w:t>
      </w:r>
    </w:p>
    <w:p>
      <w:pPr>
        <w:pStyle w:val="ListParagraph"/>
        <w:numPr>
          <w:ilvl w:val="0"/>
          <w:numId w:val="11"/>
        </w:numPr>
        <w:rPr>
          <w:highlight w:val="none"/>
          <w:shd w:fill="FFFFFF" w:val="clear"/>
        </w:rPr>
      </w:pPr>
      <w:r>
        <w:rPr>
          <w:rFonts w:cs="Calibri" w:ascii="Titillium" w:hAnsi="Titillium"/>
          <w:sz w:val="18"/>
          <w:szCs w:val="18"/>
          <w:shd w:fill="FFFFFF" w:val="clear"/>
        </w:rPr>
        <w:t>Allegato 4 - A norma dell’articolo 35 comma 5 bis, consenso al trattamento dei dati tramite il fascicolo virtuale;</w:t>
      </w:r>
    </w:p>
    <w:p>
      <w:pPr>
        <w:pStyle w:val="ListParagraph"/>
        <w:numPr>
          <w:ilvl w:val="0"/>
          <w:numId w:val="11"/>
        </w:numPr>
        <w:rPr>
          <w:highlight w:val="none"/>
          <w:shd w:fill="FFFFFF" w:val="clear"/>
        </w:rPr>
      </w:pPr>
      <w:r>
        <w:rPr>
          <w:rFonts w:cs="Calibri" w:ascii="Titillium" w:hAnsi="Titillium"/>
          <w:sz w:val="18"/>
          <w:szCs w:val="18"/>
          <w:shd w:fill="FFFFFF" w:val="clear"/>
        </w:rPr>
        <w:t>Allegato 5 - Dichiarazione pari opportunità</w:t>
      </w:r>
    </w:p>
    <w:p>
      <w:pPr>
        <w:pStyle w:val="ListParagraph"/>
        <w:numPr>
          <w:ilvl w:val="0"/>
          <w:numId w:val="11"/>
        </w:numPr>
        <w:rPr>
          <w:highlight w:val="none"/>
          <w:shd w:fill="FFFFFF" w:val="clear"/>
        </w:rPr>
      </w:pPr>
      <w:r>
        <w:rPr>
          <w:rFonts w:cs="Calibri" w:ascii="Titillium" w:hAnsi="Titillium"/>
          <w:sz w:val="18"/>
          <w:szCs w:val="18"/>
          <w:shd w:fill="FFFFFF" w:val="clear"/>
        </w:rPr>
        <w:t>Allegato A – Clausola sociale</w:t>
      </w:r>
    </w:p>
    <w:p>
      <w:pPr>
        <w:pStyle w:val="ListParagraph"/>
        <w:numPr>
          <w:ilvl w:val="0"/>
          <w:numId w:val="11"/>
        </w:numPr>
        <w:spacing w:before="60" w:after="60"/>
        <w:contextualSpacing w:val="false"/>
        <w:rPr>
          <w:highlight w:val="none"/>
          <w:shd w:fill="FFFFFF" w:val="clear"/>
        </w:rPr>
      </w:pPr>
      <w:r>
        <w:rPr>
          <w:rFonts w:ascii="Titillium" w:hAnsi="Titillium"/>
          <w:sz w:val="18"/>
          <w:szCs w:val="18"/>
          <w:shd w:fill="FFFFFF" w:val="clear"/>
        </w:rPr>
        <w:t>Garanzia provvisoria con prova di eventuali riduzioni</w:t>
      </w:r>
      <w:r>
        <w:rPr>
          <w:rFonts w:cs="Calibri" w:ascii="Titillium" w:hAnsi="Titillium"/>
          <w:sz w:val="18"/>
          <w:szCs w:val="18"/>
          <w:shd w:fill="FFFFFF" w:val="clear"/>
        </w:rPr>
        <w:t>;</w:t>
      </w:r>
    </w:p>
    <w:p>
      <w:pPr>
        <w:pStyle w:val="ListParagraph"/>
        <w:numPr>
          <w:ilvl w:val="0"/>
          <w:numId w:val="11"/>
        </w:numPr>
        <w:spacing w:before="60" w:after="60"/>
        <w:contextualSpacing w:val="false"/>
        <w:rPr>
          <w:rFonts w:ascii="Titillium" w:hAnsi="Titillium"/>
          <w:sz w:val="18"/>
          <w:szCs w:val="18"/>
          <w:highlight w:val="none"/>
          <w:shd w:fill="FFFFFF" w:val="clear"/>
        </w:rPr>
      </w:pPr>
      <w:r>
        <w:rPr>
          <w:rFonts w:ascii="Titillium" w:hAnsi="Titillium"/>
          <w:sz w:val="18"/>
          <w:szCs w:val="18"/>
          <w:shd w:fill="FFFFFF" w:val="clear"/>
        </w:rPr>
        <w:t>Copia del pagamento del contributo ANAC;</w:t>
      </w:r>
    </w:p>
    <w:p>
      <w:pPr>
        <w:pStyle w:val="ListParagraph"/>
        <w:numPr>
          <w:ilvl w:val="0"/>
          <w:numId w:val="11"/>
        </w:numPr>
        <w:spacing w:before="60" w:after="60"/>
        <w:contextualSpacing w:val="false"/>
        <w:rPr>
          <w:rFonts w:ascii="Titillium" w:hAnsi="Titillium"/>
          <w:sz w:val="18"/>
          <w:szCs w:val="18"/>
          <w:highlight w:val="none"/>
          <w:shd w:fill="FFFFFF" w:val="clear"/>
        </w:rPr>
      </w:pPr>
      <w:r>
        <w:rPr>
          <w:rFonts w:ascii="Titillium" w:hAnsi="Titillium"/>
          <w:sz w:val="18"/>
          <w:szCs w:val="18"/>
          <w:shd w:fill="FFFFFF" w:val="clear"/>
        </w:rPr>
        <w:t>Dichiarazione circa il possesso dei requisiti richiesti all’art 6.1 lettera b e c;</w:t>
      </w:r>
    </w:p>
    <w:p>
      <w:pPr>
        <w:pStyle w:val="ListParagraph"/>
        <w:numPr>
          <w:ilvl w:val="0"/>
          <w:numId w:val="11"/>
        </w:numPr>
        <w:spacing w:before="60" w:after="60"/>
        <w:contextualSpacing w:val="false"/>
        <w:rPr>
          <w:rFonts w:ascii="Titillium" w:hAnsi="Titillium" w:cs="Calibri"/>
          <w:sz w:val="18"/>
          <w:szCs w:val="18"/>
        </w:rPr>
      </w:pPr>
      <w:r>
        <w:rPr>
          <w:rFonts w:cs="Calibri" w:ascii="Titillium" w:hAnsi="Titillium"/>
          <w:sz w:val="18"/>
          <w:szCs w:val="18"/>
        </w:rPr>
        <w:t>documentazione in caso di avvalimento di cui al successivo paragrafo 15.4;</w:t>
      </w:r>
    </w:p>
    <w:p>
      <w:pPr>
        <w:pStyle w:val="ListParagraph"/>
        <w:numPr>
          <w:ilvl w:val="0"/>
          <w:numId w:val="11"/>
        </w:numPr>
        <w:spacing w:before="60" w:after="60"/>
        <w:contextualSpacing w:val="false"/>
        <w:rPr/>
      </w:pPr>
      <w:r>
        <w:rPr>
          <w:rFonts w:cs="Calibri" w:ascii="Titillium" w:hAnsi="Titillium"/>
          <w:sz w:val="18"/>
          <w:szCs w:val="18"/>
        </w:rPr>
        <w:t>documentazione per i soggetti associati di cui al successivo paragrafo 15.5;</w:t>
      </w:r>
    </w:p>
    <w:p>
      <w:pPr>
        <w:pStyle w:val="ListParagraph"/>
        <w:numPr>
          <w:ilvl w:val="0"/>
          <w:numId w:val="11"/>
        </w:numPr>
        <w:spacing w:before="60" w:after="60"/>
        <w:contextualSpacing w:val="false"/>
        <w:rPr>
          <w:rFonts w:ascii="Titillium" w:hAnsi="Titillium"/>
          <w:iCs/>
          <w:sz w:val="18"/>
          <w:szCs w:val="18"/>
          <w:u w:val="single"/>
          <w:shd w:fill="FFFFFF" w:val="clear"/>
        </w:rPr>
      </w:pPr>
      <w:r>
        <w:rPr>
          <w:rFonts w:cs="Calibri" w:ascii="Titillium" w:hAnsi="Titillium"/>
          <w:b/>
          <w:iCs/>
          <w:sz w:val="18"/>
          <w:szCs w:val="18"/>
          <w:u w:val="single"/>
        </w:rPr>
        <w:t>DGUE da compilarsi direttamente sulla Piattaforma SATER</w:t>
      </w:r>
    </w:p>
    <w:p>
      <w:pPr>
        <w:pStyle w:val="Heading3"/>
        <w:numPr>
          <w:ilvl w:val="1"/>
          <w:numId w:val="3"/>
        </w:numPr>
        <w:ind w:hanging="426" w:left="426"/>
        <w:rPr/>
      </w:pPr>
      <w:bookmarkStart w:id="1731" w:name="__RefHeading___Toc11730_2735037374"/>
      <w:bookmarkStart w:id="1732" w:name="_Toc207275749"/>
      <w:bookmarkStart w:id="1733" w:name="_Ref129789908"/>
      <w:bookmarkStart w:id="1734" w:name="_Ref129785861"/>
      <w:bookmarkStart w:id="1735" w:name="_Toc497831557"/>
      <w:bookmarkStart w:id="1736" w:name="_Toc498419755"/>
      <w:bookmarkStart w:id="1737" w:name="_Toc497484963"/>
      <w:bookmarkStart w:id="1738" w:name="_Toc497728161"/>
      <w:bookmarkStart w:id="1739" w:name="_Toc497831556"/>
      <w:bookmarkStart w:id="1740" w:name="_Toc498419754"/>
      <w:bookmarkStart w:id="1741" w:name="_Toc497484964"/>
      <w:bookmarkStart w:id="1742" w:name="_Toc497728162"/>
      <w:bookmarkEnd w:id="1731"/>
      <w:bookmarkEnd w:id="1735"/>
      <w:bookmarkEnd w:id="1736"/>
      <w:bookmarkEnd w:id="1737"/>
      <w:bookmarkEnd w:id="1738"/>
      <w:bookmarkEnd w:id="1739"/>
      <w:bookmarkEnd w:id="1740"/>
      <w:bookmarkEnd w:id="1741"/>
      <w:bookmarkEnd w:id="1742"/>
      <w:r>
        <w:rPr>
          <w:rFonts w:ascii="Titillium" w:hAnsi="Titillium"/>
          <w:sz w:val="18"/>
          <w:szCs w:val="18"/>
        </w:rPr>
        <w:t>DOMANDA DI PARTECIPAZIONE ED EVENTUALE PROCURA</w:t>
      </w:r>
      <w:bookmarkEnd w:id="1732"/>
      <w:bookmarkEnd w:id="1733"/>
      <w:bookmarkEnd w:id="1734"/>
      <w:r>
        <w:rPr>
          <w:rFonts w:ascii="Titillium" w:hAnsi="Titillium"/>
          <w:sz w:val="18"/>
          <w:szCs w:val="18"/>
        </w:rPr>
        <w:t xml:space="preserve"> </w:t>
      </w:r>
    </w:p>
    <w:p>
      <w:pPr>
        <w:pStyle w:val="Normal"/>
        <w:spacing w:before="60" w:after="60"/>
        <w:rPr>
          <w:rFonts w:ascii="Titillium" w:hAnsi="Titillium" w:cs="Calibri"/>
          <w:sz w:val="18"/>
          <w:szCs w:val="18"/>
        </w:rPr>
      </w:pPr>
      <w:r>
        <w:rPr>
          <w:rFonts w:cs="Calibri" w:ascii="Titillium" w:hAnsi="Titillium"/>
          <w:sz w:val="18"/>
          <w:szCs w:val="18"/>
        </w:rPr>
        <w:t>La domanda di partecipazione è redatta secondo il modello di cui all’allegato n. 2.</w:t>
      </w:r>
    </w:p>
    <w:p>
      <w:pPr>
        <w:pStyle w:val="Normal"/>
        <w:tabs>
          <w:tab w:val="clear" w:pos="708"/>
          <w:tab w:val="left" w:pos="2268" w:leader="none"/>
        </w:tabs>
        <w:spacing w:before="60" w:after="60"/>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In conformità alla vigente normativa in tema di utilizzo di sistemi di intelligenza artificiale, nella domanda il concorrente è tenuto a dichiarare:</w:t>
      </w:r>
    </w:p>
    <w:p>
      <w:pPr>
        <w:pStyle w:val="ListParagraph"/>
        <w:numPr>
          <w:ilvl w:val="0"/>
          <w:numId w:val="34"/>
        </w:numPr>
        <w:tabs>
          <w:tab w:val="clear" w:pos="708"/>
          <w:tab w:val="left" w:pos="2268" w:leader="none"/>
        </w:tabs>
        <w:suppressAutoHyphens w:val="true"/>
        <w:spacing w:before="60" w:after="60"/>
        <w:contextualSpacing w:val="false"/>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se nell’elaborazione dell’offerta tecnica si è avvalso dei sistemi di intelligenza artificiale, garantendo che l’uso di tali sistemi è avvenuto nel pieno rispetto del Regolamento UE 2024/1689, della legge n. 132 del 2025 e della vigente normativa sul trattamento e protezione dei dati (Regolamento UE 2016/679, decreto legislativo 196/2003);</w:t>
      </w:r>
    </w:p>
    <w:p>
      <w:pPr>
        <w:pStyle w:val="ListParagraph"/>
        <w:numPr>
          <w:ilvl w:val="0"/>
          <w:numId w:val="34"/>
        </w:numPr>
        <w:tabs>
          <w:tab w:val="clear" w:pos="708"/>
          <w:tab w:val="left" w:pos="2268" w:leader="none"/>
        </w:tabs>
        <w:suppressAutoHyphens w:val="true"/>
        <w:spacing w:before="60" w:after="60"/>
        <w:contextualSpacing w:val="false"/>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 xml:space="preserve">se, in caso di aggiudicazione dell’appalto, si avvarrà di sistemi di intelligenza artificiale ai fini dell’esecuzione della prestazione impegnandosi ad assicurare il rispetto delle medesime condizioni e garantendo l’osservanza del medesimo Regolamento UE 2024/1689, della legge n. 132 del 2025 e della normativa sul trattamento e protezione dei dati. </w:t>
      </w:r>
    </w:p>
    <w:p>
      <w:pPr>
        <w:pStyle w:val="Normal"/>
        <w:tabs>
          <w:tab w:val="clear" w:pos="708"/>
          <w:tab w:val="left" w:pos="2268" w:leader="none"/>
        </w:tabs>
        <w:spacing w:before="60" w:after="60"/>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In conformità a quanto previsto dall’articolo 13 della legge132/2025, nella domanda il concorrente è tenuto a dichiarare:</w:t>
      </w:r>
    </w:p>
    <w:p>
      <w:pPr>
        <w:pStyle w:val="ListParagraph"/>
        <w:numPr>
          <w:ilvl w:val="0"/>
          <w:numId w:val="34"/>
        </w:numPr>
        <w:tabs>
          <w:tab w:val="clear" w:pos="708"/>
          <w:tab w:val="left" w:pos="2268" w:leader="none"/>
        </w:tabs>
        <w:suppressAutoHyphens w:val="true"/>
        <w:spacing w:before="60" w:after="60"/>
        <w:contextualSpacing w:val="false"/>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se nell’elaborazione dell’offerta tecnica si è avvalso dei sistemi di intelligenza artificiale, specificando in caso di dichiarazione positiva di quale tipologia ed assicurando comunque la prevalenza del lavoro intellettuale, il controllo e la verifica dei risultati ottenuti e garantendo che l’uso di tali sistemi è avvenuto nel pieno rispetto del Regolamento UE 2024/1689, della legge n. 132 del 2025 e della vigente normativa sul trattamento e protezione dei dati (Regolamento UE 2016/679, decreto legislativo 196/2003);</w:t>
      </w:r>
    </w:p>
    <w:p>
      <w:pPr>
        <w:pStyle w:val="ListParagraph"/>
        <w:numPr>
          <w:ilvl w:val="0"/>
          <w:numId w:val="34"/>
        </w:numPr>
        <w:tabs>
          <w:tab w:val="clear" w:pos="708"/>
          <w:tab w:val="left" w:pos="2268" w:leader="none"/>
        </w:tabs>
        <w:suppressAutoHyphens w:val="true"/>
        <w:spacing w:before="60" w:after="60"/>
        <w:contextualSpacing w:val="false"/>
        <w:rPr>
          <w:rFonts w:ascii="Titillium" w:hAnsi="Titillium" w:eastAsia="Times New Roman" w:cs="Calibri"/>
          <w:color w:val="auto"/>
          <w:kern w:val="0"/>
          <w:sz w:val="18"/>
          <w:szCs w:val="18"/>
          <w:lang w:val="it-IT" w:eastAsia="en-US" w:bidi="ar-SA"/>
          <w14:ligatures w14:val="none"/>
        </w:rPr>
      </w:pPr>
      <w:r>
        <w:rPr>
          <w:rFonts w:eastAsia="Times New Roman" w:cs="Calibri" w:ascii="Titillium" w:hAnsi="Titillium"/>
          <w:color w:val="auto"/>
          <w:kern w:val="0"/>
          <w:sz w:val="18"/>
          <w:szCs w:val="18"/>
          <w:lang w:val="it-IT" w:eastAsia="en-US" w:bidi="ar-SA"/>
          <w14:ligatures w14:val="none"/>
        </w:rPr>
        <w:t xml:space="preserve">se, in caso di aggiudicazione dell’appalto, si avvarrà di sistemi di intelligenza artificiale ai fini dell’esecuzione della prestazione impegnandosi ad assicurare il rispetto delle medesime condizioni e garantendo l’osservanza del medesimo Regolamento UE 2024/1689, della legge n. 132 del 2025 e della normativa sul trattamento e protezione dei dati. </w:t>
      </w:r>
    </w:p>
    <w:p>
      <w:pPr>
        <w:pStyle w:val="Normal"/>
        <w:spacing w:before="60" w:after="60"/>
        <w:rPr>
          <w:rFonts w:ascii="Titillium" w:hAnsi="Titillium" w:cs="Calibri"/>
          <w:iCs/>
          <w:sz w:val="18"/>
          <w:szCs w:val="18"/>
        </w:rPr>
      </w:pPr>
      <w:r>
        <w:rPr>
          <w:rFonts w:cs="Calibri" w:ascii="Titillium" w:hAnsi="Titillium"/>
          <w:iCs/>
          <w:sz w:val="18"/>
          <w:szCs w:val="18"/>
        </w:rPr>
        <w:t xml:space="preserve">Le dichiarazioni in ordine all’insussistenza delle cause automatiche di esclusione di cui all’articolo 94 commi 1 e 2 del Codice sono rese dall’operatore economico in relazione a tutti i soggetti indicati al comma 3. </w:t>
      </w:r>
    </w:p>
    <w:p>
      <w:pPr>
        <w:pStyle w:val="Normal"/>
        <w:spacing w:before="60" w:after="60"/>
        <w:rPr>
          <w:rFonts w:ascii="Titillium" w:hAnsi="Titillium" w:cs="Calibri"/>
          <w:iCs/>
          <w:sz w:val="18"/>
          <w:szCs w:val="18"/>
        </w:rPr>
      </w:pPr>
      <w:r>
        <w:rPr>
          <w:rFonts w:cs="Calibri" w:ascii="Titillium" w:hAnsi="Titillium"/>
          <w:iCs/>
          <w:sz w:val="18"/>
          <w:szCs w:val="18"/>
        </w:rPr>
        <w:t>Le dichiarazioni in ordine all’insussistenza delle cause non automatiche di esclusione di cui all’articolo 98, comma 3, lettere g) ed h) del Codice sono rese dall’operatore economico in relazione ai soggetti di cui al punto precedente.</w:t>
      </w:r>
    </w:p>
    <w:p>
      <w:pPr>
        <w:pStyle w:val="Normal"/>
        <w:spacing w:before="60" w:after="60"/>
        <w:rPr>
          <w:rFonts w:ascii="Titillium" w:hAnsi="Titillium" w:cs="Calibri"/>
          <w:iCs/>
          <w:sz w:val="18"/>
          <w:szCs w:val="18"/>
        </w:rPr>
      </w:pPr>
      <w:r>
        <w:rPr>
          <w:rFonts w:cs="Calibri" w:ascii="Titillium" w:hAnsi="Titillium"/>
          <w:iCs/>
          <w:sz w:val="18"/>
          <w:szCs w:val="18"/>
        </w:rPr>
        <w:t>Le dichiarazioni in ordine all’insussistenza delle altre cause di esclusione sono rese in relazione all’operatore economico.</w:t>
      </w:r>
    </w:p>
    <w:p>
      <w:pPr>
        <w:pStyle w:val="Normal"/>
        <w:spacing w:before="60" w:after="60"/>
        <w:rPr>
          <w:rFonts w:ascii="Titillium" w:hAnsi="Titillium" w:cs="Calibri"/>
          <w:iCs/>
          <w:sz w:val="18"/>
          <w:szCs w:val="18"/>
        </w:rPr>
      </w:pPr>
      <w:r>
        <w:rPr>
          <w:rFonts w:cs="Calibri" w:ascii="Titillium" w:hAnsi="Titillium"/>
          <w:iCs/>
          <w:sz w:val="18"/>
          <w:szCs w:val="18"/>
        </w:rPr>
        <w:t>Con riferimento alle cause di esclusione di cui all’articolo 95 del Codice, il concorrente dichiara:</w:t>
      </w:r>
    </w:p>
    <w:p>
      <w:pPr>
        <w:pStyle w:val="Normal"/>
        <w:spacing w:before="60" w:after="60"/>
        <w:rPr>
          <w:rFonts w:ascii="Titillium" w:hAnsi="Titillium" w:cs="Calibri"/>
          <w:iCs/>
          <w:sz w:val="18"/>
          <w:szCs w:val="18"/>
        </w:rPr>
      </w:pPr>
      <w:r>
        <w:rPr>
          <w:rFonts w:cs="Calibri" w:ascii="Titillium" w:hAnsi="Titillium"/>
          <w:iCs/>
          <w:sz w:val="18"/>
          <w:szCs w:val="18"/>
        </w:rPr>
        <w:t>-</w:t>
        <w:tab/>
        <w:t xml:space="preserve">le gravi infrazioni di cui all’articolo 95, comma 1, lettera a) del Codice commesse nei tre anni antecedenti la data di pubblicazione del bando di gara; </w:t>
      </w:r>
    </w:p>
    <w:p>
      <w:pPr>
        <w:pStyle w:val="Normal"/>
        <w:spacing w:before="60" w:after="60"/>
        <w:rPr>
          <w:rFonts w:ascii="Titillium" w:hAnsi="Titillium" w:cs="Calibri"/>
          <w:iCs/>
          <w:sz w:val="18"/>
          <w:szCs w:val="18"/>
        </w:rPr>
      </w:pPr>
      <w:r>
        <w:rPr>
          <w:rFonts w:cs="Calibri" w:ascii="Titillium" w:hAnsi="Titillium"/>
          <w:iCs/>
          <w:sz w:val="18"/>
          <w:szCs w:val="18"/>
        </w:rPr>
        <w:t>-</w:t>
        <w:tab/>
        <w:t>gli atti e i provvedimenti indicati all’articolo 98 comma 6 del codice emessi nei tre anni antecedenti la data di pubblicazione del bando di gara</w:t>
      </w:r>
    </w:p>
    <w:p>
      <w:pPr>
        <w:pStyle w:val="Normal"/>
        <w:spacing w:before="60" w:after="60"/>
        <w:rPr>
          <w:rFonts w:ascii="Titillium" w:hAnsi="Titillium" w:cs="Calibri"/>
          <w:iCs/>
          <w:sz w:val="18"/>
          <w:szCs w:val="18"/>
        </w:rPr>
      </w:pPr>
      <w:r>
        <w:rPr>
          <w:rFonts w:cs="Calibri" w:ascii="Titillium" w:hAnsi="Titillium"/>
          <w:iCs/>
          <w:sz w:val="18"/>
          <w:szCs w:val="18"/>
        </w:rPr>
        <w:t>-</w:t>
        <w:tab/>
        <w:t>tutti gli altri comportamenti di cui all’articolo 98 del Codice, commessi nei tre anni antecedenti la data di pubblicazione del bando di gara.</w:t>
      </w:r>
    </w:p>
    <w:p>
      <w:pPr>
        <w:pStyle w:val="Normal"/>
        <w:spacing w:before="60" w:after="60"/>
        <w:rPr>
          <w:rFonts w:ascii="Titillium" w:hAnsi="Titillium" w:cs="Calibri"/>
          <w:iCs/>
          <w:sz w:val="18"/>
          <w:szCs w:val="18"/>
        </w:rPr>
      </w:pPr>
      <w:r>
        <w:rPr>
          <w:rFonts w:cs="Calibri" w:ascii="Titillium" w:hAnsi="Titillium"/>
          <w:iCs/>
          <w:sz w:val="18"/>
          <w:szCs w:val="18"/>
        </w:rPr>
        <w:t>La dichiarazione di cui sopra deve essere resa anche nel caso di impugnazione in giudizio dei relativi provvedimenti.</w:t>
      </w:r>
    </w:p>
    <w:p>
      <w:pPr>
        <w:pStyle w:val="Normal"/>
        <w:spacing w:before="60" w:after="60"/>
        <w:rPr>
          <w:rFonts w:ascii="Titillium" w:hAnsi="Titillium" w:cs="Calibri"/>
          <w:iCs/>
          <w:sz w:val="18"/>
          <w:szCs w:val="18"/>
        </w:rPr>
      </w:pPr>
      <w:r>
        <w:rPr>
          <w:rFonts w:cs="Calibri" w:ascii="Titillium" w:hAnsi="Titillium"/>
          <w:iCs/>
          <w:sz w:val="18"/>
          <w:szCs w:val="18"/>
        </w:rPr>
        <w:t>L’operatore economico dichiara la sussistenza delle cause di esclusione che si sono verificate prima della presentazione dell’offerta e indica le misure di self-cleaning adottate, oppure dimostra l’impossibilità di adottare tali misure prima della presentazione dell’offerta.</w:t>
      </w:r>
    </w:p>
    <w:p>
      <w:pPr>
        <w:pStyle w:val="Normal"/>
        <w:spacing w:before="60" w:after="60"/>
        <w:rPr>
          <w:rFonts w:ascii="Titillium" w:hAnsi="Titillium" w:cs="Calibri"/>
          <w:iCs/>
          <w:sz w:val="18"/>
          <w:szCs w:val="18"/>
        </w:rPr>
      </w:pPr>
      <w:r>
        <w:rPr>
          <w:rFonts w:cs="Calibri" w:ascii="Titillium" w:hAnsi="Titillium"/>
          <w:iCs/>
          <w:sz w:val="18"/>
          <w:szCs w:val="18"/>
        </w:rPr>
        <w:t>L’operatore economico adotta le misure di self-cleaning che è stato impossibilitato ad adottare prima della presentazione dell’offerta e quelle relative a cause di esclusione che si sono verificate dopo tale momento.</w:t>
      </w:r>
    </w:p>
    <w:p>
      <w:pPr>
        <w:pStyle w:val="Normal"/>
        <w:spacing w:before="60" w:after="60"/>
        <w:rPr>
          <w:rFonts w:ascii="Titillium" w:hAnsi="Titillium" w:cs="Calibri"/>
          <w:iCs/>
          <w:sz w:val="18"/>
          <w:szCs w:val="18"/>
        </w:rPr>
      </w:pPr>
      <w:r>
        <w:rPr>
          <w:rFonts w:cs="Calibri" w:ascii="Titillium" w:hAnsi="Titillium"/>
          <w:iCs/>
          <w:sz w:val="18"/>
          <w:szCs w:val="18"/>
        </w:rPr>
        <w:t>Se l’operatore economico omette di comunicare alla stazione appaltante la sussistenza dei fatti e dei provvedimenti che possono costituire una causa di esclusione ai sensi degli articoli 94 e 95 del Codice e detti fatti o provvedimenti non risultino nel FVOE, il triennio inizia a decorrere dalla data in cui la stazione appaltante ha acquisito gli stessi, anziché dalla commissione del fatto o dall’adozione del provvedimento.</w:t>
      </w:r>
    </w:p>
    <w:p>
      <w:pPr>
        <w:pStyle w:val="Normal"/>
        <w:spacing w:before="60" w:after="60"/>
        <w:rPr>
          <w:rFonts w:ascii="Titillium" w:hAnsi="Titillium" w:cs="Calibri"/>
          <w:iCs/>
          <w:sz w:val="18"/>
          <w:szCs w:val="18"/>
        </w:rPr>
      </w:pPr>
      <w:r>
        <w:rPr>
          <w:rFonts w:cs="Calibri" w:ascii="Titillium" w:hAnsi="Titillium"/>
          <w:iCs/>
          <w:sz w:val="18"/>
          <w:szCs w:val="18"/>
        </w:rPr>
        <w:t>In caso di raggruppamento temporaneo, consorzio ordinario, aggregazione di retisti, GEIE, il concorrente fornisce i dati identificativi (ragione sociale, codice fiscale, sede) e il ruolo di ciascun partecipante.</w:t>
      </w:r>
    </w:p>
    <w:p>
      <w:pPr>
        <w:pStyle w:val="Normal"/>
        <w:spacing w:before="60" w:after="60"/>
        <w:rPr>
          <w:rFonts w:ascii="Titillium" w:hAnsi="Titillium" w:cs="Calibri"/>
          <w:iCs/>
          <w:sz w:val="18"/>
          <w:szCs w:val="18"/>
        </w:rPr>
      </w:pPr>
      <w:r>
        <w:rPr>
          <w:rFonts w:cs="Calibri" w:ascii="Titillium" w:hAnsi="Titillium"/>
          <w:iCs/>
          <w:sz w:val="18"/>
          <w:szCs w:val="18"/>
        </w:rPr>
        <w:t>In caso di consorzio di cooperative, consorzio imprese artigiane o di consorzio stabile di cui all’articolo 65, comma 2, lettera b), c), d) del Codice, il consorzio indica il consorziato per il quale concorre alla gara.</w:t>
      </w:r>
    </w:p>
    <w:p>
      <w:pPr>
        <w:pStyle w:val="Normal"/>
        <w:spacing w:before="60" w:after="60"/>
        <w:rPr>
          <w:rFonts w:ascii="Titillium" w:hAnsi="Titillium" w:cs="Calibri"/>
          <w:iCs/>
          <w:sz w:val="18"/>
          <w:szCs w:val="18"/>
        </w:rPr>
      </w:pPr>
      <w:r>
        <w:rPr>
          <w:rFonts w:cs="Calibri" w:ascii="Titillium" w:hAnsi="Titillium"/>
          <w:iCs/>
          <w:sz w:val="18"/>
          <w:szCs w:val="18"/>
        </w:rPr>
        <w:t>Nella domanda di partecipazione il concorrente dichiara:</w:t>
      </w:r>
    </w:p>
    <w:p>
      <w:pPr>
        <w:pStyle w:val="Normal"/>
        <w:spacing w:before="60" w:after="60"/>
        <w:rPr>
          <w:rFonts w:ascii="Titillium" w:hAnsi="Titillium" w:cs="Calibri"/>
          <w:iCs/>
          <w:sz w:val="18"/>
          <w:szCs w:val="18"/>
        </w:rPr>
      </w:pPr>
      <w:r>
        <w:rPr>
          <w:rFonts w:cs="Calibri" w:ascii="Titillium" w:hAnsi="Titillium"/>
          <w:iCs/>
          <w:sz w:val="18"/>
          <w:szCs w:val="18"/>
        </w:rPr>
        <w:t>- i dati identificativi (nome, cognome, data e luogo di nascita, codice fiscale, comune di residenza etc.) dei soggetti di cui all’articolo 94, comma 3, del Codice, ivi incluso l’amministratore di fatto, ove presente, ovvero indica la banca dati ufficiale o il pubblico registro da cui i medesimi possono essere ricavati in modo aggiornato alla data di presentazione dell’offerta;</w:t>
      </w:r>
    </w:p>
    <w:p>
      <w:pPr>
        <w:pStyle w:val="Normal"/>
        <w:spacing w:before="60" w:after="60"/>
        <w:rPr>
          <w:rFonts w:ascii="Titillium" w:hAnsi="Titillium" w:cs="Calibri"/>
          <w:iCs/>
          <w:sz w:val="18"/>
          <w:szCs w:val="18"/>
        </w:rPr>
      </w:pPr>
      <w:r>
        <w:rPr>
          <w:rFonts w:cs="Calibri" w:ascii="Titillium" w:hAnsi="Titillium"/>
          <w:iCs/>
          <w:sz w:val="18"/>
          <w:szCs w:val="18"/>
        </w:rPr>
        <w:t>- 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rispettare gli obblighi contrattuali</w:t>
      </w:r>
    </w:p>
    <w:p>
      <w:pPr>
        <w:pStyle w:val="Normal"/>
        <w:spacing w:before="60" w:after="60"/>
        <w:rPr>
          <w:rFonts w:ascii="Titillium" w:hAnsi="Titillium" w:cs="Calibri"/>
          <w:iCs/>
          <w:sz w:val="18"/>
          <w:szCs w:val="18"/>
        </w:rPr>
      </w:pPr>
      <w:r>
        <w:rPr>
          <w:rFonts w:cs="Calibri" w:ascii="Titillium" w:hAnsi="Titillium"/>
          <w:iCs/>
          <w:sz w:val="18"/>
          <w:szCs w:val="18"/>
        </w:rPr>
        <w:t>- di accettare, senza condizione o riserva alcuna, tutte le norme e disposizioni contenute nella documentazione gara;</w:t>
      </w:r>
    </w:p>
    <w:p>
      <w:pPr>
        <w:pStyle w:val="Normal"/>
        <w:spacing w:before="60" w:after="60"/>
        <w:rPr>
          <w:rFonts w:ascii="Titillium" w:hAnsi="Titillium" w:cs="Calibri"/>
          <w:iCs/>
          <w:sz w:val="18"/>
          <w:szCs w:val="18"/>
        </w:rPr>
      </w:pPr>
      <w:r>
        <w:rPr>
          <w:rFonts w:cs="Calibri" w:ascii="Titillium" w:hAnsi="Titillium"/>
          <w:iCs/>
          <w:sz w:val="18"/>
          <w:szCs w:val="18"/>
        </w:rPr>
        <w:t>- di applicare il CCNL indicato dalla stazione appaltante o altro CCNL equivalente, con l’indicazione del relativo codice alfanumerico unico di cui all’articolo 16 quater del decreto-legge 76/20;</w:t>
      </w:r>
    </w:p>
    <w:p>
      <w:pPr>
        <w:pStyle w:val="Normal"/>
        <w:spacing w:before="60" w:after="60"/>
        <w:rPr>
          <w:rFonts w:ascii="Titillium" w:hAnsi="Titillium" w:cs="Calibri"/>
          <w:iCs/>
          <w:sz w:val="18"/>
          <w:szCs w:val="18"/>
        </w:rPr>
      </w:pPr>
      <w:r>
        <w:rPr>
          <w:rFonts w:cs="Calibri" w:ascii="Titillium" w:hAnsi="Titillium"/>
          <w:iCs/>
          <w:sz w:val="18"/>
          <w:szCs w:val="18"/>
        </w:rPr>
        <w:t>- di garantire, secondo quanto indicato all’articolo 9, la stabilità occupazionale del personale impiegato;</w:t>
      </w:r>
    </w:p>
    <w:p>
      <w:pPr>
        <w:pStyle w:val="Normal"/>
        <w:spacing w:before="60" w:after="60"/>
        <w:rPr>
          <w:rFonts w:ascii="Titillium" w:hAnsi="Titillium" w:cs="Calibri"/>
          <w:iCs/>
          <w:sz w:val="18"/>
          <w:szCs w:val="18"/>
        </w:rPr>
      </w:pPr>
      <w:r>
        <w:rPr>
          <w:rFonts w:cs="Calibri" w:ascii="Titillium" w:hAnsi="Titillium"/>
          <w:iCs/>
          <w:sz w:val="18"/>
          <w:szCs w:val="18"/>
        </w:rPr>
        <w:t>- di essere edotto degli obblighi derivanti dal Codice di comportamento adottato dalla stazione appaltante con Delibera del Direttore Generale n.40 del 25.01.2024, pubblicato nella sezione amministrazione trasparente https://www.ausl.bologna.it/amministrazione-trasparente/disposizioni-generali/atti-generali/cdcc e di impegnarsi, in caso di aggiudicazione, ad osservare e a far osservare ai propri dipendenti e collaboratori, per quanto applicabile, il suddetto codice, pena la risoluzione del contratto;</w:t>
      </w:r>
    </w:p>
    <w:p>
      <w:pPr>
        <w:pStyle w:val="Normal"/>
        <w:spacing w:before="60" w:after="60"/>
        <w:rPr>
          <w:rFonts w:ascii="Titillium" w:hAnsi="Titillium" w:cs="Calibri"/>
          <w:iCs/>
          <w:sz w:val="18"/>
          <w:szCs w:val="18"/>
        </w:rPr>
      </w:pPr>
      <w:r>
        <w:rPr>
          <w:rFonts w:cs="Calibri" w:ascii="Titillium" w:hAnsi="Titillium"/>
          <w:iCs/>
          <w:sz w:val="18"/>
          <w:szCs w:val="18"/>
        </w:rPr>
        <w:t>- di accettare il patto di integrità di cui a protocollo n.121859 del 13.11.2023 dell’Ausl di Bologna di aggiornamento del Patto di Integrità approvato di cui a delibera n.41 del 30.01.2015 dell’Azienda USL di Bologna  accessibile al seguente link https://www.ausl.bologna.it/asl-bologna/da/uoc-servizio-acquisti-metropolitano/trasparenza/atti-generali/Patto%20di%20Integrita.pdf/view :</w:t>
      </w:r>
    </w:p>
    <w:p>
      <w:pPr>
        <w:pStyle w:val="Normal"/>
        <w:spacing w:before="60" w:after="60"/>
        <w:rPr>
          <w:rFonts w:ascii="Titillium" w:hAnsi="Titillium" w:cs="Calibri"/>
          <w:iCs/>
          <w:sz w:val="18"/>
          <w:szCs w:val="18"/>
        </w:rPr>
      </w:pPr>
      <w:r>
        <w:rPr>
          <w:rFonts w:cs="Calibri" w:ascii="Titillium" w:hAnsi="Titillium"/>
          <w:iCs/>
          <w:sz w:val="18"/>
          <w:szCs w:val="18"/>
        </w:rPr>
        <w:t>- 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w:t>
      </w:r>
    </w:p>
    <w:p>
      <w:pPr>
        <w:pStyle w:val="Normal"/>
        <w:spacing w:before="60" w:after="60"/>
        <w:rPr>
          <w:rFonts w:ascii="Titillium" w:hAnsi="Titillium" w:cs="Calibri"/>
          <w:iCs/>
          <w:sz w:val="18"/>
          <w:szCs w:val="18"/>
        </w:rPr>
      </w:pPr>
      <w:r>
        <w:rPr>
          <w:rFonts w:cs="Calibri" w:ascii="Titillium" w:hAnsi="Titillium"/>
          <w:iCs/>
          <w:sz w:val="18"/>
          <w:szCs w:val="18"/>
        </w:rPr>
        <w:t>- per gli operatori economici non residenti e privi di stabile organizzazione in Italia, il domicilio fiscale …, il codice fiscale …, la partita IVA …, l’indirizzo di posta elettronica certificata o strumento analogo negli altri Stati Membri, ai fini delle comunicazioni di cui all’articolo 90 del Codice;</w:t>
      </w:r>
    </w:p>
    <w:p>
      <w:pPr>
        <w:pStyle w:val="Normal"/>
        <w:spacing w:before="60" w:after="60"/>
        <w:rPr>
          <w:rFonts w:ascii="Titillium" w:hAnsi="Titillium" w:cs="Calibri"/>
          <w:iCs/>
          <w:sz w:val="18"/>
          <w:szCs w:val="18"/>
        </w:rPr>
      </w:pPr>
      <w:r>
        <w:rPr>
          <w:rFonts w:cs="Calibri" w:ascii="Titillium" w:hAnsi="Titillium"/>
          <w:iCs/>
          <w:sz w:val="18"/>
          <w:szCs w:val="18"/>
        </w:rPr>
        <w:t>- di aver preso visione e di accettare il trattamento dei dati personali di cui al punto 29.</w:t>
      </w:r>
    </w:p>
    <w:p>
      <w:pPr>
        <w:pStyle w:val="Normal"/>
        <w:spacing w:before="60" w:after="60"/>
        <w:rPr>
          <w:rFonts w:ascii="Titillium" w:hAnsi="Titillium" w:cs="Calibri"/>
          <w:iCs/>
          <w:sz w:val="18"/>
          <w:szCs w:val="18"/>
        </w:rPr>
      </w:pPr>
      <w:r>
        <w:rPr>
          <w:rFonts w:cs="Calibri" w:ascii="Titillium" w:hAnsi="Titillium"/>
          <w:iCs/>
          <w:sz w:val="18"/>
          <w:szCs w:val="18"/>
        </w:rPr>
      </w:r>
    </w:p>
    <w:p>
      <w:pPr>
        <w:pStyle w:val="Normal"/>
        <w:spacing w:before="60" w:after="60"/>
        <w:rPr>
          <w:rFonts w:ascii="Titillium" w:hAnsi="Titillium"/>
          <w:sz w:val="18"/>
          <w:szCs w:val="18"/>
        </w:rPr>
      </w:pPr>
      <w:bookmarkStart w:id="1743" w:name="_Toc484688885"/>
      <w:bookmarkStart w:id="1744" w:name="_Toc485218321"/>
      <w:bookmarkStart w:id="1745" w:name="_Toc483302395"/>
      <w:bookmarkStart w:id="1746" w:name="_Toc483316016"/>
      <w:bookmarkStart w:id="1747" w:name="_Toc483316221"/>
      <w:bookmarkStart w:id="1748" w:name="_Toc483316353"/>
      <w:bookmarkStart w:id="1749" w:name="_Toc483316484"/>
      <w:bookmarkStart w:id="1750" w:name="_Toc483325787"/>
      <w:bookmarkStart w:id="1751" w:name="_Toc483401266"/>
      <w:bookmarkStart w:id="1752" w:name="_Toc483474063"/>
      <w:bookmarkStart w:id="1753" w:name="_Toc483571492"/>
      <w:bookmarkStart w:id="1754" w:name="_Toc483571613"/>
      <w:bookmarkStart w:id="1755" w:name="_Toc483906990"/>
      <w:bookmarkStart w:id="1756" w:name="_Toc484010740"/>
      <w:bookmarkStart w:id="1757" w:name="_Toc484010862"/>
      <w:bookmarkStart w:id="1758" w:name="_Toc484010986"/>
      <w:bookmarkStart w:id="1759" w:name="_Toc484011108"/>
      <w:bookmarkStart w:id="1760" w:name="_Toc484011230"/>
      <w:bookmarkStart w:id="1761" w:name="_Toc484011705"/>
      <w:bookmarkStart w:id="1762" w:name="_Toc484097779"/>
      <w:bookmarkStart w:id="1763" w:name="_Toc484428951"/>
      <w:bookmarkStart w:id="1764" w:name="_Toc484429121"/>
      <w:bookmarkStart w:id="1765" w:name="_Toc484438696"/>
      <w:bookmarkStart w:id="1766" w:name="_Toc484438820"/>
      <w:bookmarkStart w:id="1767" w:name="_Toc484438944"/>
      <w:bookmarkStart w:id="1768" w:name="_Toc484439864"/>
      <w:bookmarkStart w:id="1769" w:name="_Toc484439987"/>
      <w:bookmarkStart w:id="1770" w:name="_Toc484440111"/>
      <w:bookmarkStart w:id="1771" w:name="_Toc484440471"/>
      <w:bookmarkStart w:id="1772" w:name="_Toc484448130"/>
      <w:bookmarkStart w:id="1773" w:name="_Toc484448255"/>
      <w:bookmarkStart w:id="1774" w:name="_Toc484448379"/>
      <w:bookmarkStart w:id="1775" w:name="_Toc484448503"/>
      <w:bookmarkStart w:id="1776" w:name="_Toc484448627"/>
      <w:bookmarkStart w:id="1777" w:name="_Toc484448751"/>
      <w:bookmarkStart w:id="1778" w:name="_Toc484448874"/>
      <w:bookmarkStart w:id="1779" w:name="_Toc484448998"/>
      <w:bookmarkStart w:id="1780" w:name="_Toc484449122"/>
      <w:bookmarkStart w:id="1781" w:name="_Toc484526617"/>
      <w:bookmarkStart w:id="1782" w:name="_Toc484605337"/>
      <w:bookmarkStart w:id="1783" w:name="_Toc484605461"/>
      <w:bookmarkStart w:id="1784" w:name="_Toc484688330"/>
      <w:bookmarkStart w:id="1785" w:name="_Ref4984219821"/>
      <w:bookmarkStart w:id="1786" w:name="_Toc609251781"/>
      <w:bookmarkStart w:id="1787" w:name="_Toc3805018791"/>
      <w:bookmarkStart w:id="1788" w:name="_Toc3910359921"/>
      <w:bookmarkStart w:id="1789" w:name="_Toc3910360651"/>
      <w:bookmarkStart w:id="1790" w:name="_Toc3925775061"/>
      <w:bookmarkStart w:id="1791" w:name="_Toc3931105731"/>
      <w:bookmarkStart w:id="1792" w:name="_Toc3931121371"/>
      <w:bookmarkStart w:id="1793" w:name="_Toc3931878541"/>
      <w:bookmarkStart w:id="1794" w:name="_Toc3932726101"/>
      <w:bookmarkStart w:id="1795" w:name="_Toc3932726681"/>
      <w:bookmarkStart w:id="1796" w:name="_Toc3932831841"/>
      <w:bookmarkStart w:id="1797" w:name="_Toc3937008431"/>
      <w:bookmarkStart w:id="1798" w:name="_Toc3937069161"/>
      <w:bookmarkStart w:id="1799" w:name="_Toc3973468311"/>
      <w:bookmarkStart w:id="1800" w:name="_Toc3974228721"/>
      <w:bookmarkStart w:id="1801" w:name="_Toc4034712791"/>
      <w:bookmarkStart w:id="1802" w:name="_Toc4060583871"/>
      <w:bookmarkStart w:id="1803" w:name="_Toc4067541881"/>
      <w:bookmarkStart w:id="1804" w:name="_Toc4164233711"/>
      <w:bookmarkStart w:id="1805" w:name="_Ref484611690"/>
      <w:bookmarkStart w:id="1806" w:name="_Ref484611693"/>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rPr>
          <w:rFonts w:cs="Calibri" w:ascii="Titillium" w:hAnsi="Titillium"/>
          <w:sz w:val="18"/>
          <w:szCs w:val="18"/>
        </w:rPr>
        <w:t>La domanda e le relative dichiarazioni sono sottoscritte</w:t>
      </w:r>
      <w:r>
        <w:rPr>
          <w:rFonts w:ascii="Titillium" w:hAnsi="Titillium"/>
          <w:sz w:val="18"/>
          <w:szCs w:val="18"/>
        </w:rPr>
        <w:t xml:space="preserve"> </w:t>
      </w:r>
      <w:r>
        <w:rPr>
          <w:rFonts w:cs="Calibri" w:ascii="Titillium" w:hAnsi="Titillium"/>
          <w:sz w:val="18"/>
          <w:szCs w:val="18"/>
        </w:rPr>
        <w:t>ai sensi del decreto legislativo n. 82/2005:</w:t>
      </w:r>
    </w:p>
    <w:p>
      <w:pPr>
        <w:pStyle w:val="ListParagraph"/>
        <w:numPr>
          <w:ilvl w:val="0"/>
          <w:numId w:val="7"/>
        </w:numPr>
        <w:spacing w:before="60" w:after="60"/>
        <w:ind w:hanging="284" w:left="426"/>
        <w:contextualSpacing w:val="false"/>
        <w:rPr>
          <w:rFonts w:ascii="Titillium" w:hAnsi="Titillium"/>
          <w:sz w:val="18"/>
          <w:szCs w:val="18"/>
        </w:rPr>
      </w:pPr>
      <w:r>
        <w:rPr>
          <w:rFonts w:cs="Calibri" w:ascii="Titillium" w:hAnsi="Titillium"/>
          <w:sz w:val="18"/>
          <w:szCs w:val="18"/>
        </w:rPr>
        <w:t>dal concorrente che partecipa in forma singola;</w:t>
      </w:r>
    </w:p>
    <w:p>
      <w:pPr>
        <w:pStyle w:val="ListParagraph"/>
        <w:numPr>
          <w:ilvl w:val="0"/>
          <w:numId w:val="7"/>
        </w:numPr>
        <w:spacing w:before="60" w:after="60"/>
        <w:ind w:hanging="284" w:left="426"/>
        <w:contextualSpacing w:val="false"/>
        <w:rPr>
          <w:rFonts w:ascii="Titillium" w:hAnsi="Titillium"/>
          <w:sz w:val="18"/>
          <w:szCs w:val="18"/>
        </w:rPr>
      </w:pPr>
      <w:r>
        <w:rPr>
          <w:rFonts w:cs="Calibri" w:ascii="Titillium" w:hAnsi="Titillium"/>
          <w:sz w:val="18"/>
          <w:szCs w:val="18"/>
        </w:rPr>
        <w:t>nel caso di raggruppamento temporaneo o consorzio ordinario o GEIE costituiti, dalla mandataria/capofila;</w:t>
      </w:r>
    </w:p>
    <w:p>
      <w:pPr>
        <w:pStyle w:val="ListParagraph"/>
        <w:numPr>
          <w:ilvl w:val="0"/>
          <w:numId w:val="7"/>
        </w:numPr>
        <w:spacing w:before="60" w:after="60"/>
        <w:ind w:hanging="284" w:left="426"/>
        <w:contextualSpacing w:val="false"/>
        <w:rPr>
          <w:rFonts w:ascii="Titillium" w:hAnsi="Titillium"/>
          <w:sz w:val="18"/>
          <w:szCs w:val="18"/>
        </w:rPr>
      </w:pPr>
      <w:r>
        <w:rPr>
          <w:rFonts w:cs="Calibri" w:ascii="Titillium" w:hAnsi="Titillium"/>
          <w:sz w:val="18"/>
          <w:szCs w:val="18"/>
        </w:rPr>
        <w:t>nel caso di raggruppamento temporaneo o consorzio ordinario o GEIE non ancora costituiti, da tutti i soggetti che costituiranno il raggruppamento o il consorzio o il gruppo;</w:t>
      </w:r>
    </w:p>
    <w:p>
      <w:pPr>
        <w:pStyle w:val="ListParagraph"/>
        <w:numPr>
          <w:ilvl w:val="0"/>
          <w:numId w:val="7"/>
        </w:numPr>
        <w:spacing w:before="60" w:after="60"/>
        <w:ind w:hanging="284" w:left="426"/>
        <w:contextualSpacing w:val="false"/>
        <w:rPr>
          <w:rFonts w:ascii="Titillium" w:hAnsi="Titillium" w:cs="Calibri"/>
          <w:sz w:val="18"/>
          <w:szCs w:val="18"/>
        </w:rPr>
      </w:pPr>
      <w:r>
        <w:rPr>
          <w:rFonts w:cs="Calibri" w:ascii="Titillium" w:hAnsi="Titillium"/>
          <w:sz w:val="18"/>
          <w:szCs w:val="18"/>
        </w:rPr>
        <w:t>nel caso di aggregazioni di retisti:</w:t>
      </w:r>
    </w:p>
    <w:p>
      <w:pPr>
        <w:pStyle w:val="Normal"/>
        <w:numPr>
          <w:ilvl w:val="4"/>
          <w:numId w:val="1"/>
        </w:numPr>
        <w:spacing w:before="60" w:after="60"/>
        <w:ind w:hanging="283" w:left="709"/>
        <w:rPr>
          <w:rFonts w:ascii="Titillium" w:hAnsi="Titillium"/>
          <w:sz w:val="18"/>
          <w:szCs w:val="18"/>
        </w:rPr>
      </w:pPr>
      <w:r>
        <w:rPr>
          <w:rFonts w:cs="Calibri" w:ascii="Titillium" w:hAnsi="Titillium"/>
          <w:sz w:val="18"/>
          <w:szCs w:val="18"/>
        </w:rPr>
        <w:t>se la rete è dotata di un organo comune con potere di rappresentanza e con soggettività giuridica, ai sensi dell’articolo 3, comma 4-</w:t>
      </w:r>
      <w:r>
        <w:rPr>
          <w:rFonts w:cs="Calibri" w:ascii="Titillium" w:hAnsi="Titillium"/>
          <w:i/>
          <w:sz w:val="18"/>
          <w:szCs w:val="18"/>
        </w:rPr>
        <w:t>quater</w:t>
      </w:r>
      <w:r>
        <w:rPr>
          <w:rFonts w:cs="Calibri" w:ascii="Titillium" w:hAnsi="Titillium"/>
          <w:sz w:val="18"/>
          <w:szCs w:val="18"/>
        </w:rPr>
        <w:t>, del decreto-legge 10 febbraio 2009, n. 5, la domanda di partecipazione deve essere sottoscritta dal solo operatore economico che riveste la funzione di organo comune;</w:t>
      </w:r>
    </w:p>
    <w:p>
      <w:pPr>
        <w:pStyle w:val="Normal"/>
        <w:numPr>
          <w:ilvl w:val="4"/>
          <w:numId w:val="1"/>
        </w:numPr>
        <w:spacing w:before="60" w:after="60"/>
        <w:ind w:hanging="283" w:left="709"/>
        <w:rPr>
          <w:rFonts w:ascii="Titillium" w:hAnsi="Titillium"/>
          <w:sz w:val="18"/>
          <w:szCs w:val="18"/>
        </w:rPr>
      </w:pPr>
      <w:r>
        <w:rPr>
          <w:rFonts w:cs="Calibri" w:ascii="Titillium" w:hAnsi="Titillium"/>
          <w:sz w:val="18"/>
          <w:szCs w:val="18"/>
          <w:lang w:eastAsia="it-IT"/>
        </w:rPr>
        <w:t>se la rete è dotata di un organo comune con potere di rappresentanza ma è priva di soggettività giuridica, ai sensi dell’articolo 3, comma 4-</w:t>
      </w:r>
      <w:r>
        <w:rPr>
          <w:rFonts w:cs="Calibri" w:ascii="Titillium" w:hAnsi="Titillium"/>
          <w:i/>
          <w:sz w:val="18"/>
          <w:szCs w:val="18"/>
          <w:lang w:eastAsia="it-IT"/>
        </w:rPr>
        <w:t>quater</w:t>
      </w:r>
      <w:r>
        <w:rPr>
          <w:rFonts w:cs="Calibri" w:ascii="Titillium" w:hAnsi="Titillium"/>
          <w:sz w:val="18"/>
          <w:szCs w:val="18"/>
          <w:lang w:eastAsia="it-IT"/>
        </w:rPr>
        <w:t xml:space="preserve">, del decreto-legge 10 febbraio 2009, n. 5, la domanda di partecipazione deve essere sottoscritta </w:t>
      </w:r>
      <w:r>
        <w:rPr>
          <w:rFonts w:cs="Calibri" w:ascii="Titillium" w:hAnsi="Titillium"/>
          <w:sz w:val="18"/>
          <w:szCs w:val="18"/>
        </w:rPr>
        <w:t>dal</w:t>
      </w:r>
      <w:r>
        <w:rPr>
          <w:rFonts w:cs="Calibri" w:ascii="Titillium" w:hAnsi="Titillium"/>
          <w:sz w:val="18"/>
          <w:szCs w:val="18"/>
          <w:lang w:eastAsia="it-IT"/>
        </w:rPr>
        <w:t xml:space="preserve">l’impresa che riveste le funzioni di organo comune nonché da ognuno dei retisti che partecipa alla gara; </w:t>
      </w:r>
    </w:p>
    <w:p>
      <w:pPr>
        <w:pStyle w:val="Normal"/>
        <w:numPr>
          <w:ilvl w:val="4"/>
          <w:numId w:val="1"/>
        </w:numPr>
        <w:spacing w:before="60" w:after="60"/>
        <w:ind w:hanging="283" w:left="709"/>
        <w:rPr>
          <w:rFonts w:ascii="Titillium" w:hAnsi="Titillium"/>
          <w:sz w:val="18"/>
          <w:szCs w:val="18"/>
        </w:rPr>
      </w:pPr>
      <w:r>
        <w:rPr>
          <w:rFonts w:cs="Calibri" w:ascii="Titillium" w:hAnsi="Titillium"/>
          <w:sz w:val="18"/>
          <w:szCs w:val="18"/>
          <w:lang w:eastAsia="it-IT"/>
        </w:rPr>
        <w:t xml:space="preserve">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 </w:t>
      </w:r>
    </w:p>
    <w:p>
      <w:pPr>
        <w:pStyle w:val="Normal"/>
        <w:spacing w:before="60" w:after="60"/>
        <w:ind w:hanging="256" w:left="426"/>
        <w:rPr>
          <w:rFonts w:ascii="Titillium" w:hAnsi="Titillium"/>
          <w:sz w:val="18"/>
          <w:szCs w:val="18"/>
        </w:rPr>
      </w:pPr>
      <w:r>
        <w:rPr>
          <w:rFonts w:cs="Arial" w:ascii="Titillium" w:hAnsi="Titillium"/>
          <w:sz w:val="18"/>
          <w:szCs w:val="18"/>
        </w:rPr>
        <w:t xml:space="preserve">- </w:t>
        <w:tab/>
        <w:t>nel</w:t>
      </w:r>
      <w:r>
        <w:rPr>
          <w:rFonts w:cs="Calibri" w:ascii="Titillium" w:hAnsi="Titillium"/>
          <w:sz w:val="18"/>
          <w:szCs w:val="18"/>
          <w:lang w:eastAsia="it-IT"/>
        </w:rPr>
        <w:t xml:space="preserve"> caso di consorzio di cooperative e imprese artigiane o di consorzio stabile di cui all’articolo 65, comma 2, lettera b), c) e d) del Codice, </w:t>
      </w:r>
      <w:r>
        <w:rPr>
          <w:rFonts w:cs="Calibri" w:ascii="Titillium" w:hAnsi="Titillium"/>
          <w:sz w:val="18"/>
          <w:szCs w:val="18"/>
        </w:rPr>
        <w:t>la domanda è sottoscritta</w:t>
      </w:r>
      <w:r>
        <w:rPr>
          <w:rFonts w:cs="Calibri" w:ascii="Titillium" w:hAnsi="Titillium"/>
          <w:sz w:val="18"/>
          <w:szCs w:val="18"/>
          <w:lang w:eastAsia="it-IT"/>
        </w:rPr>
        <w:t xml:space="preserve"> digitalmente dal consorzio medesimo.</w:t>
      </w:r>
    </w:p>
    <w:p>
      <w:pPr>
        <w:pStyle w:val="Normal"/>
        <w:rPr>
          <w:rFonts w:ascii="Titillium" w:hAnsi="Titillium"/>
          <w:iCs/>
          <w:sz w:val="18"/>
          <w:szCs w:val="18"/>
        </w:rPr>
      </w:pPr>
      <w:r>
        <w:rPr>
          <w:rFonts w:ascii="Titillium" w:hAnsi="Titillium"/>
          <w:sz w:val="18"/>
          <w:szCs w:val="18"/>
        </w:rPr>
        <w:t>La domanda e le relative dichiarazioni sono firmate dal legale rappresentante del concorrente o da un suo procuratore munito della relativa procura</w:t>
      </w:r>
      <w:r>
        <w:rPr>
          <w:rFonts w:ascii="Titillium" w:hAnsi="Titillium"/>
          <w:b/>
          <w:sz w:val="18"/>
          <w:szCs w:val="18"/>
        </w:rPr>
        <w:t xml:space="preserve">. </w:t>
      </w:r>
      <w:r>
        <w:rPr>
          <w:rFonts w:ascii="Titillium" w:hAnsi="Titillium"/>
          <w:sz w:val="18"/>
          <w:szCs w:val="18"/>
        </w:rPr>
        <w:t xml:space="preserve">In tal caso, il concorrente allega alla domanda copia conforme all’originale della procura. </w:t>
      </w:r>
      <w:r>
        <w:rPr>
          <w:rFonts w:ascii="Titillium" w:hAnsi="Titillium"/>
          <w:iCs/>
          <w:sz w:val="18"/>
          <w:szCs w:val="18"/>
        </w:rPr>
        <w:t>Non è necessario allegare la procura se dalla visura camerale del concorrente risulti l’indicazione espressa dei poteri rappresentativi conferiti al procuratore.</w:t>
      </w:r>
    </w:p>
    <w:p>
      <w:pPr>
        <w:pStyle w:val="Normal"/>
        <w:rPr>
          <w:rFonts w:ascii="Titillium" w:hAnsi="Titillium"/>
          <w:sz w:val="18"/>
          <w:szCs w:val="18"/>
        </w:rPr>
      </w:pPr>
      <w:r>
        <w:rPr>
          <w:rFonts w:ascii="Titillium" w:hAnsi="Titillium"/>
          <w:sz w:val="18"/>
          <w:szCs w:val="18"/>
        </w:rPr>
      </w:r>
    </w:p>
    <w:p>
      <w:pPr>
        <w:pStyle w:val="ListParagraph"/>
        <w:spacing w:before="60" w:after="60"/>
        <w:ind w:left="0"/>
        <w:contextualSpacing/>
        <w:rPr/>
      </w:pPr>
      <w:r>
        <w:rPr>
          <w:rFonts w:cs="Calibri" w:ascii="Titillium" w:hAnsi="Titillium"/>
          <w:sz w:val="18"/>
          <w:szCs w:val="18"/>
        </w:rPr>
        <w:t>La domanda di partecipazione deve essere presentata nel rispetto di quanto stabilito dal Decreto del Presidente della Repubblica n. 642/72 in ordine all’assolvimento dell’imposta di bollo. Il pagamento della suddetta imposta del valore di € 16,00 viene effettuato tramite F24, bollo virtuale previa autorizzazione rilasciata dall’Agenzia delle Entrate o tramite il servizio @e.bollo</w:t>
      </w:r>
      <w:r>
        <w:rPr>
          <w:rFonts w:cs="Calibri" w:ascii="Calibri" w:hAnsi="Calibri"/>
          <w:sz w:val="18"/>
          <w:szCs w:val="18"/>
        </w:rPr>
        <w:t xml:space="preserve"> </w:t>
      </w:r>
      <w:r>
        <w:rPr>
          <w:rFonts w:cs="Calibri" w:ascii="Titillium" w:hAnsi="Titillium"/>
          <w:sz w:val="18"/>
          <w:szCs w:val="18"/>
        </w:rPr>
        <w:t xml:space="preserve">dell'Agenzia delle Entrate o </w:t>
      </w:r>
      <w:r>
        <w:rPr>
          <w:rFonts w:cs="Calibri" w:ascii="Titillium" w:hAnsi="Titillium"/>
          <w:iCs/>
          <w:sz w:val="18"/>
          <w:szCs w:val="18"/>
        </w:rPr>
        <w:t xml:space="preserve">per gli operatori economici esteri tramite il pagamento del tributo con bonifico utilizzando il codice Iban IT07Y0100003245348008120501 e specificando nella causale la propria denominazione, codice fiscale (se presente) e gli estremi dell'atto a cui si riferisce il pagamento. </w:t>
      </w:r>
      <w:r>
        <w:rPr>
          <w:rFonts w:cs="Calibri" w:ascii="Titillium" w:hAnsi="Titillium"/>
          <w:i/>
          <w:iCs/>
          <w:sz w:val="18"/>
          <w:szCs w:val="18"/>
        </w:rPr>
        <w:t xml:space="preserve"> </w:t>
      </w:r>
    </w:p>
    <w:p>
      <w:pPr>
        <w:pStyle w:val="ListParagraph"/>
        <w:spacing w:before="60" w:after="60"/>
        <w:ind w:left="0"/>
        <w:contextualSpacing/>
        <w:rPr/>
      </w:pPr>
      <w:r>
        <w:rPr>
          <w:rFonts w:cs="Calibri" w:ascii="Titillium" w:hAnsi="Titillium"/>
          <w:sz w:val="18"/>
          <w:szCs w:val="18"/>
        </w:rPr>
        <w:t>A comprova del pagamento, il concorrente allega la ricevuta di pagamento elettronico ovvero del bonifico bancario.</w:t>
      </w:r>
    </w:p>
    <w:p>
      <w:pPr>
        <w:pStyle w:val="ListParagraph"/>
        <w:spacing w:before="60" w:after="60"/>
        <w:ind w:left="0"/>
        <w:contextualSpacing/>
        <w:rPr>
          <w:rFonts w:ascii="Titillium" w:hAnsi="Titillium" w:cs="Calibri"/>
          <w:iCs/>
          <w:sz w:val="18"/>
          <w:szCs w:val="18"/>
        </w:rPr>
      </w:pPr>
      <w:r>
        <w:rPr>
          <w:rFonts w:cs="Calibri" w:ascii="Titillium" w:hAnsi="Titillium"/>
          <w:iCs/>
          <w:sz w:val="18"/>
          <w:szCs w:val="18"/>
        </w:rPr>
        <w:t>In alternativa il concorrente può acquistare la marca da bollo da euro 16,00 ed inserire il suo numero seriale all'interno della dichiarazione contenuta nell'istanza telematica e allegare, obbligatoriamente copia del contrassegno in formato.pdf. Il concorrente si assume ogni responsabilità in caso di utilizzo plurimo dei contrassegni.</w:t>
      </w:r>
    </w:p>
    <w:p>
      <w:pPr>
        <w:pStyle w:val="ListParagraph"/>
        <w:spacing w:before="60" w:after="60"/>
        <w:ind w:left="0"/>
        <w:contextualSpacing/>
        <w:rPr>
          <w:rFonts w:ascii="Titillium" w:hAnsi="Titillium" w:cs="Calibri"/>
          <w:iCs/>
          <w:sz w:val="18"/>
          <w:szCs w:val="18"/>
        </w:rPr>
      </w:pPr>
      <w:r>
        <w:rPr>
          <w:rFonts w:cs="Calibri" w:ascii="Titillium" w:hAnsi="Titillium"/>
          <w:iCs/>
          <w:sz w:val="18"/>
          <w:szCs w:val="18"/>
        </w:rPr>
      </w:r>
    </w:p>
    <w:p>
      <w:pPr>
        <w:pStyle w:val="ListParagraph"/>
        <w:spacing w:before="60" w:after="60"/>
        <w:ind w:left="0"/>
        <w:contextualSpacing/>
        <w:rPr>
          <w:rFonts w:ascii="Titillium" w:hAnsi="Titillium" w:cs="Calibri"/>
          <w:sz w:val="18"/>
          <w:szCs w:val="18"/>
        </w:rPr>
      </w:pPr>
      <w:r>
        <w:rPr>
          <w:rFonts w:cs="Calibri" w:ascii="Titillium" w:hAnsi="Titillium"/>
          <w:sz w:val="18"/>
          <w:szCs w:val="18"/>
        </w:rPr>
        <w:t>Si specifica inoltre che ai sensi del comma 10 dell’articolo 18 del codice, viste la risoluzione dell’agenzia delle entrate n.37/e del 28 giugno 2023 e la circolare n.22/e del 28 luglio 2023, il pagamento dell’imposta di bollo al momento della stipulazione del contratto ha natura sostitutiva dell’imposta di bollo dovuta per tutti gli atti e documenti riguardanti la procedura di selezione e l’esecuzione dell’appalto, fatta eccezione per le fatture, note e simili di cui all’articolo 13, punto 1, della tabella A tariffa, parte I, allegata al decreto del presidente della repubblica 26 ottobre 1972, n. 642; pertanto l’aggiudicatario al momento della stipula del contratto, assolve l’imposta da lui complessivamente dovuta, quantificandola secondo gli scaglioni stabiliti dalla tabella a di cui all’allegato I.4 al d.lgs. 36/2023, in relazione all’importo massimo previsto nel contratto medesimo.</w:t>
      </w:r>
    </w:p>
    <w:p>
      <w:pPr>
        <w:pStyle w:val="ListParagraph"/>
        <w:spacing w:before="60" w:after="60"/>
        <w:ind w:left="0"/>
        <w:contextualSpacing/>
        <w:rPr>
          <w:rFonts w:ascii="Titillium" w:hAnsi="Titillium" w:cs="Calibri"/>
          <w:iCs/>
          <w:sz w:val="18"/>
          <w:szCs w:val="18"/>
        </w:rPr>
      </w:pPr>
      <w:r>
        <w:rPr>
          <w:rFonts w:cs="Calibri" w:ascii="Titillium" w:hAnsi="Titillium"/>
          <w:iCs/>
          <w:sz w:val="18"/>
          <w:szCs w:val="18"/>
        </w:rPr>
      </w:r>
      <w:bookmarkStart w:id="1807" w:name="_Ref484611690_Copy_1"/>
      <w:bookmarkStart w:id="1808" w:name="_Ref484611693_Copy_1"/>
      <w:bookmarkEnd w:id="1807"/>
      <w:bookmarkEnd w:id="1808"/>
    </w:p>
    <w:p>
      <w:pPr>
        <w:pStyle w:val="Heading3"/>
        <w:numPr>
          <w:ilvl w:val="1"/>
          <w:numId w:val="3"/>
        </w:numPr>
        <w:ind w:hanging="426" w:left="426"/>
        <w:rPr/>
      </w:pPr>
      <w:bookmarkStart w:id="1809" w:name="__RefHeading___Toc11732_2735037374"/>
      <w:bookmarkStart w:id="1810" w:name="_Toc207275750"/>
      <w:bookmarkEnd w:id="1809"/>
      <w:r>
        <w:rPr>
          <w:rFonts w:ascii="Titillium" w:hAnsi="Titillium"/>
          <w:sz w:val="18"/>
          <w:szCs w:val="18"/>
        </w:rPr>
        <w:t>DICHIARAZIONI DA RENDERE A CURA DEGLI OPERATORI ECONOMICI AMMESSI AL CONCORDATO PREVENTIVO CON CONTINUITÀ AZIENDALE DI CUI ALL’ARTICOLO 372 del DECRETO LEGISLATIVO 12 GENNAIO 2019, n. 14</w:t>
      </w:r>
      <w:bookmarkEnd w:id="1810"/>
    </w:p>
    <w:p>
      <w:pPr>
        <w:pStyle w:val="Normal"/>
        <w:spacing w:before="60" w:after="60"/>
        <w:rPr>
          <w:rFonts w:ascii="Titillium" w:hAnsi="Titillium" w:cs="Calibri"/>
          <w:sz w:val="18"/>
          <w:szCs w:val="18"/>
        </w:rPr>
      </w:pPr>
      <w:r>
        <w:rPr>
          <w:rFonts w:cs="Calibri" w:ascii="Titillium" w:hAnsi="Titillium"/>
          <w:sz w:val="18"/>
          <w:szCs w:val="18"/>
        </w:rPr>
        <w:t>Nella domanda di partecipazione, il concorrente dichiara ai sensi degli articoli 46 e 47 del decreto del Presidente della Repubblica n. 445/2000 gli estremi del provvedimento di ammissione al concordato e del provvedimento di autorizzazione a partecipare alle gare, nonché dichiara che le altre imprese aderenti al raggruppamento non sono assoggettate ad una procedura concorsuale, ai sensi dell’articolo 95, commi 4 e 5, del decreto legislativo n. 14/2019.</w:t>
      </w:r>
    </w:p>
    <w:p>
      <w:pPr>
        <w:pStyle w:val="Normal"/>
        <w:spacing w:before="60" w:after="60"/>
        <w:rPr>
          <w:rFonts w:ascii="Titillium" w:hAnsi="Titillium" w:cs="Calibri"/>
          <w:sz w:val="18"/>
          <w:szCs w:val="18"/>
        </w:rPr>
      </w:pPr>
      <w:r>
        <w:rPr>
          <w:rFonts w:cs="Calibri" w:ascii="Titillium" w:hAnsi="Titillium"/>
          <w:sz w:val="18"/>
          <w:szCs w:val="18"/>
        </w:rPr>
        <w:t>Il concorrente presenta una relazione di un professionista in possesso dei requisiti di cui all'articolo 2, comma 1, lettera o) del decreto legislativo succitato che attesta la conformità al piano e la ragionevole capacità di adempimento del contratto.</w:t>
      </w:r>
    </w:p>
    <w:p>
      <w:pPr>
        <w:pStyle w:val="Normal"/>
        <w:spacing w:before="60" w:after="60"/>
        <w:rPr>
          <w:rFonts w:ascii="Titillium" w:hAnsi="Titillium" w:cs="Calibri"/>
          <w:sz w:val="18"/>
          <w:szCs w:val="18"/>
        </w:rPr>
      </w:pPr>
      <w:r>
        <w:rPr>
          <w:rFonts w:cs="Calibri" w:ascii="Titillium" w:hAnsi="Titillium"/>
          <w:sz w:val="18"/>
          <w:szCs w:val="18"/>
        </w:rPr>
      </w:r>
    </w:p>
    <w:p>
      <w:pPr>
        <w:pStyle w:val="Heading3"/>
        <w:numPr>
          <w:ilvl w:val="1"/>
          <w:numId w:val="3"/>
        </w:numPr>
        <w:ind w:hanging="426" w:left="426"/>
        <w:rPr/>
      </w:pPr>
      <w:bookmarkStart w:id="1811" w:name="__RefHeading___Toc11734_2735037374"/>
      <w:bookmarkStart w:id="1812" w:name="_Toc207275751"/>
      <w:bookmarkEnd w:id="1811"/>
      <w:r>
        <w:rPr>
          <w:rFonts w:ascii="Titillium" w:hAnsi="Titillium"/>
          <w:sz w:val="18"/>
          <w:szCs w:val="18"/>
        </w:rPr>
        <w:t>DICHIARAZIONI DA RENDERE NEL DGUE</w:t>
      </w:r>
      <w:bookmarkEnd w:id="1812"/>
    </w:p>
    <w:p>
      <w:pPr>
        <w:pStyle w:val="Normal"/>
        <w:spacing w:before="60" w:after="60"/>
        <w:rPr>
          <w:rFonts w:ascii="Titillium" w:hAnsi="Titillium" w:cs="Calibri"/>
          <w:sz w:val="18"/>
          <w:szCs w:val="18"/>
        </w:rPr>
      </w:pPr>
      <w:r>
        <w:rPr>
          <w:rFonts w:cs="Calibri" w:ascii="Titillium" w:hAnsi="Titillium"/>
          <w:sz w:val="18"/>
          <w:szCs w:val="18"/>
        </w:rPr>
        <w:t>Le dichiarazioni in ordine all’insussistenza delle cause automatiche di esclusione di cui all’articolo 94, commi 1 e 2, del Codice sono rese dall’operatore economico nel DGUE, redatto digitalmente a sistema, in relazione a tutti i soggetti indicati al comma 3.</w:t>
      </w:r>
    </w:p>
    <w:p>
      <w:pPr>
        <w:pStyle w:val="Normal"/>
        <w:spacing w:before="60" w:after="60"/>
        <w:rPr>
          <w:rFonts w:ascii="Titillium" w:hAnsi="Titillium" w:cs="Calibri"/>
          <w:sz w:val="18"/>
          <w:szCs w:val="18"/>
        </w:rPr>
      </w:pPr>
      <w:r>
        <w:rPr>
          <w:rFonts w:cs="Calibri" w:ascii="Titillium" w:hAnsi="Titillium"/>
          <w:sz w:val="18"/>
          <w:szCs w:val="18"/>
        </w:rPr>
        <w:t>Le dichiarazioni in ordine all’insussistenza delle cause non automatiche di esclusione di cui all’articolo 98, comma 3, lettere g) ed h) del Codice sono rese dall’operatore economico in relazione ai soggetti di cui al punto precedente.</w:t>
      </w:r>
    </w:p>
    <w:p>
      <w:pPr>
        <w:pStyle w:val="Normal"/>
        <w:spacing w:before="60" w:after="60"/>
        <w:rPr>
          <w:rFonts w:ascii="Titillium" w:hAnsi="Titillium" w:cs="Calibri"/>
          <w:sz w:val="18"/>
          <w:szCs w:val="18"/>
        </w:rPr>
      </w:pPr>
      <w:r>
        <w:rPr>
          <w:rFonts w:cs="Calibri" w:ascii="Titillium" w:hAnsi="Titillium"/>
          <w:sz w:val="18"/>
          <w:szCs w:val="18"/>
        </w:rPr>
        <w:t>Le dichiarazioni in ordine all’insussistenza delle altre cause di esclusione sono rese in relazione all’operatore economico.</w:t>
      </w:r>
    </w:p>
    <w:p>
      <w:pPr>
        <w:pStyle w:val="Normal"/>
        <w:spacing w:before="60" w:after="60"/>
        <w:rPr>
          <w:rFonts w:ascii="Titillium" w:hAnsi="Titillium" w:cs="Calibri"/>
          <w:sz w:val="18"/>
          <w:szCs w:val="18"/>
        </w:rPr>
      </w:pPr>
      <w:r>
        <w:rPr>
          <w:rFonts w:cs="Calibri" w:ascii="Titillium" w:hAnsi="Titillium"/>
          <w:sz w:val="18"/>
          <w:szCs w:val="18"/>
        </w:rPr>
        <w:t>Con riferimento alle cause di esclusione di cui all’articolo 95 del Codice, il concorrente dichiara:</w:t>
      </w:r>
    </w:p>
    <w:p>
      <w:pPr>
        <w:pStyle w:val="ListParagraph"/>
        <w:numPr>
          <w:ilvl w:val="0"/>
          <w:numId w:val="6"/>
        </w:numPr>
        <w:spacing w:before="60" w:after="60"/>
        <w:ind w:hanging="360" w:left="426"/>
        <w:contextualSpacing w:val="false"/>
        <w:rPr>
          <w:rFonts w:ascii="Titillium" w:hAnsi="Titillium" w:cs="Calibri"/>
          <w:sz w:val="18"/>
          <w:szCs w:val="18"/>
        </w:rPr>
      </w:pPr>
      <w:r>
        <w:rPr>
          <w:rFonts w:cs="Calibri" w:ascii="Titillium" w:hAnsi="Titillium"/>
          <w:sz w:val="18"/>
          <w:szCs w:val="18"/>
        </w:rPr>
        <w:t xml:space="preserve">le gravi infrazioni di cui all’articolo 95, comma 1, lettera a) del Codice commesse nei tre anni antecedenti la data di pubblicazione del bando di gara; </w:t>
      </w:r>
    </w:p>
    <w:p>
      <w:pPr>
        <w:pStyle w:val="ListParagraph"/>
        <w:numPr>
          <w:ilvl w:val="0"/>
          <w:numId w:val="6"/>
        </w:numPr>
        <w:spacing w:before="60" w:after="60"/>
        <w:ind w:hanging="360" w:left="426"/>
        <w:contextualSpacing w:val="false"/>
        <w:rPr>
          <w:rFonts w:ascii="Titillium" w:hAnsi="Titillium" w:cs="Calibri"/>
          <w:sz w:val="18"/>
          <w:szCs w:val="18"/>
        </w:rPr>
      </w:pPr>
      <w:r>
        <w:rPr>
          <w:rFonts w:cs="Calibri" w:ascii="Titillium" w:hAnsi="Titillium"/>
          <w:sz w:val="18"/>
          <w:szCs w:val="18"/>
        </w:rPr>
        <w:t>gli atti e i provvedimenti indicati all’articolo 98 comma 6 del codice emessi nei tre anni antecedenti la data di pubblicazione del bando di gara;</w:t>
      </w:r>
    </w:p>
    <w:p>
      <w:pPr>
        <w:pStyle w:val="ListParagraph"/>
        <w:numPr>
          <w:ilvl w:val="0"/>
          <w:numId w:val="6"/>
        </w:numPr>
        <w:spacing w:before="60" w:after="60"/>
        <w:ind w:hanging="360" w:left="426"/>
        <w:contextualSpacing w:val="false"/>
        <w:rPr>
          <w:rFonts w:ascii="Titillium" w:hAnsi="Titillium" w:cs="Calibri"/>
          <w:sz w:val="18"/>
          <w:szCs w:val="18"/>
        </w:rPr>
      </w:pPr>
      <w:r>
        <w:rPr>
          <w:rFonts w:cs="Calibri" w:ascii="Titillium" w:hAnsi="Titillium"/>
          <w:sz w:val="18"/>
          <w:szCs w:val="18"/>
        </w:rPr>
        <w:t>tutti gli altri comportamenti di cui all’articolo 98 del Codice, commessi nei tre anni antecedenti la data di pubblicazione del bando di gara.</w:t>
      </w:r>
    </w:p>
    <w:p>
      <w:pPr>
        <w:pStyle w:val="Normal"/>
        <w:spacing w:before="60" w:after="60"/>
        <w:rPr>
          <w:rFonts w:ascii="Titillium" w:hAnsi="Titillium" w:cs="Calibri"/>
          <w:sz w:val="18"/>
          <w:szCs w:val="18"/>
        </w:rPr>
      </w:pPr>
      <w:r>
        <w:rPr>
          <w:rFonts w:cs="Calibri" w:ascii="Titillium" w:hAnsi="Titillium"/>
          <w:sz w:val="18"/>
          <w:szCs w:val="18"/>
        </w:rPr>
        <w:t>La dichiarazione di cui sopra deve essere resa anche nel caso di impugnazione in giudizio dei relativi provvedimenti, fatta eccezione per la fattispecie di cui all’ articolo 98, comma 3, lett. e), per la quale va resa soltanto in caso di accertamento definitivo della violazione.</w:t>
      </w:r>
    </w:p>
    <w:p>
      <w:pPr>
        <w:pStyle w:val="Normal"/>
        <w:spacing w:before="60" w:after="60"/>
        <w:rPr>
          <w:rFonts w:ascii="Titillium" w:hAnsi="Titillium" w:cs="Calibri"/>
          <w:sz w:val="18"/>
          <w:szCs w:val="18"/>
        </w:rPr>
      </w:pPr>
      <w:r>
        <w:rPr>
          <w:rFonts w:cs="Calibri" w:ascii="Titillium" w:hAnsi="Titillium"/>
          <w:sz w:val="18"/>
          <w:szCs w:val="18"/>
        </w:rPr>
        <w:t>L’operatore economico dichiara la sussistenza delle cause di esclusione che si sono verificate prima della presentazione dell’offerta e indica le misure di self-cleaning adottate, oppure dimostra l’impossibilità di adottare tali misure prima della presentazione dell’offerta.</w:t>
      </w:r>
    </w:p>
    <w:p>
      <w:pPr>
        <w:pStyle w:val="Normal"/>
        <w:spacing w:before="60" w:after="60"/>
        <w:rPr>
          <w:rFonts w:ascii="Titillium" w:hAnsi="Titillium" w:cs="Calibri"/>
          <w:sz w:val="18"/>
          <w:szCs w:val="18"/>
        </w:rPr>
      </w:pPr>
      <w:r>
        <w:rPr>
          <w:rFonts w:cs="Calibri" w:ascii="Titillium" w:hAnsi="Titillium"/>
          <w:sz w:val="18"/>
          <w:szCs w:val="18"/>
        </w:rPr>
        <w:t>L’operatore economico adotta le misure di self-cleaning che è stato impossibilitato ad adottare prima della presentazione dell’offerta e quelle relative a cause di esclusione che si sono verificate dopo tale momento.</w:t>
      </w:r>
    </w:p>
    <w:p>
      <w:pPr>
        <w:pStyle w:val="Normal"/>
        <w:spacing w:before="60" w:after="60"/>
        <w:rPr>
          <w:rFonts w:ascii="Titillium" w:hAnsi="Titillium" w:cs="Calibri"/>
          <w:sz w:val="18"/>
          <w:szCs w:val="18"/>
        </w:rPr>
      </w:pPr>
      <w:r>
        <w:rPr>
          <w:rFonts w:cs="Calibri" w:ascii="Titillium" w:hAnsi="Titillium"/>
          <w:sz w:val="18"/>
          <w:szCs w:val="18"/>
        </w:rPr>
        <w:t>Se l’operatore economico omette di comunicare alla stazione appaltante la sussistenza dei fatti e dei provvedimenti che possono costituire una causa di esclusione ai sensi degli articoli 94 e 95 del Codice e detti fatti o provvedimenti non risultino nel FVOE, il triennio inizia a decorrere dalla data in cui la stazione appaltante ha acquisito gli stessi, anziché dalla commissione del fatto o dall’adozione del provvedimento.</w:t>
      </w:r>
    </w:p>
    <w:p>
      <w:pPr>
        <w:pStyle w:val="Normal"/>
        <w:rPr/>
      </w:pPr>
      <w:r>
        <w:rPr/>
      </w:r>
    </w:p>
    <w:p>
      <w:pPr>
        <w:pStyle w:val="Heading3"/>
        <w:numPr>
          <w:ilvl w:val="1"/>
          <w:numId w:val="3"/>
        </w:numPr>
        <w:ind w:hanging="426" w:left="426"/>
        <w:rPr>
          <w:rFonts w:ascii="Titillium" w:hAnsi="Titillium"/>
          <w:sz w:val="18"/>
          <w:szCs w:val="18"/>
        </w:rPr>
      </w:pPr>
      <w:bookmarkStart w:id="1813" w:name="__RefHeading___Toc11736_2735037374"/>
      <w:bookmarkStart w:id="1814" w:name="_Toc207275752"/>
      <w:bookmarkStart w:id="1815" w:name="_Ref132054207"/>
      <w:bookmarkEnd w:id="1813"/>
      <w:r>
        <w:rPr>
          <w:rFonts w:ascii="Titillium" w:hAnsi="Titillium"/>
          <w:sz w:val="18"/>
          <w:szCs w:val="18"/>
        </w:rPr>
        <w:t>DOCUMENTAZIONE IN CASO DI AVVALIMENTO</w:t>
      </w:r>
      <w:bookmarkEnd w:id="1814"/>
      <w:bookmarkEnd w:id="1815"/>
    </w:p>
    <w:p>
      <w:pPr>
        <w:pStyle w:val="Normal"/>
        <w:spacing w:before="60" w:after="60"/>
        <w:rPr>
          <w:rFonts w:ascii="Titillium" w:hAnsi="Titillium" w:cs="Calibri"/>
          <w:sz w:val="18"/>
          <w:szCs w:val="18"/>
        </w:rPr>
      </w:pPr>
      <w:r>
        <w:rPr>
          <w:rFonts w:cs="Calibri" w:ascii="Titillium" w:hAnsi="Titillium"/>
          <w:sz w:val="18"/>
          <w:szCs w:val="18"/>
        </w:rPr>
        <w:t>L’impresa ausiliaria rende le dichiarazioni sul possesso dei requisiti di ordine generale mediante compilazione dell’apposita sezione del DGUE.</w:t>
      </w:r>
    </w:p>
    <w:p>
      <w:pPr>
        <w:pStyle w:val="Normal"/>
        <w:spacing w:before="60" w:after="60"/>
        <w:rPr>
          <w:rFonts w:ascii="Titillium" w:hAnsi="Titillium" w:cs="Calibri"/>
          <w:sz w:val="18"/>
          <w:szCs w:val="18"/>
        </w:rPr>
      </w:pPr>
      <w:r>
        <w:rPr>
          <w:rFonts w:cs="Calibri" w:ascii="Titillium" w:hAnsi="Titillium"/>
          <w:sz w:val="18"/>
          <w:szCs w:val="18"/>
        </w:rPr>
        <w:t>Il concorrente, per ciascuna impresa ausiliaria, allega:</w:t>
      </w:r>
    </w:p>
    <w:p>
      <w:pPr>
        <w:pStyle w:val="ListParagraph"/>
        <w:numPr>
          <w:ilvl w:val="2"/>
          <w:numId w:val="12"/>
        </w:numPr>
        <w:spacing w:before="60" w:after="60"/>
        <w:ind w:hanging="567" w:left="567"/>
        <w:contextualSpacing w:val="false"/>
        <w:rPr>
          <w:rFonts w:ascii="Titillium" w:hAnsi="Titillium" w:cs="Calibri"/>
          <w:sz w:val="18"/>
          <w:szCs w:val="18"/>
        </w:rPr>
      </w:pPr>
      <w:r>
        <w:rPr>
          <w:rFonts w:cs="Calibri" w:ascii="Titillium" w:hAnsi="Titillium"/>
          <w:sz w:val="18"/>
          <w:szCs w:val="18"/>
        </w:rPr>
        <w:t xml:space="preserve">il consenso al trattamento dei dati tramite il fascicolo virtuale, nel rispetto di quanto previsto dal codice in materia di protezione dei dati personali, di cui al decreto legislativo 30 giugno 2003, n. 196, ai fini della verifica del possesso dei requisiti dichiarati;   </w:t>
      </w:r>
    </w:p>
    <w:p>
      <w:pPr>
        <w:pStyle w:val="ListParagraph"/>
        <w:numPr>
          <w:ilvl w:val="2"/>
          <w:numId w:val="12"/>
        </w:numPr>
        <w:spacing w:before="60" w:after="60"/>
        <w:ind w:hanging="567" w:left="567"/>
        <w:contextualSpacing w:val="false"/>
        <w:rPr>
          <w:rFonts w:ascii="Titillium" w:hAnsi="Titillium" w:cs="Calibri"/>
          <w:sz w:val="18"/>
          <w:szCs w:val="18"/>
        </w:rPr>
      </w:pPr>
      <w:r>
        <w:rPr>
          <w:rFonts w:cs="Calibri" w:ascii="Titillium" w:hAnsi="Titillium"/>
          <w:sz w:val="18"/>
          <w:szCs w:val="18"/>
        </w:rPr>
        <w:t>la dichiarazione di avvalimento;</w:t>
      </w:r>
    </w:p>
    <w:p>
      <w:pPr>
        <w:pStyle w:val="ListParagraph"/>
        <w:numPr>
          <w:ilvl w:val="2"/>
          <w:numId w:val="12"/>
        </w:numPr>
        <w:spacing w:before="60" w:after="60"/>
        <w:ind w:hanging="567" w:left="567"/>
        <w:contextualSpacing w:val="false"/>
        <w:rPr>
          <w:rFonts w:ascii="Titillium" w:hAnsi="Titillium" w:cs="Calibri"/>
          <w:sz w:val="18"/>
          <w:szCs w:val="18"/>
        </w:rPr>
      </w:pPr>
      <w:r>
        <w:rPr>
          <w:rFonts w:cs="Calibri" w:ascii="Titillium" w:hAnsi="Titillium"/>
          <w:sz w:val="18"/>
          <w:szCs w:val="18"/>
        </w:rPr>
        <w:t>il contratto di avvalimento.</w:t>
      </w:r>
    </w:p>
    <w:p>
      <w:pPr>
        <w:pStyle w:val="Heading3"/>
        <w:numPr>
          <w:ilvl w:val="1"/>
          <w:numId w:val="3"/>
        </w:numPr>
        <w:ind w:hanging="426" w:left="426"/>
        <w:rPr>
          <w:rFonts w:ascii="Titillium" w:hAnsi="Titillium"/>
          <w:sz w:val="18"/>
          <w:szCs w:val="18"/>
        </w:rPr>
      </w:pPr>
      <w:bookmarkStart w:id="1816" w:name="__RefHeading___Toc11738_2735037374"/>
      <w:bookmarkStart w:id="1817" w:name="_Toc207275753"/>
      <w:bookmarkStart w:id="1818" w:name="_Ref498427979"/>
      <w:bookmarkEnd w:id="1816"/>
      <w:r>
        <w:rPr>
          <w:rFonts w:ascii="Titillium" w:hAnsi="Titillium"/>
          <w:sz w:val="18"/>
          <w:szCs w:val="18"/>
        </w:rPr>
        <w:t>DOCUMENTAZIONE ULTERIORE PER I SOGGETTI ASSOCIATI</w:t>
      </w:r>
      <w:bookmarkEnd w:id="1817"/>
      <w:bookmarkEnd w:id="1818"/>
    </w:p>
    <w:p>
      <w:pPr>
        <w:pStyle w:val="Normal"/>
        <w:spacing w:before="60" w:after="60"/>
        <w:rPr>
          <w:rFonts w:ascii="Titillium" w:hAnsi="Titillium"/>
          <w:b/>
          <w:sz w:val="18"/>
          <w:szCs w:val="18"/>
        </w:rPr>
      </w:pPr>
      <w:r>
        <w:rPr>
          <w:rFonts w:ascii="Titillium" w:hAnsi="Titillium"/>
          <w:b/>
          <w:sz w:val="18"/>
          <w:szCs w:val="18"/>
        </w:rPr>
        <w:t>Per i raggruppamenti temporanei già costituiti</w:t>
      </w:r>
    </w:p>
    <w:p>
      <w:pPr>
        <w:pStyle w:val="ListParagraph"/>
        <w:numPr>
          <w:ilvl w:val="0"/>
          <w:numId w:val="18"/>
        </w:numPr>
        <w:spacing w:before="60" w:after="60"/>
        <w:ind w:hanging="284" w:left="284"/>
        <w:contextualSpacing w:val="false"/>
        <w:rPr>
          <w:rFonts w:ascii="Titillium" w:hAnsi="Titillium" w:cs="Calibri"/>
          <w:sz w:val="18"/>
          <w:szCs w:val="18"/>
        </w:rPr>
      </w:pPr>
      <w:r>
        <w:rPr>
          <w:rFonts w:cs="Calibri" w:ascii="Titillium" w:hAnsi="Titillium"/>
          <w:sz w:val="18"/>
          <w:szCs w:val="18"/>
        </w:rPr>
        <w:t>copia del mandato collettivo irrevocabile con rappresentanza conferito alla mandataria per atto pubblico o scrittura privata autenticata;</w:t>
      </w:r>
    </w:p>
    <w:p>
      <w:pPr>
        <w:pStyle w:val="ListParagraph"/>
        <w:numPr>
          <w:ilvl w:val="0"/>
          <w:numId w:val="18"/>
        </w:numPr>
        <w:spacing w:before="60" w:after="60"/>
        <w:ind w:hanging="284" w:left="284"/>
        <w:contextualSpacing w:val="false"/>
        <w:rPr>
          <w:rFonts w:ascii="Titillium" w:hAnsi="Titillium"/>
          <w:b/>
          <w:sz w:val="18"/>
          <w:szCs w:val="18"/>
        </w:rPr>
      </w:pPr>
      <w:r>
        <w:rPr>
          <w:rFonts w:cs="Calibri" w:ascii="Titillium" w:hAnsi="Titillium"/>
          <w:sz w:val="18"/>
          <w:szCs w:val="18"/>
        </w:rPr>
        <w:t xml:space="preserve">dichiarazione delle parti del servizio/fornitura, ovvero della percentuale in caso di servizio/forniture indivisibili, che saranno eseguite dai singoli operatori economici riuniti. </w:t>
      </w:r>
    </w:p>
    <w:p>
      <w:pPr>
        <w:pStyle w:val="Normal"/>
        <w:spacing w:before="60" w:after="60"/>
        <w:rPr>
          <w:rFonts w:ascii="Titillium" w:hAnsi="Titillium"/>
          <w:b/>
          <w:sz w:val="18"/>
          <w:szCs w:val="18"/>
        </w:rPr>
      </w:pPr>
      <w:r>
        <w:rPr>
          <w:rFonts w:ascii="Titillium" w:hAnsi="Titillium"/>
          <w:b/>
          <w:sz w:val="18"/>
          <w:szCs w:val="18"/>
        </w:rPr>
        <w:t>Per i consorzi ordinari o GEIE già costituiti</w:t>
      </w:r>
    </w:p>
    <w:p>
      <w:pPr>
        <w:pStyle w:val="ListParagraph"/>
        <w:numPr>
          <w:ilvl w:val="0"/>
          <w:numId w:val="18"/>
        </w:numPr>
        <w:spacing w:before="60" w:after="60"/>
        <w:ind w:hanging="284" w:left="284"/>
        <w:contextualSpacing w:val="false"/>
        <w:rPr>
          <w:rFonts w:ascii="Titillium" w:hAnsi="Titillium" w:cs="Calibri"/>
          <w:sz w:val="18"/>
          <w:szCs w:val="18"/>
        </w:rPr>
      </w:pPr>
      <w:r>
        <w:rPr>
          <w:rFonts w:cs="Calibri" w:ascii="Titillium" w:hAnsi="Titillium"/>
          <w:sz w:val="18"/>
          <w:szCs w:val="18"/>
        </w:rPr>
        <w:t xml:space="preserve">copia dell’atto costitutivo e dello statuto del consorzio o GEIE, con indicazione del soggetto designato quale capofila; </w:t>
      </w:r>
    </w:p>
    <w:p>
      <w:pPr>
        <w:pStyle w:val="ListParagraph"/>
        <w:numPr>
          <w:ilvl w:val="0"/>
          <w:numId w:val="18"/>
        </w:numPr>
        <w:spacing w:before="60" w:after="60"/>
        <w:ind w:hanging="284" w:left="284"/>
        <w:contextualSpacing w:val="false"/>
        <w:rPr>
          <w:rFonts w:ascii="Titillium" w:hAnsi="Titillium" w:cs="Calibri"/>
          <w:sz w:val="18"/>
          <w:szCs w:val="18"/>
        </w:rPr>
      </w:pPr>
      <w:r>
        <w:rPr>
          <w:rFonts w:cs="Calibri" w:ascii="Titillium" w:hAnsi="Titillium"/>
          <w:sz w:val="18"/>
          <w:szCs w:val="18"/>
        </w:rPr>
        <w:t xml:space="preserve">dichiarazione sottoscritta delle parti del servizio/fornitura, ovvero la percentuale in caso di servizi/forniture indivisibili, che saranno eseguite dai singoli operatori economici consorziati. </w:t>
      </w:r>
    </w:p>
    <w:p>
      <w:pPr>
        <w:pStyle w:val="Normal"/>
        <w:spacing w:before="60" w:after="60"/>
        <w:rPr>
          <w:rFonts w:ascii="Titillium" w:hAnsi="Titillium"/>
          <w:b/>
          <w:sz w:val="18"/>
          <w:szCs w:val="18"/>
        </w:rPr>
      </w:pPr>
      <w:r>
        <w:rPr>
          <w:rFonts w:ascii="Titillium" w:hAnsi="Titillium"/>
          <w:b/>
          <w:sz w:val="18"/>
          <w:szCs w:val="18"/>
        </w:rPr>
        <w:t>Per i raggruppamenti temporanei o consorzi ordinari o GEIE non ancora costituiti</w:t>
      </w:r>
    </w:p>
    <w:p>
      <w:pPr>
        <w:pStyle w:val="ListParagraph"/>
        <w:numPr>
          <w:ilvl w:val="0"/>
          <w:numId w:val="18"/>
        </w:numPr>
        <w:spacing w:before="60" w:after="60"/>
        <w:ind w:hanging="284" w:left="284"/>
        <w:contextualSpacing w:val="false"/>
        <w:rPr>
          <w:rFonts w:ascii="Titillium" w:hAnsi="Titillium" w:cs="Calibri"/>
          <w:sz w:val="18"/>
          <w:szCs w:val="18"/>
        </w:rPr>
      </w:pPr>
      <w:r>
        <w:rPr>
          <w:rFonts w:cs="Calibri" w:ascii="Titillium" w:hAnsi="Titillium"/>
          <w:sz w:val="18"/>
          <w:szCs w:val="18"/>
        </w:rPr>
        <w:t xml:space="preserve"> </w:t>
      </w:r>
      <w:r>
        <w:rPr>
          <w:rFonts w:cs="Calibri" w:ascii="Titillium" w:hAnsi="Titillium"/>
          <w:sz w:val="18"/>
          <w:szCs w:val="18"/>
        </w:rPr>
        <w:t>dichiarazione resa da ciascun concorrente, attestante:</w:t>
      </w:r>
    </w:p>
    <w:p>
      <w:pPr>
        <w:pStyle w:val="Normal"/>
        <w:numPr>
          <w:ilvl w:val="0"/>
          <w:numId w:val="8"/>
        </w:numPr>
        <w:spacing w:before="60" w:after="60"/>
        <w:ind w:hanging="284" w:left="567"/>
        <w:rPr>
          <w:rFonts w:ascii="Titillium" w:hAnsi="Titillium" w:cs="Calibri"/>
          <w:sz w:val="18"/>
          <w:szCs w:val="18"/>
        </w:rPr>
      </w:pPr>
      <w:r>
        <w:rPr>
          <w:rFonts w:cs="Calibri" w:ascii="Titillium" w:hAnsi="Titillium"/>
          <w:sz w:val="18"/>
          <w:szCs w:val="18"/>
        </w:rPr>
        <w:t>a quale operatore economico, in caso di aggiudicazione, sarà conferito mandato speciale con rappresentanza o funzioni di capogruppo;</w:t>
      </w:r>
    </w:p>
    <w:p>
      <w:pPr>
        <w:pStyle w:val="Normal"/>
        <w:numPr>
          <w:ilvl w:val="0"/>
          <w:numId w:val="8"/>
        </w:numPr>
        <w:spacing w:before="60" w:after="60"/>
        <w:ind w:hanging="284" w:left="567"/>
        <w:rPr/>
      </w:pPr>
      <w:r>
        <w:rPr>
          <w:rFonts w:cs="Calibri" w:ascii="Titillium" w:hAnsi="Titillium"/>
          <w:sz w:val="18"/>
          <w:szCs w:val="18"/>
        </w:rPr>
        <w:t>l’impegno,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pPr>
        <w:pStyle w:val="Normal"/>
        <w:numPr>
          <w:ilvl w:val="0"/>
          <w:numId w:val="8"/>
        </w:numPr>
        <w:spacing w:before="60" w:after="60"/>
        <w:ind w:hanging="284" w:left="567"/>
        <w:rPr/>
      </w:pPr>
      <w:r>
        <w:rPr>
          <w:rFonts w:cs="Calibri" w:ascii="Titillium" w:hAnsi="Titillium"/>
          <w:sz w:val="18"/>
          <w:szCs w:val="18"/>
        </w:rPr>
        <w:t xml:space="preserve">le parti del servizio/fornitura, ovvero la percentuale in caso di servizio/forniture indivisibili, che saranno eseguite dai singoli operatori economici riuniti o consorziati. </w:t>
      </w:r>
    </w:p>
    <w:p>
      <w:pPr>
        <w:pStyle w:val="Normal"/>
        <w:spacing w:before="60" w:after="60"/>
        <w:rPr>
          <w:rFonts w:ascii="Titillium" w:hAnsi="Titillium"/>
          <w:b/>
          <w:sz w:val="18"/>
          <w:szCs w:val="18"/>
        </w:rPr>
      </w:pPr>
      <w:r>
        <w:rPr>
          <w:rFonts w:ascii="Titillium" w:hAnsi="Titillium"/>
          <w:b/>
          <w:sz w:val="18"/>
          <w:szCs w:val="18"/>
        </w:rPr>
        <w:t>Per le aggregazioni di retisti: se la rete è dotata di un organo comune con potere di rappresentanza e soggettività giuridica</w:t>
      </w:r>
    </w:p>
    <w:p>
      <w:pPr>
        <w:pStyle w:val="ListParagraph"/>
        <w:numPr>
          <w:ilvl w:val="0"/>
          <w:numId w:val="9"/>
        </w:numPr>
        <w:spacing w:before="60" w:after="60"/>
        <w:ind w:hanging="360" w:left="426"/>
        <w:contextualSpacing w:val="false"/>
        <w:rPr>
          <w:rFonts w:ascii="Titillium" w:hAnsi="Titillium" w:cs="Calibri"/>
          <w:sz w:val="18"/>
          <w:szCs w:val="18"/>
        </w:rPr>
      </w:pPr>
      <w:r>
        <w:rPr>
          <w:rFonts w:cs="Calibri" w:ascii="Titillium" w:hAnsi="Titillium"/>
          <w:sz w:val="18"/>
          <w:szCs w:val="18"/>
        </w:rPr>
        <w:t>copia del contratto di rete, con indicazione dell’organo comune che agisce in rappresentanza della rete;</w:t>
      </w:r>
    </w:p>
    <w:p>
      <w:pPr>
        <w:pStyle w:val="ListParagraph"/>
        <w:numPr>
          <w:ilvl w:val="0"/>
          <w:numId w:val="9"/>
        </w:numPr>
        <w:spacing w:before="60" w:after="60"/>
        <w:ind w:hanging="360" w:left="426"/>
        <w:contextualSpacing w:val="false"/>
        <w:rPr>
          <w:rFonts w:ascii="Titillium" w:hAnsi="Titillium" w:cs="Calibri"/>
          <w:sz w:val="18"/>
          <w:szCs w:val="18"/>
        </w:rPr>
      </w:pPr>
      <w:r>
        <w:rPr>
          <w:rFonts w:cs="Calibri" w:ascii="Titillium" w:hAnsi="Titillium"/>
          <w:sz w:val="18"/>
          <w:szCs w:val="18"/>
        </w:rPr>
        <w:t xml:space="preserve">dichiarazione che indichi per quali imprese la rete concorre; </w:t>
      </w:r>
    </w:p>
    <w:p>
      <w:pPr>
        <w:pStyle w:val="ListParagraph"/>
        <w:numPr>
          <w:ilvl w:val="0"/>
          <w:numId w:val="9"/>
        </w:numPr>
        <w:spacing w:before="60" w:after="60"/>
        <w:ind w:hanging="360" w:left="426"/>
        <w:contextualSpacing w:val="false"/>
        <w:rPr>
          <w:rFonts w:ascii="Titillium" w:hAnsi="Titillium" w:cs="Calibri"/>
          <w:sz w:val="18"/>
          <w:szCs w:val="18"/>
        </w:rPr>
      </w:pPr>
      <w:r>
        <w:rPr>
          <w:rFonts w:cs="Calibri" w:ascii="Titillium" w:hAnsi="Titillium"/>
          <w:sz w:val="18"/>
          <w:szCs w:val="18"/>
        </w:rPr>
        <w:t xml:space="preserve">dichiarazione sottoscritta con firma digitale delle parti del servizio o della fornitura, ovvero la percentuale in caso di servizio/forniture indivisibili, eseguite dai singoli operatori economici aggregati in rete. </w:t>
      </w:r>
    </w:p>
    <w:p>
      <w:pPr>
        <w:pStyle w:val="Normal"/>
        <w:spacing w:before="60" w:after="60"/>
        <w:rPr>
          <w:rFonts w:ascii="Titillium" w:hAnsi="Titillium"/>
          <w:b/>
          <w:sz w:val="18"/>
          <w:szCs w:val="18"/>
        </w:rPr>
      </w:pPr>
      <w:r>
        <w:rPr>
          <w:rFonts w:ascii="Titillium" w:hAnsi="Titillium"/>
          <w:b/>
          <w:sz w:val="18"/>
          <w:szCs w:val="18"/>
        </w:rPr>
        <w:t>Per le aggregazioni di retisti: se la rete è dotata di un organo comune con potere di rappresentanza ma è priva di soggettività giuridica</w:t>
      </w:r>
    </w:p>
    <w:p>
      <w:pPr>
        <w:pStyle w:val="ListParagraph"/>
        <w:numPr>
          <w:ilvl w:val="0"/>
          <w:numId w:val="9"/>
        </w:numPr>
        <w:spacing w:before="60" w:after="60"/>
        <w:ind w:hanging="425" w:left="426"/>
        <w:contextualSpacing w:val="false"/>
        <w:rPr>
          <w:rFonts w:ascii="Titillium" w:hAnsi="Titillium" w:cs="Calibri"/>
          <w:sz w:val="18"/>
          <w:szCs w:val="18"/>
        </w:rPr>
      </w:pPr>
      <w:r>
        <w:rPr>
          <w:rFonts w:cs="Calibri" w:ascii="Titillium" w:hAnsi="Titillium"/>
          <w:sz w:val="18"/>
          <w:szCs w:val="18"/>
        </w:rPr>
        <w:t>copia del contratto di rete;</w:t>
      </w:r>
    </w:p>
    <w:p>
      <w:pPr>
        <w:pStyle w:val="ListParagraph"/>
        <w:numPr>
          <w:ilvl w:val="0"/>
          <w:numId w:val="9"/>
        </w:numPr>
        <w:spacing w:before="60" w:after="60"/>
        <w:ind w:hanging="425" w:left="426"/>
        <w:contextualSpacing w:val="false"/>
        <w:rPr>
          <w:rFonts w:ascii="Titillium" w:hAnsi="Titillium" w:cs="Calibri"/>
          <w:sz w:val="18"/>
          <w:szCs w:val="18"/>
        </w:rPr>
      </w:pPr>
      <w:r>
        <w:rPr>
          <w:rFonts w:cs="Calibri" w:ascii="Titillium" w:hAnsi="Titillium"/>
          <w:sz w:val="18"/>
          <w:szCs w:val="18"/>
        </w:rPr>
        <w:t xml:space="preserve">copia del mandato collettivo irrevocabile con rappresentanza conferito all’organo comune; </w:t>
      </w:r>
    </w:p>
    <w:p>
      <w:pPr>
        <w:pStyle w:val="ListParagraph"/>
        <w:numPr>
          <w:ilvl w:val="0"/>
          <w:numId w:val="9"/>
        </w:numPr>
        <w:spacing w:before="60" w:after="60"/>
        <w:ind w:hanging="425" w:left="426"/>
        <w:contextualSpacing w:val="false"/>
        <w:rPr>
          <w:rFonts w:ascii="Titillium" w:hAnsi="Titillium" w:cs="Calibri"/>
          <w:sz w:val="18"/>
          <w:szCs w:val="18"/>
        </w:rPr>
      </w:pPr>
      <w:r>
        <w:rPr>
          <w:rFonts w:cs="Calibri" w:ascii="Titillium" w:hAnsi="Titillium"/>
          <w:sz w:val="18"/>
          <w:szCs w:val="18"/>
        </w:rPr>
        <w:t>dichiarazione delle parti del servizio o della fornitura, ovvero la percentuale in caso di servizio/forniture indivisibili, eseguite dai singoli operatori economici aggregati in rete.</w:t>
      </w:r>
    </w:p>
    <w:p>
      <w:pPr>
        <w:pStyle w:val="Normal"/>
        <w:spacing w:before="60" w:after="60"/>
        <w:rPr>
          <w:rFonts w:ascii="Titillium" w:hAnsi="Titillium"/>
          <w:b/>
          <w:sz w:val="18"/>
          <w:szCs w:val="18"/>
        </w:rPr>
      </w:pPr>
      <w:r>
        <w:rPr>
          <w:rFonts w:ascii="Titillium" w:hAnsi="Titillium"/>
          <w:b/>
          <w:sz w:val="18"/>
          <w:szCs w:val="18"/>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pPr>
        <w:pStyle w:val="ListParagraph"/>
        <w:numPr>
          <w:ilvl w:val="0"/>
          <w:numId w:val="9"/>
        </w:numPr>
        <w:spacing w:before="60" w:after="60"/>
        <w:ind w:hanging="360" w:left="426"/>
        <w:contextualSpacing w:val="false"/>
        <w:rPr/>
      </w:pPr>
      <w:r>
        <w:rPr>
          <w:rFonts w:cs="Calibri" w:ascii="Titillium" w:hAnsi="Titillium"/>
          <w:b/>
          <w:sz w:val="18"/>
          <w:szCs w:val="18"/>
        </w:rPr>
        <w:t>in caso di raggruppamento temporaneo di imprese costituito</w:t>
      </w:r>
      <w:r>
        <w:rPr>
          <w:rFonts w:cs="Calibri" w:ascii="Titillium" w:hAnsi="Titillium"/>
          <w:sz w:val="18"/>
          <w:szCs w:val="18"/>
        </w:rPr>
        <w:t xml:space="preserve">: </w:t>
      </w:r>
    </w:p>
    <w:p>
      <w:pPr>
        <w:pStyle w:val="ListParagraph"/>
        <w:numPr>
          <w:ilvl w:val="0"/>
          <w:numId w:val="9"/>
        </w:numPr>
        <w:spacing w:before="60" w:after="60"/>
        <w:ind w:hanging="142" w:left="426"/>
        <w:contextualSpacing w:val="false"/>
        <w:rPr>
          <w:rFonts w:ascii="Titillium" w:hAnsi="Titillium" w:cs="Calibri"/>
          <w:sz w:val="18"/>
          <w:szCs w:val="18"/>
        </w:rPr>
      </w:pPr>
      <w:r>
        <w:rPr>
          <w:rFonts w:cs="Calibri" w:ascii="Titillium" w:hAnsi="Titillium"/>
          <w:sz w:val="18"/>
          <w:szCs w:val="18"/>
        </w:rPr>
        <w:t>copia del contratto di rete;</w:t>
      </w:r>
    </w:p>
    <w:p>
      <w:pPr>
        <w:pStyle w:val="ListParagraph"/>
        <w:numPr>
          <w:ilvl w:val="0"/>
          <w:numId w:val="9"/>
        </w:numPr>
        <w:spacing w:before="60" w:after="60"/>
        <w:ind w:hanging="142" w:left="426"/>
        <w:contextualSpacing w:val="false"/>
        <w:rPr>
          <w:rFonts w:ascii="Titillium" w:hAnsi="Titillium" w:cs="Calibri"/>
          <w:sz w:val="18"/>
          <w:szCs w:val="18"/>
        </w:rPr>
      </w:pPr>
      <w:r>
        <w:rPr>
          <w:rFonts w:cs="Calibri" w:ascii="Titillium" w:hAnsi="Titillium"/>
          <w:sz w:val="18"/>
          <w:szCs w:val="18"/>
        </w:rPr>
        <w:t>copia del mandato collettivo irrevocabile con rappresentanza conferito alla mandataria;</w:t>
      </w:r>
    </w:p>
    <w:p>
      <w:pPr>
        <w:pStyle w:val="ListParagraph"/>
        <w:numPr>
          <w:ilvl w:val="0"/>
          <w:numId w:val="9"/>
        </w:numPr>
        <w:spacing w:before="60" w:after="60"/>
        <w:ind w:hanging="142" w:left="426"/>
        <w:contextualSpacing w:val="false"/>
        <w:rPr>
          <w:rFonts w:ascii="Titillium" w:hAnsi="Titillium" w:cs="Calibri"/>
          <w:sz w:val="18"/>
          <w:szCs w:val="18"/>
        </w:rPr>
      </w:pPr>
      <w:r>
        <w:rPr>
          <w:rFonts w:cs="Calibri" w:ascii="Titillium" w:hAnsi="Titillium"/>
          <w:sz w:val="18"/>
          <w:szCs w:val="18"/>
        </w:rPr>
        <w:t>dichiarazione delle parti del servizio o della fornitura, ovvero la percentuale in caso di servizio/forniture indivisibili, eseguite dai singoli operatori economici aggregati in rete.</w:t>
      </w:r>
    </w:p>
    <w:p>
      <w:pPr>
        <w:pStyle w:val="ListParagraph"/>
        <w:numPr>
          <w:ilvl w:val="0"/>
          <w:numId w:val="9"/>
        </w:numPr>
        <w:spacing w:before="60" w:after="60"/>
        <w:ind w:hanging="360" w:left="426"/>
        <w:contextualSpacing w:val="false"/>
        <w:rPr/>
      </w:pPr>
      <w:r>
        <w:rPr>
          <w:rFonts w:cs="Calibri" w:ascii="Titillium" w:hAnsi="Titillium"/>
          <w:b/>
          <w:sz w:val="18"/>
          <w:szCs w:val="18"/>
        </w:rPr>
        <w:t>in caso di raggruppamento temporaneo di imprese costituendo</w:t>
      </w:r>
      <w:r>
        <w:rPr>
          <w:rFonts w:cs="Calibri" w:ascii="Titillium" w:hAnsi="Titillium"/>
          <w:sz w:val="18"/>
          <w:szCs w:val="18"/>
        </w:rPr>
        <w:t xml:space="preserve">: </w:t>
      </w:r>
    </w:p>
    <w:p>
      <w:pPr>
        <w:pStyle w:val="ListParagraph"/>
        <w:numPr>
          <w:ilvl w:val="0"/>
          <w:numId w:val="9"/>
        </w:numPr>
        <w:spacing w:before="60" w:after="60"/>
        <w:ind w:hanging="142" w:left="426"/>
        <w:contextualSpacing w:val="false"/>
        <w:rPr>
          <w:rFonts w:ascii="Titillium" w:hAnsi="Titillium" w:cs="Calibri"/>
          <w:sz w:val="18"/>
          <w:szCs w:val="18"/>
        </w:rPr>
      </w:pPr>
      <w:r>
        <w:rPr>
          <w:rFonts w:cs="Calibri" w:ascii="Titillium" w:hAnsi="Titillium"/>
          <w:sz w:val="18"/>
          <w:szCs w:val="18"/>
        </w:rPr>
        <w:t>copia del contratto di rete;</w:t>
      </w:r>
    </w:p>
    <w:p>
      <w:pPr>
        <w:pStyle w:val="ListParagraph"/>
        <w:numPr>
          <w:ilvl w:val="0"/>
          <w:numId w:val="9"/>
        </w:numPr>
        <w:spacing w:before="60" w:after="60"/>
        <w:ind w:hanging="142" w:left="426"/>
        <w:contextualSpacing w:val="false"/>
        <w:rPr>
          <w:rFonts w:ascii="Titillium" w:hAnsi="Titillium" w:cs="Calibri"/>
          <w:sz w:val="18"/>
          <w:szCs w:val="18"/>
        </w:rPr>
      </w:pPr>
      <w:r>
        <w:rPr>
          <w:rFonts w:cs="Calibri" w:ascii="Titillium" w:hAnsi="Titillium"/>
          <w:sz w:val="18"/>
          <w:szCs w:val="18"/>
        </w:rPr>
        <w:t>dichiarazioni, rese da ciascun concorrente aderente all’aggregazione di rete, attestanti:</w:t>
      </w:r>
    </w:p>
    <w:p>
      <w:pPr>
        <w:pStyle w:val="Normal"/>
        <w:numPr>
          <w:ilvl w:val="3"/>
          <w:numId w:val="10"/>
        </w:numPr>
        <w:spacing w:before="60" w:after="60"/>
        <w:ind w:hanging="284" w:left="709"/>
        <w:rPr>
          <w:rFonts w:ascii="Titillium" w:hAnsi="Titillium" w:cs="Calibri"/>
          <w:sz w:val="18"/>
          <w:szCs w:val="18"/>
        </w:rPr>
      </w:pPr>
      <w:r>
        <w:rPr>
          <w:rFonts w:cs="Calibri" w:ascii="Titillium" w:hAnsi="Titillium"/>
          <w:sz w:val="18"/>
          <w:szCs w:val="18"/>
        </w:rPr>
        <w:t>a quale concorrente, in caso di aggiudicazione, sarà conferito mandato speciale con rappresentanza o funzioni di capogruppo;</w:t>
      </w:r>
    </w:p>
    <w:p>
      <w:pPr>
        <w:pStyle w:val="Normal"/>
        <w:numPr>
          <w:ilvl w:val="3"/>
          <w:numId w:val="10"/>
        </w:numPr>
        <w:spacing w:before="60" w:after="60"/>
        <w:ind w:hanging="284" w:left="709"/>
        <w:rPr>
          <w:rFonts w:ascii="Titillium" w:hAnsi="Titillium" w:cs="Calibri"/>
          <w:sz w:val="18"/>
          <w:szCs w:val="18"/>
        </w:rPr>
      </w:pPr>
      <w:r>
        <w:rPr>
          <w:rFonts w:cs="Calibri" w:ascii="Titillium" w:hAnsi="Titillium"/>
          <w:sz w:val="18"/>
          <w:szCs w:val="18"/>
        </w:rPr>
        <w:t>l’impegno, in caso di aggiudicazione, ad uniformarsi alla disciplina vigente in materia di raggruppamenti temporanei;</w:t>
      </w:r>
    </w:p>
    <w:p>
      <w:pPr>
        <w:pStyle w:val="Normal"/>
        <w:numPr>
          <w:ilvl w:val="3"/>
          <w:numId w:val="10"/>
        </w:numPr>
        <w:spacing w:before="60" w:after="60"/>
        <w:ind w:hanging="284" w:left="709"/>
        <w:rPr>
          <w:rFonts w:ascii="Titillium" w:hAnsi="Titillium" w:cs="Calibri"/>
          <w:sz w:val="18"/>
          <w:szCs w:val="18"/>
        </w:rPr>
      </w:pPr>
      <w:r>
        <w:rPr>
          <w:rFonts w:cs="Calibri" w:ascii="Titillium" w:hAnsi="Titillium"/>
          <w:sz w:val="18"/>
          <w:szCs w:val="18"/>
        </w:rPr>
        <w:t>le parti del servizio o della fornitura, ovvero la percentuale in caso di servizio/forniture indivisibili, eseguite dai singoli operatori economici aggregati in rete.</w:t>
      </w:r>
    </w:p>
    <w:p>
      <w:pPr>
        <w:pStyle w:val="Normal"/>
        <w:spacing w:before="60" w:after="60"/>
        <w:rPr>
          <w:rFonts w:ascii="Titillium" w:hAnsi="Titillium" w:cs="Calibri"/>
          <w:b/>
          <w:bCs/>
          <w:sz w:val="18"/>
          <w:szCs w:val="18"/>
        </w:rPr>
      </w:pPr>
      <w:r>
        <w:rPr>
          <w:rFonts w:cs="Calibri" w:ascii="Titillium" w:hAnsi="Titillium"/>
          <w:b/>
          <w:bCs/>
          <w:sz w:val="18"/>
          <w:szCs w:val="18"/>
        </w:rPr>
        <w:t>Per i consorzi di cui all’art. 65, comma 2, lett. b), c) e d) del Codice</w:t>
      </w:r>
    </w:p>
    <w:p>
      <w:pPr>
        <w:pStyle w:val="ListParagraph"/>
        <w:numPr>
          <w:ilvl w:val="0"/>
          <w:numId w:val="9"/>
        </w:numPr>
        <w:spacing w:before="60" w:after="60"/>
        <w:ind w:hanging="360" w:left="426"/>
        <w:contextualSpacing/>
        <w:rPr>
          <w:rFonts w:ascii="Titillium" w:hAnsi="Titillium" w:cs="Calibri"/>
          <w:sz w:val="18"/>
          <w:szCs w:val="18"/>
        </w:rPr>
      </w:pPr>
      <w:r>
        <w:rPr>
          <w:rFonts w:cs="Calibri" w:ascii="Titillium" w:hAnsi="Titillium"/>
          <w:sz w:val="18"/>
          <w:szCs w:val="18"/>
        </w:rPr>
        <w:t>DGUE compilato e sottoscritto da ciascuna consorziata esecutrice e da ciascuna consorziata che presta i requisiti;</w:t>
      </w:r>
    </w:p>
    <w:p>
      <w:pPr>
        <w:pStyle w:val="ListParagraph"/>
        <w:numPr>
          <w:ilvl w:val="0"/>
          <w:numId w:val="9"/>
        </w:numPr>
        <w:spacing w:before="60" w:after="60"/>
        <w:ind w:hanging="360" w:left="426"/>
        <w:contextualSpacing/>
        <w:rPr>
          <w:rFonts w:ascii="Titillium" w:hAnsi="Titillium" w:cs="Calibri"/>
          <w:sz w:val="18"/>
          <w:szCs w:val="18"/>
        </w:rPr>
      </w:pPr>
      <w:r>
        <w:rPr>
          <w:rFonts w:cs="Calibri" w:ascii="Titillium" w:hAnsi="Titillium"/>
          <w:sz w:val="18"/>
          <w:szCs w:val="18"/>
        </w:rPr>
        <w:t xml:space="preserve">dichiarazione resa da ciascuna consorziata esecutrice e da ciascuna consorziata che presta i requisiti, attestante: </w:t>
      </w:r>
    </w:p>
    <w:p>
      <w:pPr>
        <w:pStyle w:val="ListParagraph"/>
        <w:numPr>
          <w:ilvl w:val="1"/>
          <w:numId w:val="8"/>
        </w:numPr>
        <w:spacing w:before="60" w:after="60"/>
        <w:ind w:hanging="360" w:left="709"/>
        <w:contextualSpacing/>
        <w:rPr>
          <w:highlight w:val="none"/>
          <w:shd w:fill="FFFFFF" w:val="clear"/>
        </w:rPr>
      </w:pPr>
      <w:r>
        <w:rPr>
          <w:rFonts w:cs="Calibri" w:ascii="Titillium" w:hAnsi="Titillium"/>
          <w:i/>
          <w:iCs/>
          <w:sz w:val="18"/>
          <w:szCs w:val="18"/>
          <w:shd w:fill="FFFFFF" w:val="clear"/>
        </w:rPr>
        <w:t>[Eventuale, in caso di servizi o forniture rientranti in una delle attività a maggior rischio di infiltrazione mafiosa di cui al comma 53, dell’art. 1, della legge 6 novembre 2012, n. 190]</w:t>
      </w:r>
      <w:r>
        <w:rPr>
          <w:rFonts w:cs="Calibri" w:ascii="Titillium" w:hAnsi="Titillium"/>
          <w:sz w:val="18"/>
          <w:szCs w:val="18"/>
          <w:shd w:fill="FFFFFF" w:val="clear"/>
        </w:rPr>
        <w:t>:</w:t>
      </w:r>
    </w:p>
    <w:p>
      <w:pPr>
        <w:pStyle w:val="ListParagraph"/>
        <w:numPr>
          <w:ilvl w:val="4"/>
          <w:numId w:val="8"/>
        </w:numPr>
        <w:spacing w:before="60" w:after="60"/>
        <w:ind w:hanging="142" w:left="851"/>
        <w:contextualSpacing/>
        <w:rPr>
          <w:highlight w:val="none"/>
          <w:shd w:fill="FFFFFF" w:val="clear"/>
        </w:rPr>
      </w:pPr>
      <w:r>
        <w:rPr>
          <w:rFonts w:cs="Calibri" w:ascii="Titillium" w:hAnsi="Titillium"/>
          <w:sz w:val="18"/>
          <w:szCs w:val="18"/>
          <w:shd w:fill="FFFFFF" w:val="clear"/>
        </w:rPr>
        <w:t>1 di essere iscritto nell’elenco dei fornitori, prestatori di servizi non soggetti a tentativo di infiltrazione mafiosa (c.d. White List), indicando la Prefettura presso cui l’elenco è istituito</w:t>
      </w:r>
      <w:bookmarkStart w:id="1819" w:name="_Hlk203730467"/>
      <w:r>
        <w:rPr>
          <w:rFonts w:cs="Calibri" w:ascii="Titillium" w:hAnsi="Titillium"/>
          <w:sz w:val="18"/>
          <w:szCs w:val="18"/>
          <w:shd w:fill="FFFFFF" w:val="clear"/>
        </w:rPr>
        <w:t>;</w:t>
      </w:r>
    </w:p>
    <w:p>
      <w:pPr>
        <w:pStyle w:val="ListParagraph"/>
        <w:spacing w:before="60" w:after="60"/>
        <w:ind w:firstLine="695" w:left="-284"/>
        <w:contextualSpacing/>
        <w:rPr>
          <w:highlight w:val="none"/>
          <w:shd w:fill="FFFFFF" w:val="clear"/>
        </w:rPr>
      </w:pPr>
      <w:r>
        <w:rPr>
          <w:rFonts w:eastAsia="Calibri" w:cs="Courier New" w:ascii="Titillium" w:hAnsi="Titillium"/>
          <w:b/>
          <w:i/>
          <w:iCs/>
          <w:sz w:val="18"/>
          <w:szCs w:val="18"/>
          <w:shd w:fill="FFFFFF" w:val="clear"/>
          <w:lang w:eastAsia="it-IT"/>
        </w:rPr>
        <w:t xml:space="preserve">(o, in alternativa,) </w:t>
      </w:r>
      <w:bookmarkEnd w:id="1819"/>
    </w:p>
    <w:p>
      <w:pPr>
        <w:pStyle w:val="Title"/>
        <w:spacing w:lineRule="auto" w:line="276" w:before="60" w:after="60"/>
        <w:ind w:left="709"/>
        <w:contextualSpacing/>
        <w:rPr>
          <w:highlight w:val="none"/>
          <w:shd w:fill="FFFFFF" w:val="clear"/>
        </w:rPr>
      </w:pPr>
      <w:r>
        <w:rPr>
          <w:rFonts w:cs="Calibri" w:ascii="Titillium" w:hAnsi="Titillium"/>
          <w:sz w:val="18"/>
          <w:szCs w:val="18"/>
          <w:shd w:fill="FFFFFF" w:val="clear"/>
        </w:rPr>
        <w:t>a..2 di aver presentato la domanda di iscrizione o di rinnovo nell’elenco dei fornitori, prestatori di servizi non soggetti a tentativo di infiltrazione mafiosa, indicando la Prefettura presso cui l’elenco è istituito;</w:t>
      </w:r>
    </w:p>
    <w:p>
      <w:pPr>
        <w:pStyle w:val="ListParagraph"/>
        <w:numPr>
          <w:ilvl w:val="1"/>
          <w:numId w:val="8"/>
        </w:numPr>
        <w:spacing w:before="60" w:after="60"/>
        <w:ind w:hanging="360" w:left="851"/>
        <w:contextualSpacing/>
        <w:rPr>
          <w:highlight w:val="none"/>
          <w:shd w:fill="FFFFFF" w:val="clear"/>
        </w:rPr>
      </w:pPr>
      <w:r>
        <w:rPr>
          <w:rFonts w:cs="Calibri" w:ascii="Titillium" w:hAnsi="Titillium"/>
          <w:i/>
          <w:iCs/>
          <w:sz w:val="18"/>
          <w:szCs w:val="18"/>
          <w:shd w:fill="FFFFFF" w:val="clear"/>
        </w:rPr>
        <w:t>[Eventuale in caso di adozione di misure di self-cleaning]:</w:t>
      </w:r>
    </w:p>
    <w:p>
      <w:pPr>
        <w:pStyle w:val="Normal"/>
        <w:ind w:left="709"/>
        <w:rPr>
          <w:highlight w:val="none"/>
          <w:shd w:fill="FFFFFF" w:val="clear"/>
        </w:rPr>
      </w:pPr>
      <w:r>
        <w:rPr>
          <w:rFonts w:cs="Calibri" w:ascii="Titillium" w:hAnsi="Titillium"/>
          <w:sz w:val="18"/>
          <w:szCs w:val="18"/>
          <w:shd w:fill="FFFFFF" w:val="clear"/>
        </w:rPr>
        <w:t>b.1 di avere inserito nel FVOE la relazione che illustra le misure di self cleaning adottate in relazione alle cause di esclusione verificate prima della presentazione della presente domanda e di aver indicato nel DGUE, il riferimento al documento caricato nel FVOE;</w:t>
      </w:r>
    </w:p>
    <w:p>
      <w:pPr>
        <w:pStyle w:val="ListParagraph"/>
        <w:spacing w:before="60" w:after="60"/>
        <w:ind w:firstLine="695" w:left="-284"/>
        <w:contextualSpacing/>
        <w:rPr>
          <w:highlight w:val="none"/>
          <w:shd w:fill="FFFFFF" w:val="clear"/>
        </w:rPr>
      </w:pPr>
      <w:r>
        <w:rPr>
          <w:rFonts w:eastAsia="Calibri" w:cs="Courier New" w:ascii="Titillium" w:hAnsi="Titillium"/>
          <w:b/>
          <w:i/>
          <w:iCs/>
          <w:sz w:val="18"/>
          <w:szCs w:val="18"/>
          <w:shd w:fill="FFFFFF" w:val="clear"/>
          <w:lang w:eastAsia="it-IT"/>
        </w:rPr>
        <w:t xml:space="preserve">(o, in alternativa) </w:t>
      </w:r>
    </w:p>
    <w:p>
      <w:pPr>
        <w:pStyle w:val="ListParagraph"/>
        <w:ind w:left="709"/>
        <w:rPr>
          <w:highlight w:val="none"/>
          <w:shd w:fill="FFFFFF" w:val="clear"/>
        </w:rPr>
      </w:pPr>
      <w:r>
        <w:rPr>
          <w:rFonts w:cs="Calibri" w:ascii="Titillium" w:hAnsi="Titillium"/>
          <w:sz w:val="18"/>
          <w:szCs w:val="18"/>
          <w:shd w:fill="FFFFFF" w:val="clear"/>
        </w:rPr>
        <w:t>b.2 di essere stato impossibilitato ad adottare misure di self cleaning per i seguenti motivi ……………………………. [indicare le motivazioni] e si impegna ad adottare misure idonee e a comunicare le stesse tempestivamente e comunque prima dell’aggiudicazione;</w:t>
      </w:r>
    </w:p>
    <w:p>
      <w:pPr>
        <w:pStyle w:val="ListParagraph"/>
        <w:numPr>
          <w:ilvl w:val="1"/>
          <w:numId w:val="8"/>
        </w:numPr>
        <w:spacing w:before="60" w:after="60"/>
        <w:ind w:hanging="283" w:left="709"/>
        <w:contextualSpacing/>
        <w:rPr>
          <w:highlight w:val="none"/>
          <w:shd w:fill="FFFFFF" w:val="clear"/>
        </w:rPr>
      </w:pPr>
      <w:r>
        <w:rPr>
          <w:rFonts w:cs="Calibri" w:ascii="Titillium" w:hAnsi="Titillium"/>
          <w:i/>
          <w:iCs/>
          <w:sz w:val="18"/>
          <w:szCs w:val="18"/>
          <w:shd w:fill="FFFFFF" w:val="clear"/>
        </w:rPr>
        <w:t>[Eventuale, in caso di sottoposizione a concordato preventivo con continuità aziendale]:</w:t>
      </w:r>
    </w:p>
    <w:p>
      <w:pPr>
        <w:pStyle w:val="Title"/>
        <w:numPr>
          <w:ilvl w:val="0"/>
          <w:numId w:val="33"/>
        </w:numPr>
        <w:spacing w:lineRule="auto" w:line="276" w:before="0" w:after="0"/>
        <w:ind w:hanging="283" w:left="709"/>
        <w:contextualSpacing/>
        <w:rPr>
          <w:highlight w:val="none"/>
          <w:shd w:fill="FFFFFF" w:val="clear"/>
        </w:rPr>
      </w:pPr>
      <w:r>
        <w:rPr>
          <w:rFonts w:eastAsia="Times New Roman" w:cs="Calibri" w:ascii="Titillium" w:hAnsi="Titillium"/>
          <w:spacing w:val="0"/>
          <w:kern w:val="0"/>
          <w:sz w:val="18"/>
          <w:szCs w:val="18"/>
          <w:shd w:fill="FFFFFF" w:val="clear"/>
        </w:rPr>
        <w:t>che il provvedimento di ammissione al concordato è stato emesso il ……………. da …………………</w:t>
      </w:r>
    </w:p>
    <w:p>
      <w:pPr>
        <w:pStyle w:val="ListParagraph"/>
        <w:numPr>
          <w:ilvl w:val="0"/>
          <w:numId w:val="33"/>
        </w:numPr>
        <w:spacing w:before="60" w:after="60"/>
        <w:ind w:hanging="283" w:left="709"/>
        <w:contextualSpacing/>
        <w:rPr>
          <w:highlight w:val="none"/>
          <w:shd w:fill="FFFFFF" w:val="clear"/>
        </w:rPr>
      </w:pPr>
      <w:r>
        <w:rPr>
          <w:rFonts w:cs="Calibri" w:ascii="Titillium" w:hAnsi="Titillium"/>
          <w:sz w:val="18"/>
          <w:szCs w:val="18"/>
          <w:shd w:fill="FFFFFF" w:val="clear"/>
        </w:rPr>
        <w:t>che il provvedimento di autorizzazione a partecipare alle gare è stato emesso il ……………. da …….;</w:t>
      </w:r>
    </w:p>
    <w:p>
      <w:pPr>
        <w:pStyle w:val="ListParagraph"/>
        <w:numPr>
          <w:ilvl w:val="1"/>
          <w:numId w:val="8"/>
        </w:numPr>
        <w:spacing w:before="60" w:after="60"/>
        <w:ind w:hanging="283" w:left="709"/>
        <w:contextualSpacing/>
        <w:rPr>
          <w:highlight w:val="none"/>
          <w:shd w:fill="FFFFFF" w:val="clear"/>
        </w:rPr>
      </w:pPr>
      <w:r>
        <w:rPr>
          <w:rFonts w:cs="Calibri" w:ascii="Titillium" w:hAnsi="Titillium"/>
          <w:i/>
          <w:iCs/>
          <w:sz w:val="18"/>
          <w:szCs w:val="18"/>
          <w:shd w:fill="FFFFFF" w:val="clear"/>
        </w:rPr>
        <w:t>[Eventuale, in caso di 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pPr>
        <w:pStyle w:val="Title"/>
        <w:numPr>
          <w:ilvl w:val="0"/>
          <w:numId w:val="33"/>
        </w:numPr>
        <w:spacing w:lineRule="auto" w:line="276" w:before="0" w:after="0"/>
        <w:ind w:hanging="283" w:left="709"/>
        <w:contextualSpacing/>
        <w:rPr>
          <w:highlight w:val="none"/>
          <w:shd w:fill="FFFFFF" w:val="clear"/>
        </w:rPr>
      </w:pPr>
      <w:r>
        <w:rPr>
          <w:rFonts w:eastAsia="Times New Roman" w:cs="Calibri" w:ascii="Titillium" w:hAnsi="Titillium"/>
          <w:spacing w:val="0"/>
          <w:kern w:val="0"/>
          <w:sz w:val="18"/>
          <w:szCs w:val="18"/>
          <w:shd w:fill="FFFFFF" w:val="clear"/>
        </w:rPr>
        <w:t xml:space="preserve"> </w:t>
      </w:r>
      <w:r>
        <w:rPr>
          <w:rFonts w:eastAsia="Times New Roman" w:cs="Calibri" w:ascii="Titillium" w:hAnsi="Titillium"/>
          <w:spacing w:val="0"/>
          <w:kern w:val="0"/>
          <w:sz w:val="18"/>
          <w:szCs w:val="18"/>
          <w:shd w:fill="FFFFFF" w:val="clear"/>
        </w:rPr>
        <w:t>che è stato emesso il provvedimento …. (indicare il tipo di provvedimento: sottoposizione a sequestro o confisca ai sensi dell'articolo 240-bis del codice penale o degli articoli 20 e 24 del decreto legislativo 6 settembre 2011, n. 159, e affidamento a custode o amministratore giudiziario o finanziario) in data … da parte di ….;</w:t>
      </w:r>
    </w:p>
    <w:p>
      <w:pPr>
        <w:pStyle w:val="ListParagraph"/>
        <w:numPr>
          <w:ilvl w:val="1"/>
          <w:numId w:val="8"/>
        </w:numPr>
        <w:spacing w:before="60" w:after="60"/>
        <w:ind w:hanging="283" w:left="709"/>
        <w:contextualSpacing/>
        <w:rPr>
          <w:highlight w:val="none"/>
          <w:shd w:fill="FFFFFF" w:val="clear"/>
        </w:rPr>
      </w:pPr>
      <w:r>
        <w:rPr>
          <w:rFonts w:cs="Calibri" w:ascii="Titillium" w:hAnsi="Titillium"/>
          <w:i/>
          <w:iCs/>
          <w:sz w:val="18"/>
          <w:szCs w:val="18"/>
          <w:shd w:fill="FFFFFF" w:val="clear"/>
        </w:rPr>
        <w:t>[</w:t>
      </w:r>
      <w:r>
        <w:rPr>
          <w:rFonts w:cs="Calibri" w:ascii="Titillium" w:hAnsi="Titillium"/>
          <w:b/>
          <w:bCs/>
          <w:i/>
          <w:iCs/>
          <w:sz w:val="18"/>
          <w:szCs w:val="18"/>
          <w:shd w:fill="FFFFFF" w:val="clear"/>
        </w:rPr>
        <w:t>solo per i consorzi stabili</w:t>
      </w:r>
      <w:r>
        <w:rPr>
          <w:rFonts w:cs="Calibri" w:ascii="Titillium" w:hAnsi="Titillium"/>
          <w:i/>
          <w:iCs/>
          <w:sz w:val="18"/>
          <w:szCs w:val="18"/>
          <w:shd w:fill="FFFFFF" w:val="clear"/>
        </w:rPr>
        <w:t>]</w:t>
      </w:r>
      <w:r>
        <w:rPr>
          <w:rFonts w:cs="Calibri" w:ascii="Titillium" w:hAnsi="Titillium"/>
          <w:sz w:val="18"/>
          <w:szCs w:val="18"/>
          <w:shd w:fill="FFFFFF" w:val="clear"/>
        </w:rPr>
        <w:t xml:space="preserve"> di non partecipare a più di un consorzio stabile;</w:t>
      </w:r>
    </w:p>
    <w:p>
      <w:pPr>
        <w:pStyle w:val="ListParagraph"/>
        <w:numPr>
          <w:ilvl w:val="1"/>
          <w:numId w:val="8"/>
        </w:numPr>
        <w:spacing w:before="60" w:after="60"/>
        <w:ind w:hanging="283" w:left="709"/>
        <w:contextualSpacing/>
        <w:rPr>
          <w:highlight w:val="none"/>
          <w:shd w:fill="FFFFFF" w:val="clear"/>
        </w:rPr>
      </w:pPr>
      <w:r>
        <w:rPr>
          <w:rFonts w:ascii="Titillium" w:hAnsi="Titillium"/>
          <w:sz w:val="18"/>
          <w:szCs w:val="18"/>
          <w:shd w:fill="FFFFFF" w:val="clear"/>
        </w:rPr>
        <w:t>di non partecipare alla medesima gara contemporaneamente in forme diverse (singola/associata, in più forme associate, in forma singola e quale consorziato esecutore di un consorzio) e come impresa ausiliaria di altro concorrente che sia ricorso all’avvalimento per migliorare la propria offerta;</w:t>
      </w:r>
    </w:p>
    <w:p>
      <w:pPr>
        <w:pStyle w:val="ListParagraph"/>
        <w:spacing w:before="60" w:after="60"/>
        <w:ind w:firstLine="695" w:left="-284"/>
        <w:contextualSpacing/>
        <w:rPr>
          <w:highlight w:val="none"/>
          <w:shd w:fill="FFFFFF" w:val="clear"/>
        </w:rPr>
      </w:pPr>
      <w:r>
        <w:rPr>
          <w:rFonts w:eastAsia="Calibri" w:cs="Courier New" w:ascii="Titillium" w:hAnsi="Titillium"/>
          <w:b/>
          <w:i/>
          <w:iCs/>
          <w:sz w:val="18"/>
          <w:szCs w:val="18"/>
          <w:shd w:fill="FFFFFF" w:val="clear"/>
          <w:lang w:eastAsia="it-IT"/>
        </w:rPr>
        <w:t xml:space="preserve">(o, in alternativa) </w:t>
      </w:r>
    </w:p>
    <w:p>
      <w:pPr>
        <w:pStyle w:val="ListParagraph"/>
        <w:numPr>
          <w:ilvl w:val="1"/>
          <w:numId w:val="8"/>
        </w:numPr>
        <w:ind w:hanging="283" w:left="709"/>
        <w:rPr>
          <w:highlight w:val="none"/>
          <w:shd w:fill="FFFFFF" w:val="clear"/>
        </w:rPr>
      </w:pPr>
      <w:r>
        <w:rPr>
          <w:rFonts w:cs="Calibri" w:ascii="Titillium" w:hAnsi="Titillium"/>
          <w:sz w:val="18"/>
          <w:szCs w:val="18"/>
          <w:shd w:fill="FFFFFF" w:val="clear"/>
        </w:rPr>
        <w:t xml:space="preserve">di partecipare in più di una forma, ………………… </w:t>
      </w:r>
      <w:r>
        <w:rPr>
          <w:rFonts w:cs="Calibri" w:ascii="Titillium" w:hAnsi="Titillium"/>
          <w:i/>
          <w:iCs/>
          <w:sz w:val="18"/>
          <w:szCs w:val="18"/>
          <w:shd w:fill="FFFFFF" w:val="clear"/>
        </w:rPr>
        <w:t xml:space="preserve">[indicare quali] </w:t>
      </w:r>
      <w:r>
        <w:rPr>
          <w:rFonts w:cs="Calibri" w:ascii="Titillium" w:hAnsi="Titillium"/>
          <w:sz w:val="18"/>
          <w:szCs w:val="18"/>
          <w:shd w:fill="FFFFFF" w:val="clear"/>
        </w:rPr>
        <w:t>e inserisce nel FVOE idonea documentazione atta a dimostrare che la circostanza non ha influito sulla gara, né è idonea a incidere sulla capacità di rispettare gli obblighi contrattuali;</w:t>
      </w:r>
    </w:p>
    <w:p>
      <w:pPr>
        <w:pStyle w:val="ListParagraph"/>
        <w:spacing w:before="60" w:after="60"/>
        <w:ind w:firstLine="695" w:left="-284"/>
        <w:contextualSpacing/>
        <w:rPr>
          <w:highlight w:val="none"/>
          <w:shd w:fill="FFFFFF" w:val="clear"/>
        </w:rPr>
      </w:pPr>
      <w:r>
        <w:rPr>
          <w:rFonts w:eastAsia="Calibri" w:cs="Courier New" w:ascii="Titillium" w:hAnsi="Titillium"/>
          <w:b/>
          <w:i/>
          <w:iCs/>
          <w:sz w:val="18"/>
          <w:szCs w:val="18"/>
          <w:shd w:fill="FFFFFF" w:val="clear"/>
          <w:lang w:eastAsia="it-IT"/>
        </w:rPr>
        <w:t xml:space="preserve">(o, in alternativa) </w:t>
      </w:r>
    </w:p>
    <w:p>
      <w:pPr>
        <w:pStyle w:val="ListParagraph"/>
        <w:numPr>
          <w:ilvl w:val="1"/>
          <w:numId w:val="8"/>
        </w:numPr>
        <w:ind w:hanging="283" w:left="709"/>
        <w:rPr>
          <w:highlight w:val="none"/>
          <w:shd w:fill="FFFFFF" w:val="clear"/>
        </w:rPr>
      </w:pPr>
      <w:r>
        <w:rPr>
          <w:rFonts w:cs="Calibri" w:ascii="Titillium" w:hAnsi="Titillium"/>
          <w:sz w:val="18"/>
          <w:szCs w:val="18"/>
          <w:shd w:fill="FFFFFF" w:val="clear"/>
        </w:rPr>
        <w:t xml:space="preserve">di avere prestato risorse, in qualità di impresa ausiliaria, al concorrente …. </w:t>
      </w:r>
      <w:r>
        <w:rPr>
          <w:rFonts w:cs="Calibri" w:ascii="Titillium" w:hAnsi="Titillium"/>
          <w:i/>
          <w:iCs/>
          <w:sz w:val="18"/>
          <w:szCs w:val="18"/>
          <w:shd w:fill="FFFFFF" w:val="clear"/>
        </w:rPr>
        <w:t>[indicare il nominativo]</w:t>
      </w:r>
      <w:r>
        <w:rPr>
          <w:rFonts w:cs="Calibri" w:ascii="Titillium" w:hAnsi="Titillium"/>
          <w:sz w:val="18"/>
          <w:szCs w:val="18"/>
          <w:shd w:fill="FFFFFF" w:val="clear"/>
        </w:rPr>
        <w:t>, che se ne è avvalso ai fini del miglioramento dell’offerta, e inserisce nel FVOE idonea documentazione atta a dimostrare che non sussistono collegamenti tali da ricondurre entrambe le imprese allo stesso centro decisionale;</w:t>
      </w:r>
    </w:p>
    <w:p>
      <w:pPr>
        <w:pStyle w:val="ListParagraph"/>
        <w:numPr>
          <w:ilvl w:val="1"/>
          <w:numId w:val="8"/>
        </w:numPr>
        <w:ind w:hanging="283" w:left="709"/>
        <w:rPr>
          <w:highlight w:val="none"/>
          <w:shd w:fill="FFFFFF" w:val="clear"/>
        </w:rPr>
      </w:pPr>
      <w:r>
        <w:rPr>
          <w:rFonts w:cs="Calibri" w:ascii="Titillium" w:hAnsi="Titillium"/>
          <w:sz w:val="18"/>
          <w:szCs w:val="18"/>
          <w:shd w:fill="FFFFFF" w:val="clear"/>
        </w:rPr>
        <w:t>di prestare il consenso al trattamento dei dati tramite il FVOE, nel rispetto di quanto previsto dal D.lgs. 196 del 30 giugno 2003, ai fini della verifica da parte della stazione appaltante del possesso dei requisiti dichiarati.</w:t>
      </w:r>
    </w:p>
    <w:p>
      <w:pPr>
        <w:pStyle w:val="Normal"/>
        <w:ind w:left="774"/>
        <w:rPr>
          <w:rFonts w:ascii="Titillium" w:hAnsi="Titillium" w:cs="Calibri"/>
          <w:sz w:val="18"/>
          <w:szCs w:val="18"/>
          <w:highlight w:val="none"/>
          <w:shd w:fill="FFFFFF" w:val="clear"/>
        </w:rPr>
      </w:pPr>
      <w:r>
        <w:rPr>
          <w:rFonts w:cs="Calibri" w:ascii="Titillium" w:hAnsi="Titillium"/>
          <w:sz w:val="18"/>
          <w:szCs w:val="18"/>
          <w:shd w:fill="FFFFFF" w:val="clear"/>
        </w:rPr>
      </w:r>
    </w:p>
    <w:p>
      <w:pPr>
        <w:pStyle w:val="Heading2"/>
        <w:numPr>
          <w:ilvl w:val="0"/>
          <w:numId w:val="3"/>
        </w:numPr>
        <w:rPr/>
      </w:pPr>
      <w:bookmarkStart w:id="1820" w:name="__RefHeading___Toc11740_2735037374"/>
      <w:bookmarkEnd w:id="1820"/>
      <w:r>
        <w:rPr/>
        <w:t xml:space="preserve"> </w:t>
      </w:r>
      <w:bookmarkStart w:id="1821" w:name="_Toc207275754"/>
      <w:r>
        <w:rPr/>
        <w:t>OFFERTA TECNICA</w:t>
      </w:r>
      <w:bookmarkEnd w:id="1821"/>
    </w:p>
    <w:p>
      <w:pPr>
        <w:pStyle w:val="Normal"/>
        <w:spacing w:before="60" w:after="60"/>
        <w:rPr/>
      </w:pPr>
      <w:bookmarkStart w:id="1822" w:name="_Toc406754183"/>
      <w:bookmarkStart w:id="1823" w:name="_Toc407013507"/>
      <w:bookmarkStart w:id="1824" w:name="_Toc406058382"/>
      <w:bookmarkEnd w:id="1822"/>
      <w:bookmarkEnd w:id="1823"/>
      <w:bookmarkEnd w:id="1824"/>
      <w:r>
        <w:rPr>
          <w:rFonts w:cs="Calibri" w:ascii="Titillium" w:hAnsi="Titillium"/>
          <w:sz w:val="18"/>
          <w:szCs w:val="18"/>
        </w:rPr>
        <w:t>L’operatore economico inserisce la documentazione relativa all’offerta tecnica nella PAD secondo le seguenti modalità,</w:t>
      </w:r>
      <w:r>
        <w:rPr>
          <w:rFonts w:cs="Calibri" w:ascii="Titillium" w:hAnsi="Titillium"/>
          <w:i/>
          <w:sz w:val="18"/>
          <w:szCs w:val="18"/>
        </w:rPr>
        <w:t xml:space="preserve">, </w:t>
      </w:r>
      <w:r>
        <w:rPr>
          <w:rFonts w:cs="Calibri" w:ascii="Titillium" w:hAnsi="Titillium"/>
          <w:iCs/>
          <w:sz w:val="18"/>
          <w:szCs w:val="18"/>
        </w:rPr>
        <w:t>a pena di inammissibilità dell’offerta. L’offerta è fi</w:t>
      </w:r>
      <w:r>
        <w:rPr>
          <w:rFonts w:cs="Calibri" w:ascii="Titillium" w:hAnsi="Titillium"/>
          <w:sz w:val="18"/>
          <w:szCs w:val="18"/>
        </w:rPr>
        <w:t>rmata secondo le modalità previste al precedente paragrafo 13 e deve contenere, a p</w:t>
      </w:r>
      <w:r>
        <w:rPr>
          <w:rFonts w:cs="Calibri" w:ascii="Titillium" w:hAnsi="Titillium"/>
          <w:sz w:val="18"/>
          <w:szCs w:val="18"/>
          <w:shd w:fill="FFFFFF" w:val="clear"/>
        </w:rPr>
        <w:t>ena di esclusione, i seguenti documenti:</w:t>
      </w:r>
    </w:p>
    <w:p>
      <w:pPr>
        <w:pStyle w:val="ListParagraph"/>
        <w:numPr>
          <w:ilvl w:val="0"/>
          <w:numId w:val="19"/>
        </w:numPr>
        <w:spacing w:before="60" w:after="60"/>
        <w:ind w:hanging="360" w:left="709"/>
        <w:contextualSpacing w:val="false"/>
        <w:rPr>
          <w:highlight w:val="none"/>
          <w:shd w:fill="FFFFFF" w:val="clear"/>
        </w:rPr>
      </w:pPr>
      <w:r>
        <w:rPr>
          <w:rFonts w:cs="Calibri" w:ascii="Titillium" w:hAnsi="Titillium"/>
          <w:sz w:val="18"/>
          <w:szCs w:val="18"/>
          <w:shd w:fill="FFFFFF" w:val="clear"/>
        </w:rPr>
        <w:t>relazione tecnica descrittiva del servizio richiesto,</w:t>
      </w:r>
      <w:r>
        <w:rPr>
          <w:rFonts w:eastAsia="Times New Roman" w:cs="Calibri" w:ascii="Titillium" w:hAnsi="Titillium"/>
          <w:color w:val="000000"/>
          <w:kern w:val="0"/>
          <w:sz w:val="18"/>
          <w:szCs w:val="18"/>
          <w:shd w:fill="FFFFFF" w:val="clear"/>
          <w:lang w:val="it-IT" w:eastAsia="en-US" w:bidi="ar-SA"/>
          <w14:ligatures w14:val="none"/>
        </w:rPr>
        <w:t xml:space="preserve"> che illustri quanto descritto nei criteri e subcriteri di valutazione indicati nella tabella di cui al successivo paragrafo 18.1 (punto 1-2-3);</w:t>
      </w:r>
    </w:p>
    <w:p>
      <w:pPr>
        <w:pStyle w:val="ListParagraph"/>
        <w:numPr>
          <w:ilvl w:val="0"/>
          <w:numId w:val="19"/>
        </w:numPr>
        <w:spacing w:before="60" w:after="60"/>
        <w:ind w:hanging="360" w:left="709"/>
        <w:contextualSpacing w:val="false"/>
        <w:rPr>
          <w:highlight w:val="none"/>
          <w:shd w:fill="FFFFFF" w:val="clear"/>
        </w:rPr>
      </w:pPr>
      <w:r>
        <w:rPr>
          <w:rFonts w:eastAsia="Times New Roman" w:cs="Calibri" w:ascii="Titillium" w:hAnsi="Titillium"/>
          <w:i/>
          <w:iCs/>
          <w:color w:val="000000"/>
          <w:kern w:val="0"/>
          <w:sz w:val="18"/>
          <w:szCs w:val="18"/>
          <w:shd w:fill="FFFFFF" w:val="clear"/>
          <w:lang w:val="it-IT" w:eastAsia="en-US" w:bidi="ar-SA"/>
          <w14:ligatures w14:val="none"/>
        </w:rPr>
        <w:t>certificazione parità di genere UNI/PdR 125:2022 o equivalent</w:t>
      </w:r>
      <w:r>
        <w:rPr>
          <w:rFonts w:cs="Calibri" w:ascii="Titillium" w:hAnsi="Titillium"/>
          <w:i/>
          <w:iCs/>
          <w:sz w:val="18"/>
          <w:szCs w:val="18"/>
          <w:shd w:fill="FFFFFF" w:val="clear"/>
        </w:rPr>
        <w:t>e (punto 4 tabella di valutazione);</w:t>
      </w:r>
    </w:p>
    <w:p>
      <w:pPr>
        <w:pStyle w:val="ListParagraph"/>
        <w:numPr>
          <w:ilvl w:val="0"/>
          <w:numId w:val="19"/>
        </w:numPr>
        <w:spacing w:before="60" w:after="60"/>
        <w:ind w:hanging="360" w:left="709"/>
        <w:contextualSpacing w:val="false"/>
        <w:rPr>
          <w:highlight w:val="none"/>
          <w:shd w:fill="FFFFFF" w:val="clear"/>
        </w:rPr>
      </w:pPr>
      <w:r>
        <w:rPr>
          <w:rFonts w:cs="Calibri" w:ascii="Titillium" w:hAnsi="Titillium"/>
          <w:i/>
          <w:iCs/>
          <w:sz w:val="18"/>
          <w:szCs w:val="18"/>
          <w:shd w:fill="FFFFFF" w:val="clear"/>
        </w:rPr>
        <w:t xml:space="preserve">eventuale </w:t>
      </w:r>
      <w:r>
        <w:rPr>
          <w:rFonts w:cs="Calibri" w:ascii="Titillium" w:hAnsi="Titillium"/>
          <w:sz w:val="18"/>
          <w:szCs w:val="18"/>
          <w:shd w:fill="FFFFFF" w:val="clear"/>
        </w:rPr>
        <w:t>contratto di avvalimento premiale;</w:t>
      </w:r>
    </w:p>
    <w:p>
      <w:pPr>
        <w:pStyle w:val="ListParagraph"/>
        <w:numPr>
          <w:ilvl w:val="0"/>
          <w:numId w:val="19"/>
        </w:numPr>
        <w:spacing w:before="60" w:after="60"/>
        <w:ind w:hanging="360" w:left="709"/>
        <w:contextualSpacing w:val="false"/>
        <w:rPr>
          <w:highlight w:val="none"/>
          <w:shd w:fill="FFFFFF" w:val="clear"/>
        </w:rPr>
      </w:pPr>
      <w:r>
        <w:rPr>
          <w:rFonts w:cs="Calibri" w:ascii="Titillium" w:hAnsi="Titillium"/>
          <w:sz w:val="18"/>
          <w:szCs w:val="18"/>
          <w:shd w:fill="FFFFFF" w:val="clear"/>
        </w:rPr>
        <w:t>progetto di assorbimento.</w:t>
      </w:r>
    </w:p>
    <w:p>
      <w:pPr>
        <w:pStyle w:val="ListParagraph"/>
        <w:widowControl/>
        <w:numPr>
          <w:ilvl w:val="0"/>
          <w:numId w:val="0"/>
        </w:numPr>
        <w:suppressAutoHyphens w:val="true"/>
        <w:bidi w:val="0"/>
        <w:spacing w:lineRule="auto" w:line="276" w:before="60" w:after="60"/>
        <w:ind w:hanging="0" w:left="0"/>
        <w:contextualSpacing w:val="false"/>
        <w:jc w:val="both"/>
        <w:rPr>
          <w:rFonts w:ascii="Titillium" w:hAnsi="Titillium" w:cs="Calibri"/>
          <w:sz w:val="18"/>
          <w:szCs w:val="18"/>
        </w:rPr>
      </w:pPr>
      <w:r>
        <w:rPr>
          <w:rFonts w:cs="Calibri" w:ascii="Titillium" w:hAnsi="Titillium"/>
          <w:sz w:val="18"/>
          <w:szCs w:val="18"/>
        </w:rPr>
      </w:r>
    </w:p>
    <w:p>
      <w:pPr>
        <w:pStyle w:val="Normal"/>
        <w:spacing w:before="60" w:after="60"/>
        <w:rPr/>
      </w:pPr>
      <w:r>
        <w:rPr>
          <w:rFonts w:cs="Calibri" w:ascii="Titillium" w:hAnsi="Titillium"/>
          <w:sz w:val="18"/>
          <w:szCs w:val="18"/>
        </w:rPr>
        <w:t>L’offerta tecnica deve rispettare, pena l’esclusione dalla procedura di gara, le caratteristiche minime stabilite nei documenti di gara, nel rispetto del principio di equivalenza.</w:t>
      </w:r>
    </w:p>
    <w:p>
      <w:pPr>
        <w:pStyle w:val="Normal"/>
        <w:spacing w:before="60" w:after="60"/>
        <w:rPr>
          <w:rFonts w:ascii="Titillium" w:hAnsi="Titillium" w:cs="Calibri"/>
          <w:sz w:val="18"/>
          <w:szCs w:val="18"/>
        </w:rPr>
      </w:pPr>
      <w:r>
        <w:rPr>
          <w:rFonts w:cs="Calibri" w:ascii="Titillium" w:hAnsi="Titillium"/>
          <w:sz w:val="18"/>
          <w:szCs w:val="18"/>
        </w:rPr>
        <w:t xml:space="preserve">Con riferimento al criterio valutativo circa la Certificazione parità di genere UNI/PdR 125:2022 sarà assegnato un punteggio ai concorrenti in possesso, al  momento della presentazione dell'offerta, della certificazione in materia di parità di genere di cui all'art. 46-bis del codice delle pari opportunità tra uomo e donna, di cui al decreto legislativo 11 aprile 2006, n. 198, in conformità alla norma UNI/PdR 125:2022 . La certificazione dovrà essere valida alla data di scadenza del termine delle offerte </w:t>
      </w:r>
      <w:r>
        <w:rPr>
          <w:rFonts w:cs="Calibri" w:ascii="Titillium" w:hAnsi="Titillium"/>
          <w:sz w:val="18"/>
          <w:szCs w:val="18"/>
          <w:shd w:fill="FFFFFF" w:val="clear"/>
        </w:rPr>
        <w:t>e posseduta, in caso di aggiudicazione, per tutto il tempo di durata del contratto.</w:t>
      </w:r>
    </w:p>
    <w:p>
      <w:pPr>
        <w:pStyle w:val="Normal"/>
        <w:spacing w:before="60" w:after="60"/>
        <w:rPr>
          <w:highlight w:val="none"/>
          <w:shd w:fill="FFFFFF" w:val="clear"/>
        </w:rPr>
      </w:pPr>
      <w:r>
        <w:rPr>
          <w:rFonts w:ascii="Titillium" w:hAnsi="Titillium"/>
          <w:b/>
          <w:bCs/>
          <w:i/>
          <w:iCs/>
          <w:sz w:val="18"/>
          <w:szCs w:val="18"/>
          <w:shd w:fill="FFFFFF" w:val="clear"/>
        </w:rPr>
        <w:t xml:space="preserve"> </w:t>
      </w:r>
      <w:r>
        <w:rPr>
          <w:rFonts w:ascii="Titillium" w:hAnsi="Titillium"/>
          <w:sz w:val="18"/>
          <w:szCs w:val="18"/>
          <w:shd w:fill="FFFFFF" w:val="clear"/>
        </w:rPr>
        <w:t xml:space="preserve">Ai fini del rispetto della clausola sociale sulla stabilità occupazionale di cui al paragrafo </w:t>
      </w:r>
      <w:r>
        <w:rPr>
          <w:rFonts w:ascii="Titillium" w:hAnsi="Titillium"/>
          <w:sz w:val="18"/>
          <w:szCs w:val="18"/>
          <w:shd w:fill="FFFFFF" w:val="clear"/>
        </w:rPr>
        <w:fldChar w:fldCharType="begin"/>
      </w:r>
      <w:r>
        <w:rPr>
          <w:rFonts w:ascii="Titillium" w:hAnsi="Titillium"/>
          <w:sz w:val="18"/>
          <w:szCs w:val="18"/>
          <w:shd w:fill="FFFFFF" w:val="clear"/>
        </w:rPr>
        <w:instrText xml:space="preserve"> REF _Ref132050689 \r \r \h </w:instrText>
      </w:r>
      <w:r>
        <w:rPr>
          <w:rFonts w:ascii="Titillium" w:hAnsi="Titillium"/>
          <w:sz w:val="18"/>
          <w:szCs w:val="18"/>
          <w:shd w:fill="FFFFFF" w:val="clear"/>
        </w:rPr>
        <w:fldChar w:fldCharType="separate"/>
      </w:r>
      <w:r>
        <w:rPr>
          <w:rFonts w:ascii="Titillium" w:hAnsi="Titillium"/>
          <w:sz w:val="18"/>
          <w:szCs w:val="18"/>
          <w:shd w:fill="FFFFFF" w:val="clear"/>
        </w:rPr>
        <w:t>9</w:t>
      </w:r>
      <w:r>
        <w:rPr>
          <w:rFonts w:ascii="Titillium" w:hAnsi="Titillium"/>
          <w:sz w:val="18"/>
          <w:szCs w:val="18"/>
          <w:shd w:fill="FFFFFF" w:val="clear"/>
        </w:rPr>
        <w:fldChar w:fldCharType="end"/>
      </w:r>
      <w:r>
        <w:rPr>
          <w:rFonts w:ascii="Titillium" w:hAnsi="Titillium"/>
          <w:sz w:val="18"/>
          <w:szCs w:val="18"/>
          <w:shd w:fill="FFFFFF" w:val="clear"/>
        </w:rPr>
        <w:t>, il concorrente allega all’offerta tecnica un progetto di assorbimento atto ad illustrare le concrete modalità di applicazione della clausola sociale</w:t>
      </w:r>
      <w:r>
        <w:rPr>
          <w:rFonts w:ascii="Titillium" w:hAnsi="Titillium"/>
          <w:i/>
          <w:iCs/>
          <w:sz w:val="18"/>
          <w:szCs w:val="18"/>
          <w:shd w:fill="FFFFFF" w:val="clear"/>
        </w:rPr>
        <w:t>.</w:t>
      </w:r>
    </w:p>
    <w:p>
      <w:pPr>
        <w:pStyle w:val="Normal"/>
        <w:spacing w:before="60" w:after="60"/>
        <w:rPr>
          <w:rFonts w:ascii="Titillium" w:hAnsi="Titillium" w:eastAsia="Calibri"/>
          <w:color w:themeColor="text1" w:val="000000"/>
          <w:kern w:val="2"/>
          <w:sz w:val="18"/>
          <w:szCs w:val="18"/>
          <w:lang w:eastAsia="it-IT"/>
        </w:rPr>
      </w:pPr>
      <w:r>
        <w:rPr>
          <w:rFonts w:eastAsia="Calibri" w:ascii="Titillium" w:hAnsi="Titillium"/>
          <w:color w:themeColor="text1" w:val="000000"/>
          <w:kern w:val="2"/>
          <w:sz w:val="18"/>
          <w:szCs w:val="18"/>
          <w:lang w:eastAsia="it-IT"/>
        </w:rPr>
        <w:t xml:space="preserve">L’operatore economico che intende avanzare richiesta di oscuramento di parte dell’offerta tecnica allega, oltre all’offerta in chiaro, una versione della stessa con oscuramento delle parti che ritiene riservate in quanto costituenti segreti tecnici o commerciali, anche risultanti da scoperte, innovazioni, progetti tutelati da titoli di proprietà industriale, nonché di contenuto altamente tecnologico, unitamente a una dichiarazione firmata contenente le ragioni della richiesta.  </w:t>
      </w:r>
    </w:p>
    <w:p>
      <w:pPr>
        <w:pStyle w:val="Normal"/>
        <w:widowControl w:val="false"/>
        <w:spacing w:before="60" w:after="60"/>
        <w:rPr>
          <w:rFonts w:ascii="Titillium" w:hAnsi="Titillium" w:cs="Arial"/>
          <w:sz w:val="18"/>
          <w:szCs w:val="18"/>
        </w:rPr>
      </w:pPr>
      <w:r>
        <w:rPr>
          <w:rFonts w:cs="Arial" w:ascii="Titillium" w:hAnsi="Titillium"/>
          <w:sz w:val="18"/>
          <w:szCs w:val="18"/>
        </w:rPr>
      </w:r>
    </w:p>
    <w:p>
      <w:pPr>
        <w:pStyle w:val="Heading2"/>
        <w:numPr>
          <w:ilvl w:val="0"/>
          <w:numId w:val="3"/>
        </w:numPr>
        <w:rPr/>
      </w:pPr>
      <w:bookmarkStart w:id="1825" w:name="__RefHeading___Toc11742_2735037374"/>
      <w:bookmarkStart w:id="1826" w:name="_Toc207275755"/>
      <w:bookmarkEnd w:id="1825"/>
      <w:r>
        <w:rPr/>
        <w:t>OFFERTA ECONOMICA</w:t>
      </w:r>
      <w:bookmarkEnd w:id="1826"/>
    </w:p>
    <w:p>
      <w:pPr>
        <w:pStyle w:val="Normal"/>
        <w:spacing w:before="60" w:after="60"/>
        <w:ind w:hanging="11"/>
        <w:rPr/>
      </w:pPr>
      <w:bookmarkStart w:id="1827" w:name="_Toc483325793"/>
      <w:bookmarkStart w:id="1828" w:name="_Toc483401270"/>
      <w:bookmarkStart w:id="1829" w:name="_Toc482025749"/>
      <w:bookmarkStart w:id="1830" w:name="_Toc482097573"/>
      <w:bookmarkStart w:id="1831" w:name="_Toc482097662"/>
      <w:bookmarkStart w:id="1832" w:name="_Toc482097751"/>
      <w:bookmarkStart w:id="1833" w:name="_Toc482097943"/>
      <w:bookmarkStart w:id="1834" w:name="_Toc482099045"/>
      <w:bookmarkStart w:id="1835" w:name="_Toc482100762"/>
      <w:bookmarkStart w:id="1836" w:name="_Toc482100919"/>
      <w:bookmarkStart w:id="1837" w:name="_Toc482101345"/>
      <w:bookmarkStart w:id="1838" w:name="_Toc482101482"/>
      <w:bookmarkStart w:id="1839" w:name="_Toc482101597"/>
      <w:bookmarkStart w:id="1840" w:name="_Toc482101772"/>
      <w:bookmarkStart w:id="1841" w:name="_Toc482101865"/>
      <w:bookmarkStart w:id="1842" w:name="_Toc482101960"/>
      <w:bookmarkStart w:id="1843" w:name="_Toc482102055"/>
      <w:bookmarkStart w:id="1844" w:name="_Toc482102149"/>
      <w:bookmarkStart w:id="1845" w:name="_Toc482352013"/>
      <w:bookmarkStart w:id="1846" w:name="_Toc482352103"/>
      <w:bookmarkStart w:id="1847" w:name="_Toc482352193"/>
      <w:bookmarkStart w:id="1848" w:name="_Toc482352283"/>
      <w:bookmarkStart w:id="1849" w:name="_Toc482633124"/>
      <w:bookmarkStart w:id="1850" w:name="_Toc482641301"/>
      <w:bookmarkStart w:id="1851" w:name="_Toc482712747"/>
      <w:bookmarkStart w:id="1852" w:name="_Toc482959535"/>
      <w:bookmarkStart w:id="1853" w:name="_Toc482959645"/>
      <w:bookmarkStart w:id="1854" w:name="_Toc482959755"/>
      <w:bookmarkStart w:id="1855" w:name="_Toc482978874"/>
      <w:bookmarkStart w:id="1856" w:name="_Toc482978983"/>
      <w:bookmarkStart w:id="1857" w:name="_Toc482979091"/>
      <w:bookmarkStart w:id="1858" w:name="_Toc482979202"/>
      <w:bookmarkStart w:id="1859" w:name="_Toc482979311"/>
      <w:bookmarkStart w:id="1860" w:name="_Toc482979420"/>
      <w:bookmarkStart w:id="1861" w:name="_Toc482979528"/>
      <w:bookmarkStart w:id="1862" w:name="_Toc482979626"/>
      <w:bookmarkStart w:id="1863" w:name="_Toc482979724"/>
      <w:bookmarkStart w:id="1864" w:name="_Toc483233684"/>
      <w:bookmarkStart w:id="1865" w:name="_Toc483302401"/>
      <w:bookmarkStart w:id="1866" w:name="_Toc483316022"/>
      <w:bookmarkStart w:id="1867" w:name="_Toc483316227"/>
      <w:bookmarkStart w:id="1868" w:name="_Toc483316359"/>
      <w:bookmarkStart w:id="1869" w:name="_Toc483316490"/>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r>
        <w:rPr>
          <w:rFonts w:cs="Calibri" w:ascii="Titillium" w:hAnsi="Titillium"/>
          <w:sz w:val="18"/>
          <w:szCs w:val="18"/>
        </w:rPr>
        <w:t>L’operatore economico inserisce la documentazione economica, nella PAD secondo le seguenti modalità</w:t>
      </w:r>
      <w:r>
        <w:rPr>
          <w:rFonts w:cs="Calibri" w:ascii="Titillium" w:hAnsi="Titillium"/>
          <w:i/>
          <w:sz w:val="18"/>
          <w:szCs w:val="18"/>
        </w:rPr>
        <w:t>.</w:t>
      </w:r>
      <w:r>
        <w:rPr>
          <w:rFonts w:cs="Calibri" w:ascii="Titillium" w:hAnsi="Titillium"/>
          <w:sz w:val="18"/>
          <w:szCs w:val="18"/>
        </w:rPr>
        <w:t xml:space="preserve"> L’offerta economica firmata secondo le modalità di cui al precedente paragrafo 13, deve indicare, a pena di esclusione, i seguenti elementi:</w:t>
      </w:r>
    </w:p>
    <w:p>
      <w:pPr>
        <w:pStyle w:val="Normal"/>
        <w:numPr>
          <w:ilvl w:val="2"/>
          <w:numId w:val="2"/>
        </w:numPr>
        <w:spacing w:before="60" w:after="60"/>
        <w:ind w:hanging="284" w:left="284"/>
        <w:rPr/>
      </w:pPr>
      <w:r>
        <w:rPr>
          <w:rFonts w:cs="Arial" w:ascii="Titillium" w:hAnsi="Titillium"/>
          <w:iCs/>
          <w:sz w:val="18"/>
          <w:szCs w:val="18"/>
        </w:rPr>
        <w:t>Allegato E - Scheda offerta economica</w:t>
      </w:r>
      <w:r>
        <w:rPr>
          <w:rFonts w:cs="Arial" w:ascii="Titillium" w:hAnsi="Titillium"/>
          <w:i/>
          <w:sz w:val="18"/>
          <w:szCs w:val="18"/>
        </w:rPr>
        <w:t xml:space="preserve"> </w:t>
      </w:r>
      <w:r>
        <w:rPr>
          <w:rFonts w:cs="Calibri" w:ascii="Titillium" w:hAnsi="Titillium"/>
          <w:sz w:val="18"/>
          <w:szCs w:val="18"/>
        </w:rPr>
        <w:t>al netto di</w:t>
      </w:r>
      <w:r>
        <w:rPr>
          <w:rFonts w:cs="Calibri" w:ascii="Titillium" w:hAnsi="Titillium"/>
          <w:i/>
          <w:sz w:val="18"/>
          <w:szCs w:val="18"/>
        </w:rPr>
        <w:t xml:space="preserve"> </w:t>
      </w:r>
      <w:r>
        <w:rPr>
          <w:rFonts w:cs="Calibri" w:ascii="Titillium" w:hAnsi="Titillium"/>
          <w:sz w:val="18"/>
          <w:szCs w:val="18"/>
        </w:rPr>
        <w:t>Iva;</w:t>
      </w:r>
    </w:p>
    <w:p>
      <w:pPr>
        <w:pStyle w:val="Normal"/>
        <w:spacing w:before="60" w:after="60"/>
        <w:ind w:left="284"/>
        <w:rPr>
          <w:highlight w:val="none"/>
          <w:shd w:fill="FFFFFF" w:val="clear"/>
        </w:rPr>
      </w:pPr>
      <w:r>
        <w:rPr>
          <w:rFonts w:cs="Calibri" w:ascii="Titillium" w:hAnsi="Titillium"/>
          <w:sz w:val="18"/>
          <w:szCs w:val="18"/>
          <w:shd w:fill="FFFFFF" w:val="clear"/>
        </w:rPr>
        <w:t xml:space="preserve">Verranno prese in considerazione fino a </w:t>
      </w:r>
      <w:r>
        <w:rPr>
          <w:rFonts w:cs="Calibri" w:ascii="Titillium" w:hAnsi="Titillium"/>
          <w:i/>
          <w:sz w:val="18"/>
          <w:szCs w:val="18"/>
          <w:shd w:fill="FFFFFF" w:val="clear"/>
        </w:rPr>
        <w:t xml:space="preserve">2 </w:t>
      </w:r>
      <w:r>
        <w:rPr>
          <w:rFonts w:cs="Calibri" w:ascii="Titillium" w:hAnsi="Titillium"/>
          <w:iCs/>
          <w:sz w:val="18"/>
          <w:szCs w:val="18"/>
          <w:shd w:fill="FFFFFF" w:val="clear"/>
        </w:rPr>
        <w:t>cifre decimali</w:t>
      </w:r>
      <w:r>
        <w:rPr>
          <w:rFonts w:cs="Calibri" w:ascii="Titillium" w:hAnsi="Titillium"/>
          <w:sz w:val="18"/>
          <w:szCs w:val="18"/>
          <w:shd w:fill="FFFFFF" w:val="clear"/>
        </w:rPr>
        <w:t>.</w:t>
      </w:r>
    </w:p>
    <w:p>
      <w:pPr>
        <w:pStyle w:val="Normal"/>
        <w:numPr>
          <w:ilvl w:val="2"/>
          <w:numId w:val="2"/>
        </w:numPr>
        <w:spacing w:before="60" w:after="60"/>
        <w:ind w:hanging="284" w:left="284"/>
        <w:rPr>
          <w:highlight w:val="none"/>
          <w:shd w:fill="FFFFFF" w:val="clear"/>
        </w:rPr>
      </w:pPr>
      <w:r>
        <w:rPr>
          <w:rFonts w:cs="Calibri" w:ascii="Titillium" w:hAnsi="Titillium"/>
          <w:sz w:val="18"/>
          <w:szCs w:val="18"/>
          <w:shd w:fill="FFFFFF" w:val="clear"/>
        </w:rPr>
        <w:t xml:space="preserve">gli oneri aziendali relativi alla salute ed alla sicurezza sui luoghi di lavoro; </w:t>
      </w:r>
    </w:p>
    <w:p>
      <w:pPr>
        <w:pStyle w:val="Normal"/>
        <w:numPr>
          <w:ilvl w:val="2"/>
          <w:numId w:val="2"/>
        </w:numPr>
        <w:spacing w:before="60" w:after="60"/>
        <w:ind w:hanging="284" w:left="284"/>
        <w:rPr>
          <w:highlight w:val="none"/>
          <w:shd w:fill="FFFFFF" w:val="clear"/>
        </w:rPr>
      </w:pPr>
      <w:r>
        <w:rPr>
          <w:rFonts w:cs="Calibri" w:ascii="Titillium" w:hAnsi="Titillium"/>
          <w:sz w:val="18"/>
          <w:szCs w:val="18"/>
          <w:shd w:fill="FFFFFF" w:val="clear"/>
        </w:rPr>
        <w:t>i costi della manodopera. Nel caso di costi della manodopera inferiori a quelli stimati dalla stazione appaltante, l’operatore economico può anticipare nell’offerta economica le motivazioni del ribasso derivanti da una più efficiente organizzazione aziendale o da sgravi contributivi che non comportano penalizzazioni per la manodopera, allegando i relativi giustificativi. La mancata anticipazione di motivazioni e/o giustificativi non costituisce causa di esclusione;</w:t>
      </w:r>
    </w:p>
    <w:p>
      <w:pPr>
        <w:pStyle w:val="Normal"/>
        <w:numPr>
          <w:ilvl w:val="2"/>
          <w:numId w:val="2"/>
        </w:numPr>
        <w:spacing w:before="60" w:after="60"/>
        <w:ind w:hanging="284" w:left="284"/>
        <w:rPr>
          <w:rFonts w:ascii="Titillium" w:hAnsi="Titillium"/>
          <w:bCs/>
          <w:iCs/>
          <w:sz w:val="18"/>
          <w:szCs w:val="18"/>
        </w:rPr>
      </w:pPr>
      <w:r>
        <w:rPr>
          <w:rFonts w:cs="Calibri" w:ascii="Titillium" w:hAnsi="Titillium"/>
          <w:sz w:val="18"/>
          <w:szCs w:val="18"/>
        </w:rPr>
        <w:t>la dichiarazione di equivalenza delle tutele di cui all’art.11, comma 4, del Codice. La mancata anticipazione della dichiarazione di equivalenza delle tutele non costituisce causa di esclusione;</w:t>
      </w:r>
    </w:p>
    <w:p>
      <w:pPr>
        <w:pStyle w:val="Normal"/>
        <w:numPr>
          <w:ilvl w:val="2"/>
          <w:numId w:val="2"/>
        </w:numPr>
        <w:spacing w:before="60" w:after="60"/>
        <w:ind w:hanging="284" w:left="284"/>
        <w:rPr>
          <w:rFonts w:ascii="Titillium" w:hAnsi="Titillium"/>
          <w:bCs/>
          <w:iCs/>
          <w:sz w:val="18"/>
          <w:szCs w:val="18"/>
        </w:rPr>
      </w:pPr>
      <w:r>
        <w:rPr>
          <w:rFonts w:cs="Calibri" w:ascii="Titillium" w:hAnsi="Titillium"/>
          <w:bCs/>
          <w:iCs/>
          <w:sz w:val="18"/>
          <w:szCs w:val="18"/>
        </w:rPr>
        <w:t>per consentire una rapida conclusione della procedura di gara, l’OE deve presentare le giustificazioni relative all’offerta ai sensi dell’articolo 110 del Codice degli Appalti. Si procederà alla verifica delle giustificazioni solamente per quanto concerne l’OE aggiudicatario.</w:t>
      </w:r>
    </w:p>
    <w:p>
      <w:pPr>
        <w:pStyle w:val="Normal"/>
        <w:spacing w:before="60" w:after="60"/>
        <w:rPr>
          <w:rFonts w:ascii="Titillium" w:hAnsi="Titillium"/>
          <w:sz w:val="18"/>
          <w:szCs w:val="18"/>
        </w:rPr>
      </w:pPr>
      <w:r>
        <w:rPr>
          <w:rFonts w:ascii="Titillium" w:hAnsi="Titillium"/>
          <w:sz w:val="18"/>
          <w:szCs w:val="18"/>
        </w:rPr>
        <w:t>Sono inammissibili le offerte economiche che superano l’importo a base d’asta.</w:t>
      </w:r>
    </w:p>
    <w:p>
      <w:pPr>
        <w:pStyle w:val="Normal"/>
        <w:tabs>
          <w:tab w:val="clear" w:pos="708"/>
          <w:tab w:val="left" w:pos="928" w:leader="none"/>
          <w:tab w:val="left" w:pos="9639" w:leader="none"/>
        </w:tabs>
        <w:ind w:right="226"/>
        <w:rPr>
          <w:rFonts w:ascii="Titillium" w:hAnsi="Titillium"/>
          <w:i/>
          <w:sz w:val="18"/>
          <w:szCs w:val="18"/>
        </w:rPr>
      </w:pPr>
      <w:r>
        <w:rPr>
          <w:rFonts w:ascii="Titillium" w:hAnsi="Titillium"/>
          <w:i/>
          <w:sz w:val="18"/>
          <w:szCs w:val="18"/>
        </w:rPr>
      </w:r>
    </w:p>
    <w:p>
      <w:pPr>
        <w:pStyle w:val="Heading2"/>
        <w:numPr>
          <w:ilvl w:val="0"/>
          <w:numId w:val="3"/>
        </w:numPr>
        <w:rPr/>
      </w:pPr>
      <w:bookmarkStart w:id="1870" w:name="__RefHeading___Toc11744_2735037374"/>
      <w:bookmarkStart w:id="1871" w:name="_Toc207275756"/>
      <w:bookmarkStart w:id="1872" w:name="_Toc380501879"/>
      <w:bookmarkStart w:id="1873" w:name="_Toc391035992"/>
      <w:bookmarkStart w:id="1874" w:name="_Toc391036065"/>
      <w:bookmarkStart w:id="1875" w:name="_Toc392577506"/>
      <w:bookmarkStart w:id="1876" w:name="_Toc393110573"/>
      <w:bookmarkStart w:id="1877" w:name="_Toc393112137"/>
      <w:bookmarkStart w:id="1878" w:name="_Toc393187854"/>
      <w:bookmarkStart w:id="1879" w:name="_Toc393272610"/>
      <w:bookmarkStart w:id="1880" w:name="_Toc393272668"/>
      <w:bookmarkStart w:id="1881" w:name="_Toc393283184"/>
      <w:bookmarkStart w:id="1882" w:name="_Toc393700843"/>
      <w:bookmarkStart w:id="1883" w:name="_Toc393706916"/>
      <w:bookmarkStart w:id="1884" w:name="_Toc397346831"/>
      <w:bookmarkStart w:id="1885" w:name="_Toc397422872"/>
      <w:bookmarkStart w:id="1886" w:name="_Toc403471279"/>
      <w:bookmarkStart w:id="1887" w:name="_Toc406058387"/>
      <w:bookmarkStart w:id="1888" w:name="_Toc406754188"/>
      <w:bookmarkStart w:id="1889" w:name="_Toc416423371"/>
      <w:bookmarkStart w:id="1890" w:name="_Ref498421982"/>
      <w:bookmarkEnd w:id="1870"/>
      <w:r>
        <w:rPr/>
        <w:t>CRITERIO DI AGGIUDICAZIONE</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Normal"/>
        <w:spacing w:before="60" w:after="60"/>
        <w:rPr>
          <w:highlight w:val="none"/>
          <w:shd w:fill="FFFFFF" w:val="clear"/>
        </w:rPr>
      </w:pPr>
      <w:r>
        <w:rPr>
          <w:rFonts w:cs="Calibri" w:ascii="Titillium" w:hAnsi="Titillium"/>
          <w:sz w:val="18"/>
          <w:szCs w:val="18"/>
          <w:shd w:fill="FFFFFF" w:val="clear"/>
          <w:lang w:eastAsia="it-IT"/>
        </w:rPr>
        <w:t>L’appalto è aggiudicato in base al criterio dell’offerta economicamente più vantaggiosa individuata sulla base del miglior rapporto qualità/prezzo.</w:t>
      </w:r>
    </w:p>
    <w:p>
      <w:pPr>
        <w:pStyle w:val="Normal"/>
        <w:spacing w:before="60" w:after="60"/>
        <w:rPr>
          <w:highlight w:val="none"/>
          <w:shd w:fill="FFFFFF" w:val="clear"/>
        </w:rPr>
      </w:pPr>
      <w:r>
        <w:rPr>
          <w:rFonts w:cs="Calibri" w:ascii="Titillium" w:hAnsi="Titillium"/>
          <w:sz w:val="18"/>
          <w:szCs w:val="18"/>
          <w:shd w:fill="FFFFFF" w:val="clear"/>
          <w:lang w:eastAsia="it-IT"/>
        </w:rPr>
        <w:t>La valutazione dell’offerta tecnica e dell’offerta economica è effettuata in base ai seguenti punteggi:</w:t>
      </w:r>
    </w:p>
    <w:tbl>
      <w:tblPr>
        <w:tblW w:w="5000" w:type="pct"/>
        <w:jc w:val="left"/>
        <w:tblInd w:w="113" w:type="dxa"/>
        <w:tblLayout w:type="fixed"/>
        <w:tblCellMar>
          <w:top w:w="0" w:type="dxa"/>
          <w:left w:w="108" w:type="dxa"/>
          <w:bottom w:w="0" w:type="dxa"/>
          <w:right w:w="108" w:type="dxa"/>
        </w:tblCellMar>
        <w:tblLook w:val="04a0" w:firstRow="1" w:noVBand="1" w:lastRow="0" w:firstColumn="1" w:lastColumn="0" w:noHBand="0"/>
      </w:tblPr>
      <w:tblGrid>
        <w:gridCol w:w="4611"/>
        <w:gridCol w:w="4613"/>
      </w:tblGrid>
      <w:tr>
        <w:trPr/>
        <w:tc>
          <w:tcPr>
            <w:tcW w:w="46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rPr>
                <w:rFonts w:ascii="Titillium" w:hAnsi="Titillium" w:cs="Calibri"/>
                <w:i/>
                <w:sz w:val="18"/>
                <w:szCs w:val="18"/>
                <w:highlight w:val="none"/>
                <w:shd w:fill="FFFFFF" w:val="clear"/>
                <w:lang w:eastAsia="it-IT"/>
              </w:rPr>
            </w:pPr>
            <w:r>
              <w:rPr>
                <w:rFonts w:cs="Calibri" w:ascii="Titillium" w:hAnsi="Titillium"/>
                <w:i/>
                <w:sz w:val="18"/>
                <w:szCs w:val="18"/>
                <w:shd w:fill="FFFFFF" w:val="clear"/>
                <w:lang w:eastAsia="it-IT"/>
              </w:rPr>
            </w:r>
          </w:p>
        </w:tc>
        <w:tc>
          <w:tcPr>
            <w:tcW w:w="4613"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highlight w:val="none"/>
                <w:shd w:fill="FFFFFF" w:val="clear"/>
              </w:rPr>
            </w:pPr>
            <w:r>
              <w:rPr>
                <w:rFonts w:cs="Calibri" w:ascii="Titillium" w:hAnsi="Titillium"/>
                <w:b/>
                <w:sz w:val="18"/>
                <w:szCs w:val="18"/>
                <w:shd w:fill="FFFFFF" w:val="clear"/>
                <w:lang w:eastAsia="it-IT"/>
              </w:rPr>
              <w:t>PUNTEGGIO MASSIMO</w:t>
            </w:r>
          </w:p>
        </w:tc>
      </w:tr>
      <w:tr>
        <w:trPr/>
        <w:tc>
          <w:tcPr>
            <w:tcW w:w="461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highlight w:val="none"/>
                <w:shd w:fill="FFFFFF" w:val="clear"/>
              </w:rPr>
            </w:pPr>
            <w:r>
              <w:rPr>
                <w:rFonts w:ascii="Titillium" w:hAnsi="Titillium"/>
                <w:sz w:val="18"/>
                <w:szCs w:val="18"/>
                <w:shd w:fill="FFFFFF" w:val="clear"/>
                <w:lang w:eastAsia="it-IT"/>
              </w:rPr>
              <w:t>Offerta tecnica</w:t>
            </w:r>
          </w:p>
        </w:tc>
        <w:tc>
          <w:tcPr>
            <w:tcW w:w="4613"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highlight w:val="none"/>
                <w:shd w:fill="FFFFFF" w:val="clear"/>
              </w:rPr>
            </w:pPr>
            <w:r>
              <w:rPr>
                <w:rFonts w:ascii="Titillium" w:hAnsi="Titillium"/>
                <w:i/>
                <w:sz w:val="18"/>
                <w:szCs w:val="18"/>
                <w:shd w:fill="FFFFFF" w:val="clear"/>
                <w:lang w:eastAsia="it-IT"/>
              </w:rPr>
              <w:t>70</w:t>
            </w:r>
          </w:p>
        </w:tc>
      </w:tr>
      <w:tr>
        <w:trPr/>
        <w:tc>
          <w:tcPr>
            <w:tcW w:w="461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highlight w:val="none"/>
                <w:shd w:fill="FFFFFF" w:val="clear"/>
              </w:rPr>
            </w:pPr>
            <w:r>
              <w:rPr>
                <w:rFonts w:ascii="Titillium" w:hAnsi="Titillium"/>
                <w:sz w:val="18"/>
                <w:szCs w:val="18"/>
                <w:shd w:fill="FFFFFF" w:val="clear"/>
                <w:lang w:eastAsia="it-IT"/>
              </w:rPr>
              <w:t>Offerta economica</w:t>
            </w:r>
          </w:p>
        </w:tc>
        <w:tc>
          <w:tcPr>
            <w:tcW w:w="4613"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highlight w:val="none"/>
                <w:shd w:fill="FFFFFF" w:val="clear"/>
              </w:rPr>
            </w:pPr>
            <w:r>
              <w:rPr>
                <w:rFonts w:ascii="Titillium" w:hAnsi="Titillium"/>
                <w:i/>
                <w:sz w:val="18"/>
                <w:szCs w:val="18"/>
                <w:shd w:fill="FFFFFF" w:val="clear"/>
                <w:lang w:eastAsia="it-IT"/>
              </w:rPr>
              <w:t>30</w:t>
            </w:r>
          </w:p>
        </w:tc>
      </w:tr>
      <w:tr>
        <w:trPr/>
        <w:tc>
          <w:tcPr>
            <w:tcW w:w="46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highlight w:val="none"/>
                <w:shd w:fill="FFFFFF" w:val="clear"/>
              </w:rPr>
            </w:pPr>
            <w:r>
              <w:rPr>
                <w:rFonts w:cs="Calibri" w:ascii="Titillium" w:hAnsi="Titillium"/>
                <w:sz w:val="18"/>
                <w:szCs w:val="18"/>
                <w:shd w:fill="FFFFFF" w:val="clear"/>
                <w:lang w:eastAsia="it-IT"/>
              </w:rPr>
              <w:t>TOTALE</w:t>
            </w:r>
          </w:p>
        </w:tc>
        <w:tc>
          <w:tcPr>
            <w:tcW w:w="4613"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highlight w:val="none"/>
                <w:shd w:fill="FFFFFF" w:val="clear"/>
              </w:rPr>
            </w:pPr>
            <w:r>
              <w:rPr>
                <w:rFonts w:cs="Calibri" w:ascii="Titillium" w:hAnsi="Titillium"/>
                <w:sz w:val="18"/>
                <w:szCs w:val="18"/>
                <w:shd w:fill="FFFFFF" w:val="clear"/>
                <w:lang w:eastAsia="it-IT"/>
              </w:rPr>
              <w:t>100</w:t>
            </w:r>
          </w:p>
        </w:tc>
      </w:tr>
      <w:tr>
        <w:trPr/>
        <w:tc>
          <w:tcPr>
            <w:tcW w:w="4611"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rFonts w:ascii="Titillium" w:hAnsi="Titillium" w:cs="Calibri"/>
                <w:sz w:val="18"/>
                <w:szCs w:val="18"/>
                <w:highlight w:val="none"/>
                <w:shd w:fill="FFFFFF" w:val="clear"/>
                <w:lang w:eastAsia="it-IT"/>
              </w:rPr>
            </w:pPr>
            <w:r>
              <w:rPr>
                <w:rFonts w:cs="Calibri" w:ascii="Titillium" w:hAnsi="Titillium"/>
                <w:sz w:val="18"/>
                <w:szCs w:val="18"/>
                <w:shd w:fill="FFFFFF" w:val="clear"/>
                <w:lang w:eastAsia="it-IT"/>
              </w:rPr>
            </w:r>
          </w:p>
        </w:tc>
        <w:tc>
          <w:tcPr>
            <w:tcW w:w="4613"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before="60" w:after="60"/>
              <w:jc w:val="center"/>
              <w:rPr>
                <w:rFonts w:ascii="Titillium" w:hAnsi="Titillium" w:cs="Calibri"/>
                <w:sz w:val="18"/>
                <w:szCs w:val="18"/>
                <w:highlight w:val="none"/>
                <w:shd w:fill="FFFFFF" w:val="clear"/>
                <w:lang w:eastAsia="it-IT"/>
              </w:rPr>
            </w:pPr>
            <w:r>
              <w:rPr>
                <w:rFonts w:cs="Calibri" w:ascii="Titillium" w:hAnsi="Titillium"/>
                <w:sz w:val="18"/>
                <w:szCs w:val="18"/>
                <w:shd w:fill="FFFFFF" w:val="clear"/>
                <w:lang w:eastAsia="it-IT"/>
              </w:rPr>
            </w:r>
          </w:p>
        </w:tc>
      </w:tr>
    </w:tbl>
    <w:p>
      <w:pPr>
        <w:pStyle w:val="Normal"/>
        <w:pBdr>
          <w:top w:val="single" w:sz="4" w:space="1" w:color="000000"/>
          <w:left w:val="single" w:sz="4" w:space="4" w:color="000000"/>
          <w:bottom w:val="single" w:sz="4" w:space="1" w:color="000000"/>
          <w:right w:val="single" w:sz="4" w:space="4" w:color="000000"/>
        </w:pBdr>
        <w:spacing w:before="60" w:after="60"/>
        <w:rPr>
          <w:highlight w:val="none"/>
          <w:shd w:fill="FFFFFF" w:val="clear"/>
        </w:rPr>
      </w:pPr>
      <w:r>
        <w:rPr>
          <w:shd w:fill="FFFFFF" w:val="clear"/>
        </w:rPr>
      </w:r>
    </w:p>
    <w:p>
      <w:pPr>
        <w:pStyle w:val="Heading3"/>
        <w:numPr>
          <w:ilvl w:val="1"/>
          <w:numId w:val="3"/>
        </w:numPr>
        <w:ind w:hanging="426" w:left="426"/>
        <w:rPr>
          <w:highlight w:val="none"/>
          <w:shd w:fill="FFFFFF" w:val="clear"/>
        </w:rPr>
      </w:pPr>
      <w:bookmarkStart w:id="1891" w:name="__RefHeading___Toc11746_2735037374"/>
      <w:bookmarkEnd w:id="1891"/>
      <w:r>
        <w:rPr>
          <w:rFonts w:ascii="Titillium" w:hAnsi="Titillium"/>
          <w:iCs/>
          <w:sz w:val="18"/>
          <w:szCs w:val="18"/>
          <w:shd w:fill="FFFFFF" w:val="clear"/>
        </w:rPr>
        <w:t>CRITERI DI VALUTAZIONE DELL’OFFERTA TECNICA</w:t>
      </w:r>
    </w:p>
    <w:p>
      <w:pPr>
        <w:pStyle w:val="Normal"/>
        <w:spacing w:before="60" w:after="60"/>
        <w:rPr>
          <w:highlight w:val="none"/>
          <w:shd w:fill="FFFFFF" w:val="clear"/>
        </w:rPr>
      </w:pPr>
      <w:r>
        <w:rPr>
          <w:rFonts w:cs="Calibri" w:ascii="Titillium" w:hAnsi="Titillium"/>
          <w:sz w:val="18"/>
          <w:szCs w:val="18"/>
          <w:shd w:fill="FFFFFF" w:val="clear"/>
          <w:lang w:eastAsia="it-IT"/>
        </w:rPr>
        <w:t>Il punteggio dell’offerta tecnica è attribuito sulla base dei criteri di valutazione elencati nella sottostante tabella</w:t>
      </w:r>
      <w:r>
        <w:rPr>
          <w:rFonts w:ascii="Titillium" w:hAnsi="Titillium"/>
          <w:sz w:val="18"/>
          <w:szCs w:val="18"/>
          <w:shd w:fill="FFFFFF" w:val="clear"/>
        </w:rPr>
        <w:t xml:space="preserve"> con</w:t>
      </w:r>
      <w:r>
        <w:rPr>
          <w:rFonts w:cs="Calibri" w:ascii="Titillium" w:hAnsi="Titillium"/>
          <w:sz w:val="18"/>
          <w:szCs w:val="18"/>
          <w:shd w:fill="FFFFFF" w:val="clear"/>
          <w:lang w:eastAsia="it-IT"/>
        </w:rPr>
        <w:t xml:space="preserve"> la relativa ripartizione dei punteggi.</w:t>
      </w:r>
    </w:p>
    <w:p>
      <w:pPr>
        <w:pStyle w:val="Normal"/>
        <w:spacing w:before="60" w:after="60"/>
        <w:rPr>
          <w:highlight w:val="none"/>
          <w:shd w:fill="FFFFFF" w:val="clear"/>
        </w:rPr>
      </w:pPr>
      <w:r>
        <w:rPr>
          <w:rFonts w:cs="Calibri" w:ascii="Titillium" w:hAnsi="Titillium"/>
          <w:sz w:val="18"/>
          <w:szCs w:val="18"/>
          <w:shd w:fill="FFFFFF" w:val="clear"/>
          <w:lang w:eastAsia="it-IT"/>
        </w:rPr>
        <w:t>Nella colonna identificata con la lettera D vengono indicati i “Punteggi discrezionali”, vale a dire i punteggi il cui coefficiente è attribuito in ragione dell’esercizio della discrezionalità spettante alla commissione giudicatrice.</w:t>
      </w:r>
    </w:p>
    <w:p>
      <w:pPr>
        <w:pStyle w:val="Normal"/>
        <w:spacing w:before="60" w:after="60"/>
        <w:rPr>
          <w:highlight w:val="none"/>
          <w:shd w:fill="FFFFFF" w:val="clear"/>
        </w:rPr>
      </w:pPr>
      <w:r>
        <w:rPr>
          <w:rFonts w:cs="Calibri" w:ascii="Titillium" w:hAnsi="Titillium"/>
          <w:sz w:val="18"/>
          <w:szCs w:val="18"/>
          <w:shd w:fill="FFFFFF" w:val="clear"/>
          <w:lang w:eastAsia="it-IT"/>
        </w:rPr>
        <w:t xml:space="preserve">Nella colonna identificata dalla lettera T vengono indicati i “Punteggi tabellari”, vale a dire i punteggi fissi e predefiniti che saranno attribuiti o non attribuiti in ragione dell’offerta o mancata offerta di quanto specificamente richiesto. </w:t>
      </w:r>
    </w:p>
    <w:p>
      <w:pPr>
        <w:pStyle w:val="Normal"/>
        <w:spacing w:before="120" w:after="60"/>
        <w:rPr>
          <w:highlight w:val="none"/>
          <w:shd w:fill="FFFFFF" w:val="clear"/>
        </w:rPr>
      </w:pPr>
      <w:r>
        <w:rPr>
          <w:rFonts w:ascii="Titillium" w:hAnsi="Titillium"/>
          <w:b/>
          <w:i/>
          <w:sz w:val="18"/>
          <w:szCs w:val="18"/>
          <w:shd w:fill="FFFFFF" w:val="clear"/>
          <w:lang w:eastAsia="it-IT"/>
        </w:rPr>
        <w:t>Tabella dei criteri discrezionali (D), quantitativi (Q) e tabellari (T) di valutazione dell’offerta tecnica</w:t>
      </w:r>
    </w:p>
    <w:tbl>
      <w:tblPr>
        <w:tblW w:w="5000" w:type="pct"/>
        <w:jc w:val="left"/>
        <w:tblInd w:w="5" w:type="dxa"/>
        <w:tblLayout w:type="fixed"/>
        <w:tblCellMar>
          <w:top w:w="0" w:type="dxa"/>
          <w:left w:w="108" w:type="dxa"/>
          <w:bottom w:w="0" w:type="dxa"/>
          <w:right w:w="108" w:type="dxa"/>
        </w:tblCellMar>
        <w:tblLook w:val="04a0" w:firstRow="1" w:noVBand="1" w:lastRow="0" w:firstColumn="1" w:lastColumn="0" w:noHBand="0"/>
      </w:tblPr>
      <w:tblGrid>
        <w:gridCol w:w="438"/>
        <w:gridCol w:w="1747"/>
        <w:gridCol w:w="915"/>
        <w:gridCol w:w="452"/>
        <w:gridCol w:w="488"/>
        <w:gridCol w:w="2045"/>
        <w:gridCol w:w="1053"/>
        <w:gridCol w:w="1051"/>
        <w:gridCol w:w="1035"/>
      </w:tblGrid>
      <w:tr>
        <w:trPr/>
        <w:tc>
          <w:tcPr>
            <w:tcW w:w="43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n°</w:t>
            </w:r>
          </w:p>
        </w:tc>
        <w:tc>
          <w:tcPr>
            <w:tcW w:w="174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cs="Calibri" w:ascii="Titillium" w:hAnsi="Titillium"/>
                <w:bCs/>
                <w:smallCaps/>
                <w:sz w:val="18"/>
                <w:szCs w:val="18"/>
                <w:shd w:fill="FFFFFF" w:val="clear"/>
                <w:lang w:eastAsia="it-IT"/>
              </w:rPr>
              <w:t>criteri di valutazione</w:t>
            </w:r>
          </w:p>
        </w:tc>
        <w:tc>
          <w:tcPr>
            <w:tcW w:w="91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punti max</w:t>
            </w:r>
          </w:p>
        </w:tc>
        <w:tc>
          <w:tcPr>
            <w:tcW w:w="4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spacing w:lineRule="auto" w:line="240" w:before="60" w:after="60"/>
              <w:jc w:val="center"/>
              <w:rPr>
                <w:rFonts w:ascii="Titillium" w:hAnsi="Titillium"/>
                <w:sz w:val="18"/>
                <w:szCs w:val="18"/>
                <w:highlight w:val="none"/>
                <w:shd w:fill="FFFFFF" w:val="clear"/>
                <w:lang w:eastAsia="it-IT"/>
              </w:rPr>
            </w:pPr>
            <w:r>
              <w:rPr>
                <w:rFonts w:ascii="Titillium" w:hAnsi="Titillium"/>
                <w:sz w:val="18"/>
                <w:szCs w:val="18"/>
                <w:shd w:fill="FFFFFF" w:val="clear"/>
                <w:lang w:eastAsia="it-IT"/>
              </w:rPr>
            </w:r>
          </w:p>
        </w:tc>
        <w:tc>
          <w:tcPr>
            <w:tcW w:w="48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rFonts w:ascii="Titillium" w:hAnsi="Titillium"/>
                <w:sz w:val="18"/>
                <w:szCs w:val="18"/>
                <w:highlight w:val="none"/>
                <w:shd w:fill="FFFFFF" w:val="clear"/>
                <w:lang w:eastAsia="it-IT"/>
              </w:rPr>
            </w:pPr>
            <w:r>
              <w:rPr>
                <w:rFonts w:ascii="Titillium" w:hAnsi="Titillium"/>
                <w:sz w:val="18"/>
                <w:szCs w:val="18"/>
                <w:shd w:fill="FFFFFF" w:val="clear"/>
                <w:lang w:eastAsia="it-IT"/>
              </w:rPr>
            </w:r>
          </w:p>
        </w:tc>
        <w:tc>
          <w:tcPr>
            <w:tcW w:w="204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sub-criteri di valutazione</w:t>
            </w:r>
          </w:p>
        </w:tc>
        <w:tc>
          <w:tcPr>
            <w:tcW w:w="105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punti D max</w:t>
            </w:r>
          </w:p>
        </w:tc>
        <w:tc>
          <w:tcPr>
            <w:tcW w:w="105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punti Q max</w:t>
            </w:r>
          </w:p>
        </w:tc>
        <w:tc>
          <w:tcPr>
            <w:tcW w:w="103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mallCaps/>
                <w:color w:val="000000"/>
                <w:sz w:val="18"/>
                <w:szCs w:val="18"/>
                <w:shd w:fill="FFFFFF" w:val="clear"/>
              </w:rPr>
              <w:t>punti T max</w:t>
            </w:r>
          </w:p>
        </w:tc>
      </w:tr>
      <w:tr>
        <w:trPr/>
        <w:tc>
          <w:tcPr>
            <w:tcW w:w="4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1</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MT" w:hAnsi="ArialMT"/>
                <w:sz w:val="20"/>
              </w:rPr>
            </w:pPr>
            <w:r>
              <w:rPr>
                <w:rFonts w:ascii="ArialMT" w:hAnsi="ArialMT"/>
                <w:sz w:val="20"/>
              </w:rPr>
              <w:t>Esperienza</w:t>
            </w:r>
          </w:p>
          <w:p>
            <w:pPr>
              <w:pStyle w:val="Normal"/>
              <w:jc w:val="left"/>
              <w:rPr>
                <w:rFonts w:ascii="ArialMT" w:hAnsi="ArialMT"/>
                <w:sz w:val="20"/>
              </w:rPr>
            </w:pPr>
            <w:r>
              <w:rPr>
                <w:rFonts w:ascii="ArialMT" w:hAnsi="ArialMT"/>
                <w:sz w:val="20"/>
              </w:rPr>
              <w:t>dell'operatore</w:t>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25</w:t>
            </w:r>
          </w:p>
        </w:tc>
        <w:tc>
          <w:tcPr>
            <w:tcW w:w="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c>
          <w:tcPr>
            <w:tcW w:w="48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1.1</w:t>
            </w:r>
          </w:p>
        </w:tc>
        <w:tc>
          <w:tcPr>
            <w:tcW w:w="2045"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MT" w:hAnsi="ArialMT"/>
                <w:sz w:val="20"/>
              </w:rPr>
            </w:pPr>
            <w:r>
              <w:rPr>
                <w:rFonts w:ascii="ArialMT" w:hAnsi="ArialMT"/>
                <w:sz w:val="20"/>
              </w:rPr>
              <w:t>Anni di attività nel settore del supporto al monitoraggio marino/lacustre, conoscenza delle</w:t>
            </w:r>
          </w:p>
          <w:p>
            <w:pPr>
              <w:pStyle w:val="Normal"/>
              <w:jc w:val="left"/>
              <w:rPr>
                <w:rFonts w:ascii="ArialMT" w:hAnsi="ArialMT"/>
                <w:sz w:val="20"/>
              </w:rPr>
            </w:pPr>
            <w:r>
              <w:rPr>
                <w:rFonts w:ascii="ArialMT" w:hAnsi="ArialMT"/>
                <w:sz w:val="20"/>
              </w:rPr>
              <w:t>correnti e dei fondali locali</w:t>
            </w:r>
          </w:p>
        </w:tc>
        <w:tc>
          <w:tcPr>
            <w:tcW w:w="105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D</w:t>
            </w:r>
          </w:p>
        </w:tc>
        <w:tc>
          <w:tcPr>
            <w:tcW w:w="10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r>
      <w:tr>
        <w:trPr/>
        <w:tc>
          <w:tcPr>
            <w:tcW w:w="4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shd w:fill="FFFFFF" w:val="clear"/>
              </w:rPr>
              <w:t>2</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MT" w:hAnsi="ArialMT"/>
                <w:sz w:val="20"/>
              </w:rPr>
            </w:pPr>
            <w:r>
              <w:rPr>
                <w:rFonts w:ascii="ArialMT" w:hAnsi="ArialMT"/>
                <w:sz w:val="20"/>
              </w:rPr>
              <w:t>Reperibilità e</w:t>
            </w:r>
          </w:p>
          <w:p>
            <w:pPr>
              <w:pStyle w:val="Normal"/>
              <w:jc w:val="left"/>
              <w:rPr>
                <w:rFonts w:ascii="ArialMT" w:hAnsi="ArialMT"/>
                <w:sz w:val="20"/>
              </w:rPr>
            </w:pPr>
            <w:r>
              <w:rPr>
                <w:rFonts w:ascii="ArialMT" w:hAnsi="ArialMT"/>
                <w:sz w:val="20"/>
              </w:rPr>
              <w:t>t e m p i d i</w:t>
            </w:r>
          </w:p>
          <w:p>
            <w:pPr>
              <w:pStyle w:val="Normal"/>
              <w:jc w:val="left"/>
              <w:rPr>
                <w:rFonts w:ascii="ArialMT" w:hAnsi="ArialMT"/>
                <w:sz w:val="20"/>
              </w:rPr>
            </w:pPr>
            <w:r>
              <w:rPr>
                <w:rFonts w:ascii="ArialMT" w:hAnsi="ArialMT"/>
                <w:sz w:val="20"/>
              </w:rPr>
              <w:t>intervento</w:t>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bCs/>
                <w:sz w:val="18"/>
                <w:szCs w:val="18"/>
                <w:highlight w:val="none"/>
                <w:shd w:fill="FFFFFF" w:val="clear"/>
              </w:rPr>
            </w:pPr>
            <w:r>
              <w:rPr>
                <w:rFonts w:ascii="Titillium" w:hAnsi="Titillium"/>
                <w:bCs/>
                <w:sz w:val="18"/>
                <w:szCs w:val="18"/>
                <w:shd w:fill="FFFFFF" w:val="clear"/>
              </w:rPr>
              <w:t>24</w:t>
            </w:r>
          </w:p>
        </w:tc>
        <w:tc>
          <w:tcPr>
            <w:tcW w:w="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c>
          <w:tcPr>
            <w:tcW w:w="48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2.1</w:t>
            </w:r>
          </w:p>
        </w:tc>
        <w:tc>
          <w:tcPr>
            <w:tcW w:w="2045"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MT" w:hAnsi="ArialMT"/>
                <w:sz w:val="20"/>
              </w:rPr>
            </w:pPr>
            <w:r>
              <w:rPr>
                <w:rFonts w:ascii="ArialMT" w:hAnsi="ArialMT"/>
                <w:sz w:val="20"/>
              </w:rPr>
              <w:t>Tempestività nel raggiungere i punti di prelievo (es.</w:t>
            </w:r>
          </w:p>
          <w:p>
            <w:pPr>
              <w:pStyle w:val="Normal"/>
              <w:jc w:val="left"/>
              <w:rPr>
                <w:rFonts w:ascii="ArialMT" w:hAnsi="ArialMT"/>
                <w:sz w:val="20"/>
              </w:rPr>
            </w:pPr>
            <w:r>
              <w:rPr>
                <w:rFonts w:ascii="ArialMT" w:hAnsi="ArialMT"/>
                <w:sz w:val="20"/>
              </w:rPr>
              <w:t>in caso di fioriture algali o sversamenti) e flessibilità nella calendarizzazione delle uscite</w:t>
            </w:r>
          </w:p>
        </w:tc>
        <w:tc>
          <w:tcPr>
            <w:tcW w:w="105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D</w:t>
            </w:r>
          </w:p>
        </w:tc>
        <w:tc>
          <w:tcPr>
            <w:tcW w:w="10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r>
      <w:tr>
        <w:trPr/>
        <w:tc>
          <w:tcPr>
            <w:tcW w:w="438" w:type="dxa"/>
            <w:vMerge w:val="restart"/>
            <w:tcBorders>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3</w:t>
            </w:r>
          </w:p>
        </w:tc>
        <w:tc>
          <w:tcPr>
            <w:tcW w:w="1747" w:type="dxa"/>
            <w:vMerge w:val="restart"/>
            <w:tcBorders>
              <w:left w:val="single" w:sz="4" w:space="0" w:color="000000"/>
              <w:bottom w:val="single" w:sz="4" w:space="0" w:color="000000"/>
              <w:right w:val="single" w:sz="4" w:space="0" w:color="000000"/>
            </w:tcBorders>
            <w:vAlign w:val="center"/>
          </w:tcPr>
          <w:p>
            <w:pPr>
              <w:pStyle w:val="Normal"/>
              <w:jc w:val="left"/>
              <w:rPr>
                <w:rFonts w:ascii="ArialMT" w:hAnsi="ArialMT"/>
                <w:sz w:val="20"/>
              </w:rPr>
            </w:pPr>
            <w:r>
              <w:rPr>
                <w:rFonts w:ascii="ArialMT" w:hAnsi="ArialMT"/>
                <w:sz w:val="20"/>
              </w:rPr>
              <w:t>In caso di messa</w:t>
            </w:r>
          </w:p>
          <w:p>
            <w:pPr>
              <w:pStyle w:val="Normal"/>
              <w:jc w:val="left"/>
              <w:rPr>
                <w:rFonts w:ascii="ArialMT" w:hAnsi="ArialMT"/>
                <w:sz w:val="20"/>
              </w:rPr>
            </w:pPr>
            <w:r>
              <w:rPr>
                <w:rFonts w:ascii="ArialMT" w:hAnsi="ArialMT"/>
                <w:sz w:val="20"/>
              </w:rPr>
              <w:t>a disposizione:</w:t>
            </w:r>
          </w:p>
          <w:p>
            <w:pPr>
              <w:pStyle w:val="Normal"/>
              <w:jc w:val="left"/>
              <w:rPr>
                <w:rFonts w:ascii="ArialMT" w:hAnsi="ArialMT"/>
                <w:sz w:val="20"/>
              </w:rPr>
            </w:pPr>
            <w:r>
              <w:rPr>
                <w:rFonts w:ascii="ArialMT" w:hAnsi="ArialMT"/>
                <w:sz w:val="20"/>
              </w:rPr>
              <w:t>caratteristiche</w:t>
            </w:r>
          </w:p>
          <w:p>
            <w:pPr>
              <w:pStyle w:val="Normal"/>
              <w:jc w:val="left"/>
              <w:rPr/>
            </w:pPr>
            <w:r>
              <w:rPr>
                <w:rFonts w:ascii="ArialMT" w:hAnsi="ArialMT"/>
                <w:sz w:val="20"/>
              </w:rPr>
              <w:t>dell'imbarcazione e requisiti di</w:t>
            </w:r>
          </w:p>
          <w:p>
            <w:pPr>
              <w:pStyle w:val="Normal"/>
              <w:jc w:val="left"/>
              <w:rPr>
                <w:rFonts w:ascii="ArialMT" w:hAnsi="ArialMT"/>
                <w:sz w:val="20"/>
              </w:rPr>
            </w:pPr>
            <w:r>
              <w:rPr>
                <w:rFonts w:ascii="ArialMT" w:hAnsi="ArialMT"/>
                <w:sz w:val="20"/>
              </w:rPr>
              <w:t>sicurezza ed</w:t>
            </w:r>
          </w:p>
          <w:p>
            <w:pPr>
              <w:pStyle w:val="Normal"/>
              <w:jc w:val="left"/>
              <w:rPr>
                <w:rFonts w:ascii="ArialMT" w:hAnsi="ArialMT"/>
                <w:sz w:val="20"/>
              </w:rPr>
            </w:pPr>
            <w:r>
              <w:rPr>
                <w:rFonts w:ascii="ArialMT" w:hAnsi="ArialMT"/>
                <w:sz w:val="20"/>
              </w:rPr>
              <w:t>ecologici</w:t>
            </w:r>
          </w:p>
        </w:tc>
        <w:tc>
          <w:tcPr>
            <w:tcW w:w="915" w:type="dxa"/>
            <w:vMerge w:val="restart"/>
            <w:tcBorders>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20</w:t>
            </w:r>
          </w:p>
        </w:tc>
        <w:tc>
          <w:tcPr>
            <w:tcW w:w="452" w:type="dxa"/>
            <w:tcBorders>
              <w:left w:val="single" w:sz="4" w:space="0" w:color="000000"/>
              <w:bottom w:val="single" w:sz="4" w:space="0" w:color="000000"/>
              <w:right w:val="single" w:sz="4" w:space="0" w:color="000000"/>
            </w:tcBorders>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10</w:t>
            </w:r>
          </w:p>
        </w:tc>
        <w:tc>
          <w:tcPr>
            <w:tcW w:w="488" w:type="dxa"/>
            <w:tcBorders>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3.1</w:t>
            </w:r>
          </w:p>
        </w:tc>
        <w:tc>
          <w:tcPr>
            <w:tcW w:w="2045" w:type="dxa"/>
            <w:tcBorders>
              <w:left w:val="single" w:sz="4" w:space="0" w:color="000000"/>
              <w:bottom w:val="single" w:sz="4" w:space="0" w:color="000000"/>
              <w:right w:val="single" w:sz="4" w:space="0" w:color="000000"/>
            </w:tcBorders>
            <w:vAlign w:val="center"/>
          </w:tcPr>
          <w:p>
            <w:pPr>
              <w:pStyle w:val="Normal"/>
              <w:jc w:val="left"/>
              <w:rPr>
                <w:rFonts w:ascii="ArialMT" w:hAnsi="ArialMT"/>
                <w:sz w:val="20"/>
                <w:highlight w:val="none"/>
                <w:shd w:fill="FFFFFF" w:val="clear"/>
              </w:rPr>
            </w:pPr>
            <w:r>
              <w:rPr>
                <w:rFonts w:ascii="ArialMT" w:hAnsi="ArialMT"/>
                <w:sz w:val="20"/>
                <w:shd w:fill="FFFFFF" w:val="clear"/>
              </w:rPr>
              <w:t>Idoneità a navigare in ambienti specifici (es. lagune,</w:t>
            </w:r>
          </w:p>
          <w:p>
            <w:pPr>
              <w:pStyle w:val="Normal"/>
              <w:jc w:val="left"/>
              <w:rPr>
                <w:rFonts w:ascii="ArialMT" w:hAnsi="ArialMT"/>
                <w:sz w:val="20"/>
                <w:highlight w:val="none"/>
                <w:shd w:fill="FFFFFF" w:val="clear"/>
              </w:rPr>
            </w:pPr>
            <w:r>
              <w:rPr>
                <w:rFonts w:ascii="ArialMT" w:hAnsi="ArialMT"/>
                <w:sz w:val="20"/>
                <w:shd w:fill="FFFFFF" w:val="clear"/>
              </w:rPr>
              <w:t>foci, mare aperto), pescaggio ridotto, presenza di</w:t>
            </w:r>
          </w:p>
          <w:p>
            <w:pPr>
              <w:pStyle w:val="Normal"/>
              <w:jc w:val="left"/>
              <w:rPr>
                <w:rFonts w:ascii="ArialMT" w:hAnsi="ArialMT"/>
                <w:sz w:val="20"/>
                <w:highlight w:val="none"/>
                <w:shd w:fill="FFFFFF" w:val="clear"/>
              </w:rPr>
            </w:pPr>
            <w:r>
              <w:rPr>
                <w:rFonts w:ascii="ArialMT" w:hAnsi="ArialMT"/>
                <w:sz w:val="20"/>
                <w:shd w:fill="FFFFFF" w:val="clear"/>
              </w:rPr>
              <w:t>tettoie o zone coperte per proteggere i campioni e</w:t>
            </w:r>
          </w:p>
          <w:p>
            <w:pPr>
              <w:pStyle w:val="Normal"/>
              <w:jc w:val="left"/>
              <w:rPr>
                <w:rFonts w:ascii="ArialMT" w:hAnsi="ArialMT"/>
                <w:sz w:val="20"/>
                <w:highlight w:val="none"/>
                <w:shd w:fill="FFFFFF" w:val="clear"/>
              </w:rPr>
            </w:pPr>
            <w:r>
              <w:rPr>
                <w:rFonts w:ascii="ArialMT" w:hAnsi="ArialMT"/>
                <w:sz w:val="20"/>
                <w:shd w:fill="FFFFFF" w:val="clear"/>
              </w:rPr>
              <w:t>gli operatori dagli agenti atmosferici</w:t>
            </w:r>
          </w:p>
        </w:tc>
        <w:tc>
          <w:tcPr>
            <w:tcW w:w="1053" w:type="dxa"/>
            <w:tcBorders>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D</w:t>
            </w:r>
          </w:p>
        </w:tc>
        <w:tc>
          <w:tcPr>
            <w:tcW w:w="1051" w:type="dxa"/>
            <w:tcBorders>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035" w:type="dxa"/>
            <w:tcBorders>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r>
      <w:tr>
        <w:trPr/>
        <w:tc>
          <w:tcPr>
            <w:tcW w:w="4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highlight w:val="none"/>
                <w:shd w:fill="FFFFFF" w:val="clear"/>
              </w:rPr>
            </w:pPr>
            <w:r>
              <w:rPr>
                <w:shd w:fill="FFFFFF" w:val="clear"/>
              </w:rPr>
            </w:r>
          </w:p>
        </w:tc>
        <w:tc>
          <w:tcPr>
            <w:tcW w:w="17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highlight w:val="cyan"/>
              </w:rPr>
            </w:pPr>
            <w:r>
              <w:rPr>
                <w:highlight w:val="cyan"/>
              </w:rPr>
            </w:r>
          </w:p>
        </w:tc>
        <w:tc>
          <w:tcPr>
            <w:tcW w:w="9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highlight w:val="none"/>
                <w:shd w:fill="FFFFFF" w:val="clear"/>
              </w:rPr>
            </w:pPr>
            <w:r>
              <w:rPr>
                <w:shd w:fill="FFFFFF" w:val="clear"/>
              </w:rPr>
            </w:r>
          </w:p>
        </w:tc>
        <w:tc>
          <w:tcPr>
            <w:tcW w:w="4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10</w:t>
            </w:r>
          </w:p>
        </w:tc>
        <w:tc>
          <w:tcPr>
            <w:tcW w:w="48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3.2</w:t>
            </w:r>
          </w:p>
        </w:tc>
        <w:tc>
          <w:tcPr>
            <w:tcW w:w="2045"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MT" w:hAnsi="ArialMT"/>
                <w:sz w:val="20"/>
                <w:highlight w:val="none"/>
                <w:shd w:fill="FFFFFF" w:val="clear"/>
              </w:rPr>
            </w:pPr>
            <w:r>
              <w:rPr>
                <w:rFonts w:ascii="ArialMT" w:hAnsi="ArialMT"/>
                <w:sz w:val="20"/>
                <w:shd w:fill="FFFFFF" w:val="clear"/>
              </w:rPr>
              <w:t>Dotazioni di bordo superiori ai minimi di legge,motori a basso impatto ambientale (es. ibridi o elettrici per aree protette) e sistemi di sollevamento</w:t>
            </w:r>
          </w:p>
          <w:p>
            <w:pPr>
              <w:pStyle w:val="Normal"/>
              <w:jc w:val="left"/>
              <w:rPr>
                <w:rFonts w:ascii="ArialMT" w:hAnsi="ArialMT"/>
                <w:sz w:val="20"/>
                <w:highlight w:val="none"/>
                <w:shd w:fill="FFFFFF" w:val="clear"/>
              </w:rPr>
            </w:pPr>
            <w:r>
              <w:rPr>
                <w:rFonts w:ascii="ArialMT" w:hAnsi="ArialMT"/>
                <w:sz w:val="20"/>
                <w:shd w:fill="FFFFFF" w:val="clear"/>
              </w:rPr>
              <w:t>(gruette o verricelli) per il carico dei campioni</w:t>
            </w:r>
          </w:p>
        </w:tc>
        <w:tc>
          <w:tcPr>
            <w:tcW w:w="105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highlight w:val="none"/>
                <w:shd w:fill="FFFFFF" w:val="clear"/>
              </w:rPr>
            </w:pPr>
            <w:r>
              <w:rPr>
                <w:rFonts w:ascii="Titillium" w:hAnsi="Titillium"/>
                <w:sz w:val="18"/>
                <w:szCs w:val="18"/>
                <w:shd w:fill="FFFFFF" w:val="clear"/>
              </w:rPr>
              <w:t>D</w:t>
            </w:r>
          </w:p>
        </w:tc>
        <w:tc>
          <w:tcPr>
            <w:tcW w:w="10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60" w:after="60"/>
              <w:jc w:val="center"/>
              <w:rPr>
                <w:rFonts w:ascii="Titillium" w:hAnsi="Titillium"/>
                <w:sz w:val="18"/>
                <w:szCs w:val="18"/>
                <w:highlight w:val="cyan"/>
              </w:rPr>
            </w:pPr>
            <w:r>
              <w:rPr>
                <w:rFonts w:ascii="Titillium" w:hAnsi="Titillium"/>
                <w:sz w:val="18"/>
                <w:szCs w:val="18"/>
                <w:highlight w:val="cyan"/>
              </w:rPr>
            </w:r>
          </w:p>
        </w:tc>
      </w:tr>
      <w:tr>
        <w:trPr/>
        <w:tc>
          <w:tcPr>
            <w:tcW w:w="438" w:type="dxa"/>
            <w:tcBorders>
              <w:left w:val="single" w:sz="4" w:space="0" w:color="000000"/>
              <w:bottom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4</w:t>
            </w:r>
          </w:p>
        </w:tc>
        <w:tc>
          <w:tcPr>
            <w:tcW w:w="1747" w:type="dxa"/>
            <w:tcBorders>
              <w:left w:val="single" w:sz="4" w:space="0" w:color="000000"/>
              <w:bottom w:val="single" w:sz="4" w:space="0" w:color="000000"/>
            </w:tcBorders>
            <w:vAlign w:val="center"/>
          </w:tcPr>
          <w:p>
            <w:pPr>
              <w:pStyle w:val="Normal"/>
              <w:jc w:val="left"/>
              <w:rPr>
                <w:rFonts w:ascii="ArialMT" w:hAnsi="ArialMT"/>
                <w:sz w:val="20"/>
              </w:rPr>
            </w:pPr>
            <w:r>
              <w:rPr>
                <w:rFonts w:ascii="ArialMT" w:hAnsi="ArialMT"/>
                <w:sz w:val="20"/>
              </w:rPr>
              <w:t>Certificazioni</w:t>
            </w:r>
          </w:p>
        </w:tc>
        <w:tc>
          <w:tcPr>
            <w:tcW w:w="915" w:type="dxa"/>
            <w:tcBorders>
              <w:left w:val="single" w:sz="4" w:space="0" w:color="000000"/>
              <w:bottom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1</w:t>
            </w:r>
          </w:p>
        </w:tc>
        <w:tc>
          <w:tcPr>
            <w:tcW w:w="452" w:type="dxa"/>
            <w:tcBorders>
              <w:left w:val="single" w:sz="4" w:space="0" w:color="000000"/>
              <w:bottom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r>
          </w:p>
        </w:tc>
        <w:tc>
          <w:tcPr>
            <w:tcW w:w="488" w:type="dxa"/>
            <w:tcBorders>
              <w:left w:val="single" w:sz="4" w:space="0" w:color="000000"/>
              <w:bottom w:val="single" w:sz="4" w:space="0" w:color="000000"/>
            </w:tcBorders>
            <w:vAlign w:val="center"/>
          </w:tcPr>
          <w:p>
            <w:pPr>
              <w:pStyle w:val="Normal"/>
              <w:spacing w:lineRule="auto" w:line="240" w:before="60" w:after="60"/>
              <w:jc w:val="center"/>
              <w:rPr>
                <w:rFonts w:ascii="Titillium" w:hAnsi="Titillium"/>
                <w:sz w:val="18"/>
                <w:szCs w:val="18"/>
                <w:highlight w:val="none"/>
                <w:shd w:fill="FFFFFF" w:val="clear"/>
              </w:rPr>
            </w:pPr>
            <w:r>
              <w:rPr>
                <w:rFonts w:ascii="Titillium" w:hAnsi="Titillium"/>
                <w:sz w:val="18"/>
                <w:szCs w:val="18"/>
                <w:shd w:fill="FFFFFF" w:val="clear"/>
              </w:rPr>
              <w:t>4.1</w:t>
            </w:r>
          </w:p>
        </w:tc>
        <w:tc>
          <w:tcPr>
            <w:tcW w:w="2045" w:type="dxa"/>
            <w:tcBorders>
              <w:left w:val="single" w:sz="4" w:space="0" w:color="000000"/>
              <w:bottom w:val="single" w:sz="4" w:space="0" w:color="000000"/>
            </w:tcBorders>
            <w:vAlign w:val="center"/>
          </w:tcPr>
          <w:p>
            <w:pPr>
              <w:pStyle w:val="Normal"/>
              <w:jc w:val="left"/>
              <w:rPr>
                <w:rFonts w:ascii="ArialMT" w:hAnsi="ArialMT"/>
                <w:sz w:val="20"/>
                <w:highlight w:val="none"/>
                <w:shd w:fill="FFFFFF" w:val="clear"/>
              </w:rPr>
            </w:pPr>
            <w:r>
              <w:rPr>
                <w:rFonts w:ascii="ArialMT" w:hAnsi="ArialMT"/>
                <w:sz w:val="20"/>
                <w:shd w:fill="FFFFFF" w:val="clear"/>
              </w:rPr>
              <w:t>Certificazione parità di genere UNI/PdR 125:2022 o equivalente</w:t>
            </w:r>
          </w:p>
        </w:tc>
        <w:tc>
          <w:tcPr>
            <w:tcW w:w="1053" w:type="dxa"/>
            <w:tcBorders>
              <w:left w:val="single" w:sz="4" w:space="0" w:color="000000"/>
              <w:bottom w:val="single" w:sz="4" w:space="0" w:color="000000"/>
            </w:tcBorders>
            <w:vAlign w:val="center"/>
          </w:tcPr>
          <w:p>
            <w:pPr>
              <w:pStyle w:val="Normal"/>
              <w:rPr/>
            </w:pPr>
            <w:r>
              <w:rPr/>
            </w:r>
          </w:p>
        </w:tc>
        <w:tc>
          <w:tcPr>
            <w:tcW w:w="1051" w:type="dxa"/>
            <w:tcBorders>
              <w:left w:val="single" w:sz="4" w:space="0" w:color="000000"/>
              <w:bottom w:val="single" w:sz="4" w:space="0" w:color="000000"/>
            </w:tcBorders>
            <w:vAlign w:val="center"/>
          </w:tcPr>
          <w:p>
            <w:pPr>
              <w:pStyle w:val="Normal"/>
              <w:rPr/>
            </w:pPr>
            <w:r>
              <w:rPr/>
            </w:r>
          </w:p>
        </w:tc>
        <w:tc>
          <w:tcPr>
            <w:tcW w:w="1035" w:type="dxa"/>
            <w:tcBorders>
              <w:left w:val="single" w:sz="4" w:space="0" w:color="000000"/>
              <w:bottom w:val="single" w:sz="4" w:space="0" w:color="000000"/>
              <w:right w:val="single" w:sz="4" w:space="0" w:color="000000"/>
            </w:tcBorders>
            <w:vAlign w:val="center"/>
          </w:tcPr>
          <w:p>
            <w:pPr>
              <w:pStyle w:val="Normal"/>
              <w:jc w:val="center"/>
              <w:rPr/>
            </w:pPr>
            <w:r>
              <w:rPr/>
              <w:t>T</w:t>
            </w:r>
          </w:p>
        </w:tc>
      </w:tr>
      <w:tr>
        <w:trPr/>
        <w:tc>
          <w:tcPr>
            <w:tcW w:w="438"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747"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Totale</w:t>
            </w:r>
          </w:p>
        </w:tc>
        <w:tc>
          <w:tcPr>
            <w:tcW w:w="915"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highlight w:val="none"/>
                <w:shd w:fill="FFFFFF" w:val="clear"/>
              </w:rPr>
            </w:pPr>
            <w:r>
              <w:rPr>
                <w:rFonts w:ascii="Titillium" w:hAnsi="Titillium"/>
                <w:bCs/>
                <w:sz w:val="18"/>
                <w:szCs w:val="18"/>
                <w:shd w:fill="FFFFFF" w:val="clear"/>
              </w:rPr>
              <w:t>100</w:t>
            </w:r>
          </w:p>
        </w:tc>
        <w:tc>
          <w:tcPr>
            <w:tcW w:w="452" w:type="dxa"/>
            <w:tcBorders>
              <w:left w:val="single" w:sz="4" w:space="0" w:color="000000"/>
              <w:bottom w:val="single" w:sz="4" w:space="0" w:color="000000"/>
              <w:right w:val="single" w:sz="4" w:space="0" w:color="000000"/>
            </w:tcBorders>
            <w:shd w:color="auto" w:fill="D9D9D9" w:val="clea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488"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2045"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jc w:val="center"/>
              <w:rPr>
                <w:rFonts w:ascii="Titillium" w:hAnsi="Titillium"/>
                <w:sz w:val="18"/>
                <w:szCs w:val="18"/>
                <w:highlight w:val="cyan"/>
                <w:lang w:eastAsia="it-IT"/>
              </w:rPr>
            </w:pPr>
            <w:r>
              <w:rPr>
                <w:rFonts w:ascii="Titillium" w:hAnsi="Titillium"/>
                <w:sz w:val="18"/>
                <w:szCs w:val="18"/>
                <w:highlight w:val="cyan"/>
                <w:lang w:eastAsia="it-IT"/>
              </w:rPr>
            </w:r>
          </w:p>
        </w:tc>
        <w:tc>
          <w:tcPr>
            <w:tcW w:w="1053"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rPr>
                <w:rFonts w:ascii="Titillium" w:hAnsi="Titillium"/>
                <w:sz w:val="18"/>
                <w:szCs w:val="18"/>
                <w:highlight w:val="cyan"/>
                <w:lang w:eastAsia="it-IT"/>
              </w:rPr>
            </w:pPr>
            <w:r>
              <w:rPr>
                <w:rFonts w:ascii="Titillium" w:hAnsi="Titillium"/>
                <w:sz w:val="18"/>
                <w:szCs w:val="18"/>
                <w:highlight w:val="cyan"/>
                <w:lang w:eastAsia="it-IT"/>
              </w:rPr>
            </w:r>
          </w:p>
        </w:tc>
        <w:tc>
          <w:tcPr>
            <w:tcW w:w="1051"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rPr>
                <w:rFonts w:ascii="Titillium" w:hAnsi="Titillium"/>
                <w:sz w:val="18"/>
                <w:szCs w:val="18"/>
                <w:highlight w:val="cyan"/>
                <w:lang w:eastAsia="it-IT"/>
              </w:rPr>
            </w:pPr>
            <w:r>
              <w:rPr>
                <w:rFonts w:ascii="Titillium" w:hAnsi="Titillium"/>
                <w:sz w:val="18"/>
                <w:szCs w:val="18"/>
                <w:highlight w:val="cyan"/>
                <w:lang w:eastAsia="it-IT"/>
              </w:rPr>
            </w:r>
          </w:p>
        </w:tc>
        <w:tc>
          <w:tcPr>
            <w:tcW w:w="1035" w:type="dxa"/>
            <w:tcBorders>
              <w:left w:val="single" w:sz="4" w:space="0" w:color="000000"/>
              <w:bottom w:val="single" w:sz="4" w:space="0" w:color="000000"/>
              <w:right w:val="single" w:sz="4" w:space="0" w:color="000000"/>
            </w:tcBorders>
            <w:shd w:color="auto" w:fill="D9D9D9" w:val="clear"/>
            <w:vAlign w:val="center"/>
          </w:tcPr>
          <w:p>
            <w:pPr>
              <w:pStyle w:val="Normal"/>
              <w:spacing w:lineRule="auto" w:line="240" w:before="60" w:after="60"/>
              <w:rPr>
                <w:rFonts w:ascii="Titillium" w:hAnsi="Titillium"/>
                <w:sz w:val="18"/>
                <w:szCs w:val="18"/>
                <w:highlight w:val="cyan"/>
                <w:lang w:eastAsia="it-IT"/>
              </w:rPr>
            </w:pPr>
            <w:r>
              <w:rPr>
                <w:rFonts w:ascii="Titillium" w:hAnsi="Titillium"/>
                <w:sz w:val="18"/>
                <w:szCs w:val="18"/>
                <w:highlight w:val="cyan"/>
                <w:lang w:eastAsia="it-IT"/>
              </w:rPr>
            </w:r>
          </w:p>
        </w:tc>
      </w:tr>
    </w:tbl>
    <w:p>
      <w:pPr>
        <w:pStyle w:val="Normal"/>
        <w:spacing w:before="120" w:after="60"/>
        <w:rPr>
          <w:rFonts w:ascii="Titillium" w:hAnsi="Titillium"/>
          <w:sz w:val="18"/>
          <w:szCs w:val="18"/>
          <w:highlight w:val="cyan"/>
          <w:lang w:eastAsia="it-IT"/>
        </w:rPr>
      </w:pPr>
      <w:r>
        <w:rPr>
          <w:rFonts w:ascii="Titillium" w:hAnsi="Titillium"/>
          <w:sz w:val="18"/>
          <w:szCs w:val="18"/>
          <w:highlight w:val="cyan"/>
          <w:lang w:eastAsia="it-IT"/>
        </w:rPr>
      </w:r>
    </w:p>
    <w:p>
      <w:pPr>
        <w:pStyle w:val="Normal"/>
        <w:spacing w:before="120" w:after="60"/>
        <w:rPr>
          <w:highlight w:val="none"/>
          <w:shd w:fill="FFFFFF" w:val="clear"/>
        </w:rPr>
      </w:pPr>
      <w:r>
        <w:rPr>
          <w:rFonts w:cs="Calibri" w:ascii="Titillium" w:hAnsi="Titillium"/>
          <w:sz w:val="18"/>
          <w:szCs w:val="18"/>
          <w:shd w:fill="FFFFFF" w:val="clear"/>
          <w:lang w:eastAsia="it-IT"/>
        </w:rPr>
        <w:t xml:space="preserve">Il concorrente è escluso dalla gara nel caso in cui consegua un punteggio inferiore alla </w:t>
      </w:r>
      <w:r>
        <w:rPr>
          <w:rFonts w:ascii="Titillium" w:hAnsi="Titillium"/>
          <w:sz w:val="18"/>
          <w:szCs w:val="18"/>
          <w:shd w:fill="FFFFFF" w:val="clear"/>
        </w:rPr>
        <w:t>soglia minima di sbarramento pari a punti 38,50/70.</w:t>
      </w:r>
      <w:r>
        <w:rPr>
          <w:rFonts w:ascii="Titillium" w:hAnsi="Titillium"/>
          <w:i/>
          <w:sz w:val="18"/>
          <w:szCs w:val="18"/>
          <w:shd w:fill="FFFFFF" w:val="clear"/>
        </w:rPr>
        <w:t xml:space="preserve"> </w:t>
      </w:r>
    </w:p>
    <w:p>
      <w:pPr>
        <w:pStyle w:val="Normal"/>
        <w:spacing w:before="120" w:after="60"/>
        <w:rPr>
          <w:highlight w:val="none"/>
          <w:shd w:fill="FFFFFF" w:val="clear"/>
        </w:rPr>
      </w:pPr>
      <w:r>
        <w:rPr>
          <w:shd w:fill="FFFFFF" w:val="clear"/>
        </w:rPr>
      </w:r>
    </w:p>
    <w:p>
      <w:pPr>
        <w:pStyle w:val="Heading3"/>
        <w:numPr>
          <w:ilvl w:val="1"/>
          <w:numId w:val="3"/>
        </w:numPr>
        <w:ind w:hanging="426" w:left="426"/>
        <w:rPr>
          <w:highlight w:val="none"/>
          <w:shd w:fill="FFFFFF" w:val="clear"/>
        </w:rPr>
      </w:pPr>
      <w:bookmarkStart w:id="1892" w:name="__RefHeading___Toc11748_2735037374"/>
      <w:bookmarkStart w:id="1893" w:name="_Toc207275758"/>
      <w:bookmarkEnd w:id="1892"/>
      <w:r>
        <w:rPr>
          <w:rFonts w:ascii="Titillium" w:hAnsi="Titillium"/>
          <w:iCs/>
          <w:sz w:val="18"/>
          <w:szCs w:val="18"/>
          <w:shd w:fill="FFFFFF" w:val="clear"/>
        </w:rPr>
        <w:t>METODO DI ATTRIBUZIONE DEL COEFFICIENTE PER IL CALCOLO DEL PUNTEGGIO DELL’OFFERTA TECNICA</w:t>
      </w:r>
      <w:bookmarkEnd w:id="1893"/>
    </w:p>
    <w:p>
      <w:pPr>
        <w:pStyle w:val="Normal"/>
        <w:spacing w:before="60" w:after="60"/>
        <w:rPr>
          <w:highlight w:val="none"/>
          <w:shd w:fill="FFFFFF" w:val="clear"/>
        </w:rPr>
      </w:pPr>
      <w:r>
        <w:rPr>
          <w:rFonts w:ascii="Titillium" w:hAnsi="Titillium"/>
          <w:sz w:val="18"/>
          <w:szCs w:val="18"/>
          <w:shd w:fill="FFFFFF" w:val="clear"/>
        </w:rPr>
        <w:t>A ciascuno degli elementi qualitativi cui è assegnato un punteggio discrezionale nella colonna “D” della tabella, è attribuito un coefficiente in base alla seguente tabella:</w:t>
      </w:r>
    </w:p>
    <w:p>
      <w:pPr>
        <w:pStyle w:val="Normal"/>
        <w:spacing w:lineRule="exact" w:line="240"/>
        <w:rPr>
          <w:rFonts w:ascii="Aptos" w:hAnsi="Aptos" w:cs="Aptos" w:asciiTheme="minorHAnsi" w:cstheme="minorHAnsi" w:hAnsiTheme="minorHAnsi"/>
          <w:sz w:val="22"/>
          <w:highlight w:val="none"/>
          <w:shd w:fill="FFFFFF" w:val="clear"/>
        </w:rPr>
      </w:pPr>
      <w:r>
        <w:rPr>
          <w:rFonts w:cs="Aptos" w:cstheme="minorHAnsi" w:ascii="Aptos" w:hAnsi="Aptos"/>
          <w:sz w:val="22"/>
          <w:shd w:fill="FFFFFF" w:val="clear"/>
        </w:rPr>
      </w:r>
    </w:p>
    <w:tbl>
      <w:tblPr>
        <w:tblW w:w="4899" w:type="dxa"/>
        <w:jc w:val="left"/>
        <w:tblInd w:w="103" w:type="dxa"/>
        <w:tblLayout w:type="fixed"/>
        <w:tblCellMar>
          <w:top w:w="0" w:type="dxa"/>
          <w:left w:w="108" w:type="dxa"/>
          <w:bottom w:w="0" w:type="dxa"/>
          <w:right w:w="108" w:type="dxa"/>
        </w:tblCellMar>
        <w:tblLook w:val="0000" w:firstRow="0" w:noVBand="0" w:lastRow="0" w:firstColumn="0" w:lastColumn="0" w:noHBand="0"/>
      </w:tblPr>
      <w:tblGrid>
        <w:gridCol w:w="2762"/>
        <w:gridCol w:w="2137"/>
      </w:tblGrid>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b/>
                <w:sz w:val="22"/>
                <w:shd w:fill="FFFFFF" w:val="clear"/>
              </w:rPr>
              <w:t>Giudizio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b/>
                <w:sz w:val="22"/>
                <w:shd w:fill="FFFFFF" w:val="clear"/>
              </w:rPr>
              <w:t>Coefficiente</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Inadeguato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0,00</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Parzialmente Inadeguato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0,30</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Adeguato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0,55</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Discreto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0,70</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Buono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0,85</w:t>
            </w:r>
          </w:p>
        </w:tc>
      </w:tr>
      <w:tr>
        <w:trPr/>
        <w:tc>
          <w:tcPr>
            <w:tcW w:w="2762" w:type="dxa"/>
            <w:tcBorders>
              <w:top w:val="single" w:sz="4" w:space="0" w:color="000000"/>
              <w:left w:val="single" w:sz="4" w:space="0" w:color="000000"/>
              <w:bottom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Ottimo</w:t>
            </w:r>
          </w:p>
        </w:tc>
        <w:tc>
          <w:tcPr>
            <w:tcW w:w="213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0" w:leader="none"/>
              </w:tabs>
              <w:rPr>
                <w:highlight w:val="none"/>
                <w:shd w:fill="FFFFFF" w:val="clear"/>
              </w:rPr>
            </w:pPr>
            <w:r>
              <w:rPr>
                <w:rFonts w:cs="Aptos" w:ascii="Aptos" w:hAnsi="Aptos" w:asciiTheme="minorHAnsi" w:cstheme="minorHAnsi" w:hAnsiTheme="minorHAnsi"/>
                <w:sz w:val="22"/>
                <w:shd w:fill="FFFFFF" w:val="clear"/>
              </w:rPr>
              <w:t>1</w:t>
            </w:r>
          </w:p>
        </w:tc>
      </w:tr>
    </w:tbl>
    <w:p>
      <w:pPr>
        <w:pStyle w:val="Normal"/>
        <w:spacing w:before="60" w:after="60"/>
        <w:rPr>
          <w:rFonts w:ascii="Calibri" w:hAnsi="Calibri" w:cs="Calibri"/>
          <w:sz w:val="22"/>
          <w:highlight w:val="none"/>
          <w:shd w:fill="FFFFFF" w:val="clear"/>
        </w:rPr>
      </w:pPr>
      <w:r>
        <w:rPr>
          <w:rFonts w:cs="Calibri" w:ascii="Calibri" w:hAnsi="Calibri"/>
          <w:sz w:val="22"/>
          <w:shd w:fill="FFFFFF" w:val="clear"/>
        </w:rPr>
      </w:r>
    </w:p>
    <w:p>
      <w:pPr>
        <w:pStyle w:val="Normal"/>
        <w:spacing w:before="60" w:after="60"/>
        <w:rPr>
          <w:rFonts w:ascii="Titillium" w:hAnsi="Titillium"/>
          <w:sz w:val="18"/>
          <w:szCs w:val="18"/>
          <w:highlight w:val="none"/>
          <w:shd w:fill="FFFFFF" w:val="clear"/>
        </w:rPr>
      </w:pPr>
      <w:r>
        <w:rPr>
          <w:rFonts w:ascii="Titillium" w:hAnsi="Titillium"/>
          <w:sz w:val="18"/>
          <w:szCs w:val="18"/>
          <w:shd w:fill="FFFFFF" w:val="clear"/>
        </w:rPr>
        <w:t xml:space="preserve">Quanto agli elementi cui è assegnato un punteggio tabellare identificato dalla colonna “T” della tabella, il relativo punteggio è assegnato, automaticamente e in valore assoluto, sulla base della presenza o assenza nell’offerta, dell’elemento richiesto. </w:t>
      </w:r>
    </w:p>
    <w:p>
      <w:pPr>
        <w:pStyle w:val="Normal"/>
        <w:spacing w:before="60" w:after="60"/>
        <w:rPr>
          <w:rFonts w:ascii="Titillium" w:hAnsi="Titillium"/>
          <w:sz w:val="18"/>
          <w:szCs w:val="18"/>
          <w:highlight w:val="none"/>
          <w:shd w:fill="FFFFFF" w:val="clear"/>
        </w:rPr>
      </w:pPr>
      <w:r>
        <w:rPr>
          <w:rFonts w:ascii="Titillium" w:hAnsi="Titillium"/>
          <w:sz w:val="18"/>
          <w:szCs w:val="18"/>
          <w:shd w:fill="FFFFFF" w:val="clear"/>
        </w:rPr>
      </w:r>
    </w:p>
    <w:p>
      <w:pPr>
        <w:pStyle w:val="Heading3"/>
        <w:numPr>
          <w:ilvl w:val="1"/>
          <w:numId w:val="3"/>
        </w:numPr>
        <w:ind w:hanging="426" w:left="426"/>
        <w:rPr>
          <w:highlight w:val="none"/>
          <w:shd w:fill="FFFFFF" w:val="clear"/>
        </w:rPr>
      </w:pPr>
      <w:bookmarkStart w:id="1894" w:name="__RefHeading___Toc11750_2735037374"/>
      <w:bookmarkStart w:id="1895" w:name="_Toc207275759"/>
      <w:bookmarkStart w:id="1896" w:name="_Ref498421792"/>
      <w:bookmarkStart w:id="1897" w:name="_Toc205391336"/>
      <w:bookmarkEnd w:id="1894"/>
      <w:bookmarkEnd w:id="1897"/>
      <w:r>
        <w:rPr>
          <w:rFonts w:ascii="Titillium" w:hAnsi="Titillium"/>
          <w:iCs/>
          <w:sz w:val="18"/>
          <w:szCs w:val="18"/>
          <w:shd w:fill="FFFFFF" w:val="clear"/>
        </w:rPr>
        <w:t>METODO DI ATTRIBUZIONE DEL COEFFICIENTE PER IL CALCOLO DEL PUNTEGGIO DELL’OFFERTA ECONOMICA</w:t>
      </w:r>
      <w:bookmarkEnd w:id="1895"/>
      <w:bookmarkEnd w:id="1896"/>
      <w:r>
        <w:rPr>
          <w:rFonts w:ascii="Titillium" w:hAnsi="Titillium"/>
          <w:iCs/>
          <w:sz w:val="18"/>
          <w:szCs w:val="18"/>
          <w:shd w:fill="FFFFFF" w:val="clear"/>
        </w:rPr>
        <w:t xml:space="preserve"> </w:t>
      </w:r>
    </w:p>
    <w:p>
      <w:pPr>
        <w:pStyle w:val="Default"/>
        <w:jc w:val="left"/>
        <w:rPr>
          <w:shd w:fill="FFFFFF" w:val="clear"/>
        </w:rPr>
      </w:pPr>
      <w:r>
        <w:rPr>
          <w:sz w:val="18"/>
          <w:shd w:fill="FFFFFF" w:val="clear"/>
        </w:rPr>
        <w:t>Quanto all’offerta economica, è attribuito in base alla formula del valore assoluto</w:t>
      </w:r>
      <w:r>
        <w:rPr>
          <w:i/>
          <w:sz w:val="18"/>
          <w:shd w:fill="FFFFFF" w:val="clear"/>
        </w:rPr>
        <w:t xml:space="preserve">: </w:t>
      </w:r>
    </w:p>
    <w:p>
      <w:pPr>
        <w:pStyle w:val="Default"/>
        <w:jc w:val="center"/>
        <w:rPr>
          <w:shd w:fill="FFFFFF" w:val="clear"/>
        </w:rPr>
      </w:pPr>
      <w:r>
        <w:rPr>
          <w:b/>
          <w:sz w:val="18"/>
          <w:shd w:fill="FFFFFF" w:val="clear"/>
        </w:rPr>
        <w:t xml:space="preserve">Formula valore assoluto </w:t>
      </w:r>
    </w:p>
    <w:p>
      <w:pPr>
        <w:pStyle w:val="Default"/>
        <w:jc w:val="center"/>
        <w:rPr>
          <w:shd w:fill="FFFFFF" w:val="clear"/>
        </w:rPr>
      </w:pPr>
      <w:r>
        <w:rPr>
          <w:sz w:val="18"/>
          <w:shd w:fill="FFFFFF" w:val="clear"/>
        </w:rPr>
        <w:t xml:space="preserve">P= Pmax* (Vminoff/Voff) </w:t>
      </w:r>
    </w:p>
    <w:p>
      <w:pPr>
        <w:pStyle w:val="Default"/>
        <w:jc w:val="left"/>
        <w:rPr>
          <w:sz w:val="18"/>
          <w:shd w:fill="FFFFFF" w:val="clear"/>
        </w:rPr>
      </w:pPr>
      <w:r>
        <w:rPr>
          <w:sz w:val="18"/>
          <w:shd w:fill="FFFFFF" w:val="clear"/>
        </w:rPr>
        <w:t xml:space="preserve">dove: 𝑃𝑚𝑎𝑥 corrisponde al Punteggio massimo </w:t>
      </w:r>
    </w:p>
    <w:p>
      <w:pPr>
        <w:pStyle w:val="Default"/>
        <w:jc w:val="left"/>
        <w:rPr>
          <w:sz w:val="18"/>
          <w:shd w:fill="FFFFFF" w:val="clear"/>
        </w:rPr>
      </w:pPr>
      <w:r>
        <w:rPr>
          <w:sz w:val="18"/>
          <w:shd w:fill="FFFFFF" w:val="clear"/>
        </w:rPr>
        <w:t xml:space="preserve">𝑉𝑜𝑓𝑓 </w:t>
      </w:r>
      <w:r>
        <w:rPr>
          <w:sz w:val="18"/>
          <w:shd w:fill="FFFFFF" w:val="clear"/>
        </w:rPr>
        <w:t xml:space="preserve">corrisponde al valore offerto </w:t>
      </w:r>
    </w:p>
    <w:p>
      <w:pPr>
        <w:pStyle w:val="Default"/>
        <w:jc w:val="left"/>
        <w:rPr>
          <w:sz w:val="18"/>
          <w:shd w:fill="FFFFFF" w:val="clear"/>
        </w:rPr>
      </w:pPr>
      <w:r>
        <w:rPr>
          <w:sz w:val="18"/>
          <w:shd w:fill="FFFFFF" w:val="clear"/>
        </w:rPr>
        <w:t xml:space="preserve">𝑉𝑚𝑖𝑛𝑂𝑓𝑓 </w:t>
      </w:r>
      <w:r>
        <w:rPr>
          <w:sz w:val="18"/>
          <w:shd w:fill="FFFFFF" w:val="clear"/>
        </w:rPr>
        <w:t xml:space="preserve">corrisponde al valore minimo offerto </w:t>
      </w:r>
    </w:p>
    <w:p>
      <w:pPr>
        <w:pStyle w:val="Default"/>
        <w:jc w:val="left"/>
        <w:rPr>
          <w:sz w:val="18"/>
          <w:shd w:fill="FFFFFF" w:val="clear"/>
        </w:rPr>
      </w:pPr>
      <w:r>
        <w:rPr>
          <w:sz w:val="18"/>
          <w:shd w:fill="FFFFFF" w:val="clear"/>
        </w:rPr>
      </w:r>
    </w:p>
    <w:p>
      <w:pPr>
        <w:pStyle w:val="Default"/>
        <w:rPr>
          <w:sz w:val="18"/>
          <w:shd w:fill="FFFFFF" w:val="clear"/>
        </w:rPr>
      </w:pPr>
      <w:r>
        <w:rPr>
          <w:sz w:val="18"/>
          <w:shd w:fill="FFFFFF" w:val="clear"/>
        </w:rPr>
        <w:t xml:space="preserve">Questa formula attribuisce un punteggio inversamente proporzionale rispetto al valore offerto (es. il prezzo offerto), con coefficiente di proporzionalità dato dal valore minimo (il più basso) offerto in gara. Le peculiarità di questa formula matematica possono essere così riassunte: </w:t>
      </w:r>
    </w:p>
    <w:p>
      <w:pPr>
        <w:pStyle w:val="Default"/>
        <w:spacing w:before="60" w:after="60"/>
        <w:rPr>
          <w:rFonts w:ascii="Titillium" w:hAnsi="Titillium"/>
          <w:sz w:val="18"/>
          <w:szCs w:val="18"/>
          <w:shd w:fill="FFFFFF" w:val="clear"/>
        </w:rPr>
      </w:pPr>
      <w:r>
        <w:rPr>
          <w:rFonts w:ascii="Titillium" w:hAnsi="Titillium"/>
          <w:sz w:val="18"/>
          <w:szCs w:val="18"/>
          <w:shd w:fill="FFFFFF" w:val="clear"/>
        </w:rPr>
        <w:t xml:space="preserve">- la migliore offerta pervenuta, ovvero quella che presenta il valore minore, guadagna il totale dei punti economici assegnati mentre le altre offerte ottengono una frazione di tale punteggio; </w:t>
      </w:r>
    </w:p>
    <w:p>
      <w:pPr>
        <w:pStyle w:val="Default"/>
        <w:spacing w:before="60" w:after="60"/>
        <w:rPr>
          <w:rFonts w:ascii="Titillium" w:hAnsi="Titillium"/>
          <w:sz w:val="18"/>
          <w:szCs w:val="18"/>
          <w:shd w:fill="FFFFFF" w:val="clear"/>
        </w:rPr>
      </w:pPr>
      <w:r>
        <w:rPr>
          <w:rFonts w:ascii="Titillium" w:hAnsi="Titillium"/>
          <w:sz w:val="18"/>
          <w:szCs w:val="18"/>
          <w:shd w:fill="FFFFFF" w:val="clear"/>
        </w:rPr>
        <w:t xml:space="preserve">- il punteggio economico finale conferito ad ogni concorrente dipende dalla migliore offerta presentata in gara, corrispondente a 𝑉𝑚𝑖𝑛𝑂𝑓𝑓 (valore offerto minore); </w:t>
      </w:r>
    </w:p>
    <w:p>
      <w:pPr>
        <w:pStyle w:val="Default"/>
        <w:jc w:val="left"/>
        <w:rPr>
          <w:sz w:val="18"/>
          <w:shd w:fill="FFFFFF" w:val="clear"/>
        </w:rPr>
      </w:pPr>
      <w:r>
        <w:rPr>
          <w:sz w:val="18"/>
          <w:shd w:fill="FFFFFF" w:val="clear"/>
        </w:rPr>
        <w:t xml:space="preserve">- se espressa in funzione del prezzo offerto, può essere impiegata senza stabilire una base d’asta. Comunque, l’andamento della funzione non dipende dal valore della base d’asta. </w:t>
      </w:r>
    </w:p>
    <w:p>
      <w:pPr>
        <w:pStyle w:val="Heading2"/>
        <w:numPr>
          <w:ilvl w:val="0"/>
          <w:numId w:val="3"/>
        </w:numPr>
        <w:rPr>
          <w:highlight w:val="none"/>
          <w:shd w:fill="FFFFFF" w:val="clear"/>
        </w:rPr>
      </w:pPr>
      <w:bookmarkStart w:id="1898" w:name="__RefHeading___Toc11754_2735037374"/>
      <w:bookmarkStart w:id="1899" w:name="_Toc207275761"/>
      <w:bookmarkStart w:id="1900" w:name="_Ref129797347"/>
      <w:bookmarkStart w:id="1901" w:name="_Toc4060583881"/>
      <w:bookmarkStart w:id="1902" w:name="_Toc4067541891"/>
      <w:bookmarkStart w:id="1903" w:name="_Toc4164233721"/>
      <w:bookmarkStart w:id="1904" w:name="_Toc481158988"/>
      <w:bookmarkStart w:id="1905" w:name="_Toc481159382"/>
      <w:bookmarkStart w:id="1906" w:name="_Toc481159721"/>
      <w:bookmarkStart w:id="1907" w:name="_Toc481159767"/>
      <w:bookmarkStart w:id="1908" w:name="_Toc481159824"/>
      <w:bookmarkStart w:id="1909" w:name="_Toc481159876"/>
      <w:bookmarkStart w:id="1910" w:name="_Toc481160021"/>
      <w:bookmarkStart w:id="1911" w:name="_Toc481165222"/>
      <w:bookmarkStart w:id="1912" w:name="_Toc481165531"/>
      <w:bookmarkStart w:id="1913" w:name="_Toc481511110"/>
      <w:bookmarkStart w:id="1914" w:name="_Toc481511168"/>
      <w:bookmarkStart w:id="1915" w:name="_Toc481511213"/>
      <w:bookmarkStart w:id="1916" w:name="_Toc481511273"/>
      <w:bookmarkStart w:id="1917" w:name="_Toc481511317"/>
      <w:bookmarkStart w:id="1918" w:name="_Toc481772316"/>
      <w:bookmarkStart w:id="1919" w:name="_Toc481772380"/>
      <w:bookmarkStart w:id="1920" w:name="_Toc482025753"/>
      <w:bookmarkStart w:id="1921" w:name="_Toc482097577"/>
      <w:bookmarkStart w:id="1922" w:name="_Toc482097666"/>
      <w:bookmarkStart w:id="1923" w:name="_Toc482097755"/>
      <w:bookmarkStart w:id="1924" w:name="_Toc482097947"/>
      <w:bookmarkStart w:id="1925" w:name="_Toc482099049"/>
      <w:bookmarkStart w:id="1926" w:name="_Toc482100766"/>
      <w:bookmarkStart w:id="1927" w:name="_Toc482100923"/>
      <w:bookmarkStart w:id="1928" w:name="_Toc482101349"/>
      <w:bookmarkStart w:id="1929" w:name="_Toc482101486"/>
      <w:bookmarkStart w:id="1930" w:name="_Toc482101601"/>
      <w:bookmarkStart w:id="1931" w:name="_Toc482101776"/>
      <w:bookmarkStart w:id="1932" w:name="_Toc482101869"/>
      <w:bookmarkStart w:id="1933" w:name="_Toc482101964"/>
      <w:bookmarkStart w:id="1934" w:name="_Toc482102059"/>
      <w:bookmarkStart w:id="1935" w:name="_Toc482102153"/>
      <w:bookmarkStart w:id="1936" w:name="_Toc482352017"/>
      <w:bookmarkStart w:id="1937" w:name="_Toc482352107"/>
      <w:bookmarkStart w:id="1938" w:name="_Toc482352197"/>
      <w:bookmarkStart w:id="1939" w:name="_Toc482352287"/>
      <w:bookmarkStart w:id="1940" w:name="_Toc482633128"/>
      <w:bookmarkStart w:id="1941" w:name="_Toc482641305"/>
      <w:bookmarkStart w:id="1942" w:name="_Toc482712751"/>
      <w:bookmarkStart w:id="1943" w:name="_Toc482959539"/>
      <w:bookmarkStart w:id="1944" w:name="_Toc482959649"/>
      <w:bookmarkStart w:id="1945" w:name="_Toc482959759"/>
      <w:bookmarkStart w:id="1946" w:name="_Toc482978878"/>
      <w:bookmarkStart w:id="1947" w:name="_Toc482978987"/>
      <w:bookmarkStart w:id="1948" w:name="_Toc482979095"/>
      <w:bookmarkStart w:id="1949" w:name="_Toc482979206"/>
      <w:bookmarkStart w:id="1950" w:name="_Toc482979315"/>
      <w:bookmarkStart w:id="1951" w:name="_Toc482979424"/>
      <w:bookmarkStart w:id="1952" w:name="_Toc482979532"/>
      <w:bookmarkStart w:id="1953" w:name="_Toc482979630"/>
      <w:bookmarkStart w:id="1954" w:name="_Toc482979728"/>
      <w:bookmarkStart w:id="1955" w:name="_Toc483233688"/>
      <w:bookmarkStart w:id="1956" w:name="_Toc483302405"/>
      <w:bookmarkStart w:id="1957" w:name="_Toc483316026"/>
      <w:bookmarkStart w:id="1958" w:name="_Toc483316231"/>
      <w:bookmarkStart w:id="1959" w:name="_Toc483316363"/>
      <w:bookmarkStart w:id="1960" w:name="_Toc483316494"/>
      <w:bookmarkStart w:id="1961" w:name="_Toc483325797"/>
      <w:bookmarkStart w:id="1962" w:name="_Toc483401275"/>
      <w:bookmarkStart w:id="1963" w:name="_Toc483474071"/>
      <w:bookmarkStart w:id="1964" w:name="_Toc483571501"/>
      <w:bookmarkStart w:id="1965" w:name="_Toc483571622"/>
      <w:bookmarkStart w:id="1966" w:name="_Toc483906999"/>
      <w:bookmarkStart w:id="1967" w:name="_Toc484010749"/>
      <w:bookmarkStart w:id="1968" w:name="_Toc484010871"/>
      <w:bookmarkStart w:id="1969" w:name="_Toc484010995"/>
      <w:bookmarkStart w:id="1970" w:name="_Toc484011117"/>
      <w:bookmarkStart w:id="1971" w:name="_Toc484011239"/>
      <w:bookmarkStart w:id="1972" w:name="_Toc484011714"/>
      <w:bookmarkStart w:id="1973" w:name="_Toc484097788"/>
      <w:bookmarkStart w:id="1974" w:name="_Toc484428962"/>
      <w:bookmarkStart w:id="1975" w:name="_Toc484429132"/>
      <w:bookmarkStart w:id="1976" w:name="_Toc484438707"/>
      <w:bookmarkStart w:id="1977" w:name="_Toc484438831"/>
      <w:bookmarkStart w:id="1978" w:name="_Toc484438955"/>
      <w:bookmarkStart w:id="1979" w:name="_Toc484439875"/>
      <w:bookmarkStart w:id="1980" w:name="_Toc484439998"/>
      <w:bookmarkStart w:id="1981" w:name="_Toc484440122"/>
      <w:bookmarkStart w:id="1982" w:name="_Toc484440482"/>
      <w:bookmarkStart w:id="1983" w:name="_Toc484448142"/>
      <w:bookmarkStart w:id="1984" w:name="_Toc484448266"/>
      <w:bookmarkStart w:id="1985" w:name="_Toc484448390"/>
      <w:bookmarkStart w:id="1986" w:name="_Toc484448514"/>
      <w:bookmarkStart w:id="1987" w:name="_Toc484448638"/>
      <w:bookmarkStart w:id="1988" w:name="_Toc484448762"/>
      <w:bookmarkStart w:id="1989" w:name="_Toc484448885"/>
      <w:bookmarkStart w:id="1990" w:name="_Toc484449009"/>
      <w:bookmarkStart w:id="1991" w:name="_Toc484449133"/>
      <w:bookmarkStart w:id="1992" w:name="_Toc484526628"/>
      <w:bookmarkStart w:id="1993" w:name="_Toc484605347"/>
      <w:bookmarkStart w:id="1994" w:name="_Toc484605471"/>
      <w:bookmarkStart w:id="1995" w:name="_Toc484688340"/>
      <w:bookmarkStart w:id="1996" w:name="_Toc484688895"/>
      <w:bookmarkStart w:id="1997" w:name="_Toc485218331"/>
      <w:bookmarkStart w:id="1998" w:name="_Toc3805018801"/>
      <w:bookmarkStart w:id="1999" w:name="_Toc3910359931"/>
      <w:bookmarkStart w:id="2000" w:name="_Toc3910360661"/>
      <w:bookmarkStart w:id="2001" w:name="_Toc3925775071"/>
      <w:bookmarkStart w:id="2002" w:name="_Toc3931105741"/>
      <w:bookmarkStart w:id="2003" w:name="_Toc3931121381"/>
      <w:bookmarkStart w:id="2004" w:name="_Toc3931878551"/>
      <w:bookmarkStart w:id="2005" w:name="_Toc3932726111"/>
      <w:bookmarkStart w:id="2006" w:name="_Toc3932726691"/>
      <w:bookmarkStart w:id="2007" w:name="_Toc3932831851"/>
      <w:bookmarkStart w:id="2008" w:name="_Toc3937008441"/>
      <w:bookmarkStart w:id="2009" w:name="_Toc3937069171"/>
      <w:bookmarkStart w:id="2010" w:name="_Toc3973468321"/>
      <w:bookmarkStart w:id="2011" w:name="_Toc3974228731"/>
      <w:bookmarkStart w:id="2012" w:name="_Toc4034712801"/>
      <w:bookmarkEnd w:id="1898"/>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r>
        <w:rPr>
          <w:shd w:fill="FFFFFF" w:val="clear"/>
        </w:rPr>
        <w:t>COMMISSIONE GIUDICATRICE</w:t>
      </w:r>
      <w:bookmarkEnd w:id="1899"/>
      <w:bookmarkEnd w:id="1900"/>
    </w:p>
    <w:p>
      <w:pPr>
        <w:pStyle w:val="Normal"/>
        <w:tabs>
          <w:tab w:val="clear" w:pos="708"/>
          <w:tab w:val="left" w:pos="6521" w:leader="none"/>
        </w:tabs>
        <w:spacing w:before="120" w:after="60"/>
        <w:rPr>
          <w:highlight w:val="none"/>
          <w:shd w:fill="FFFFFF" w:val="clear"/>
        </w:rPr>
      </w:pPr>
      <w:r>
        <w:rPr>
          <w:rFonts w:cs="Calibri" w:ascii="Titillium" w:hAnsi="Titillium"/>
          <w:sz w:val="18"/>
          <w:szCs w:val="18"/>
          <w:shd w:fill="FFFFFF" w:val="clear"/>
        </w:rPr>
        <w:t xml:space="preserve">La commissione giudicatrice è nominata dopo la scadenza del termine per la presentazione delle offerte ed è composta da un numero dispari pari a n. </w:t>
      </w:r>
      <w:r>
        <w:rPr>
          <w:rFonts w:cs="Calibri" w:ascii="Titillium" w:hAnsi="Titillium"/>
          <w:i/>
          <w:sz w:val="18"/>
          <w:szCs w:val="18"/>
          <w:shd w:fill="FFFFFF" w:val="clear"/>
        </w:rPr>
        <w:t>3</w:t>
      </w:r>
      <w:r>
        <w:rPr>
          <w:rFonts w:cs="Calibri" w:ascii="Titillium" w:hAnsi="Titillium"/>
          <w:sz w:val="18"/>
          <w:szCs w:val="18"/>
          <w:shd w:fill="FFFFFF" w:val="clear"/>
        </w:rPr>
        <w:t xml:space="preserve"> membri, esperti nello specifico settore cui si riferisce l’oggetto del contratto. In capo ai commissari non devono sussistere cause ostative alla nomina ai sensi dell’articolo 93 comma 5 del Codice. A tal fine viene richiesta, prima del conferimento dell’incarico, apposita dichiarazione.</w:t>
      </w:r>
      <w:r>
        <w:rPr>
          <w:rFonts w:cs="Calibri" w:ascii="Titillium" w:hAnsi="Titillium"/>
          <w:sz w:val="18"/>
          <w:szCs w:val="24"/>
          <w:shd w:fill="FFFFFF" w:val="clear"/>
        </w:rPr>
        <w:t xml:space="preserve"> </w:t>
      </w:r>
    </w:p>
    <w:p>
      <w:pPr>
        <w:pStyle w:val="Default"/>
        <w:spacing w:before="60" w:after="60"/>
        <w:rPr>
          <w:highlight w:val="none"/>
          <w:shd w:fill="FFFFFF" w:val="clear"/>
        </w:rPr>
      </w:pPr>
      <w:r>
        <w:rPr>
          <w:rFonts w:cs="Garamond" w:ascii="Titillium" w:hAnsi="Titillium"/>
          <w:sz w:val="18"/>
          <w:szCs w:val="18"/>
          <w:shd w:fill="FFFFFF" w:val="clear"/>
        </w:rPr>
        <w:t>La composizione della commissione giudicatrice e i curricula dei componenti sono pubblicati sul sito istituzionale nella sezione “Amministrazione trasparente”.</w:t>
      </w:r>
    </w:p>
    <w:p>
      <w:pPr>
        <w:pStyle w:val="Normal"/>
        <w:spacing w:before="60" w:after="60"/>
        <w:rPr/>
      </w:pPr>
      <w:r>
        <w:rPr>
          <w:rFonts w:cs="Calibri" w:ascii="Titillium" w:hAnsi="Titillium"/>
          <w:sz w:val="18"/>
          <w:szCs w:val="18"/>
          <w:shd w:fill="FFFFFF" w:val="clear"/>
        </w:rPr>
        <w:t xml:space="preserve">La commissione giudicatrice è responsabile della valutazione delle offerte tecniche ed economiche dei concorrenti, può riunirsi con modalità telematiche che salvaguardino la riservatezza delle comunicazioni ed opera attraverso la piattaforma di approvvigionamento digitale. </w:t>
      </w:r>
    </w:p>
    <w:p>
      <w:pPr>
        <w:pStyle w:val="Heading2"/>
        <w:numPr>
          <w:ilvl w:val="0"/>
          <w:numId w:val="3"/>
        </w:numPr>
        <w:rPr/>
      </w:pPr>
      <w:bookmarkStart w:id="2013" w:name="__RefHeading___Toc11756_2735037374"/>
      <w:bookmarkStart w:id="2014" w:name="_Toc207275762"/>
      <w:bookmarkStart w:id="2015" w:name="_Ref130243943"/>
      <w:bookmarkEnd w:id="2013"/>
      <w:r>
        <w:rPr/>
        <w:t>SVOLGIMENTO DELLE OPERAZIONI DI GARA</w:t>
      </w:r>
      <w:bookmarkEnd w:id="2014"/>
      <w:bookmarkEnd w:id="2015"/>
      <w:r>
        <w:rPr/>
        <w:t xml:space="preserve"> </w:t>
      </w:r>
    </w:p>
    <w:p>
      <w:pPr>
        <w:pStyle w:val="Normal"/>
        <w:spacing w:before="60" w:after="60"/>
        <w:rPr>
          <w:rFonts w:ascii="Titillium" w:hAnsi="Titillium" w:eastAsia="SimSun" w:cs="Calibri"/>
          <w:sz w:val="18"/>
          <w:szCs w:val="18"/>
        </w:rPr>
      </w:pPr>
      <w:r>
        <w:rPr>
          <w:rFonts w:cs="Calibri" w:ascii="Titillium" w:hAnsi="Titillium"/>
          <w:sz w:val="18"/>
          <w:szCs w:val="18"/>
        </w:rPr>
        <w:t>La prima sessione ha luogo il giorno indicato sulla Piattaforma.</w:t>
      </w:r>
      <w:r>
        <w:rPr>
          <w:rFonts w:eastAsia="SimSun" w:cs="Calibri" w:ascii="Titillium" w:hAnsi="Titillium"/>
          <w:sz w:val="18"/>
          <w:szCs w:val="18"/>
        </w:rPr>
        <w:t xml:space="preserve"> </w:t>
      </w:r>
    </w:p>
    <w:p>
      <w:pPr>
        <w:pStyle w:val="Normal"/>
        <w:spacing w:before="60" w:after="60"/>
        <w:rPr>
          <w:rFonts w:ascii="Titillium" w:hAnsi="Titillium" w:cs="Calibri"/>
          <w:sz w:val="18"/>
          <w:szCs w:val="18"/>
        </w:rPr>
      </w:pPr>
      <w:r>
        <w:rPr>
          <w:rFonts w:cs="Calibri" w:ascii="Titillium" w:hAnsi="Titillium"/>
          <w:sz w:val="18"/>
          <w:szCs w:val="18"/>
        </w:rPr>
        <w:t>La PAD consente lo svolgimento delle sessioni di gara preordinate all’esame:</w:t>
      </w:r>
    </w:p>
    <w:p>
      <w:pPr>
        <w:pStyle w:val="Normal"/>
        <w:spacing w:before="60" w:after="60"/>
        <w:rPr>
          <w:rFonts w:ascii="Titillium" w:hAnsi="Titillium" w:cs="Calibri"/>
          <w:sz w:val="18"/>
          <w:szCs w:val="18"/>
        </w:rPr>
      </w:pPr>
      <w:r>
        <w:rPr>
          <w:rFonts w:cs="Calibri" w:ascii="Titillium" w:hAnsi="Titillium"/>
          <w:sz w:val="18"/>
          <w:szCs w:val="18"/>
        </w:rPr>
        <w:t>•</w:t>
      </w:r>
      <w:r>
        <w:rPr>
          <w:rFonts w:cs="Calibri" w:ascii="Titillium" w:hAnsi="Titillium"/>
          <w:sz w:val="18"/>
          <w:szCs w:val="18"/>
        </w:rPr>
        <w:tab/>
        <w:t>della documentazione amministrativa;</w:t>
      </w:r>
    </w:p>
    <w:p>
      <w:pPr>
        <w:pStyle w:val="Normal"/>
        <w:spacing w:before="60" w:after="60"/>
        <w:rPr>
          <w:rFonts w:ascii="Titillium" w:hAnsi="Titillium" w:cs="Calibri"/>
          <w:sz w:val="18"/>
          <w:szCs w:val="18"/>
        </w:rPr>
      </w:pPr>
      <w:r>
        <w:rPr>
          <w:rFonts w:cs="Calibri" w:ascii="Titillium" w:hAnsi="Titillium"/>
          <w:sz w:val="18"/>
          <w:szCs w:val="18"/>
        </w:rPr>
        <w:t>•</w:t>
      </w:r>
      <w:r>
        <w:rPr>
          <w:rFonts w:cs="Calibri" w:ascii="Titillium" w:hAnsi="Titillium"/>
          <w:sz w:val="18"/>
          <w:szCs w:val="18"/>
        </w:rPr>
        <w:tab/>
        <w:t>delle offerte tecniche;</w:t>
      </w:r>
    </w:p>
    <w:p>
      <w:pPr>
        <w:pStyle w:val="Normal"/>
        <w:spacing w:before="60" w:after="60"/>
        <w:rPr>
          <w:rFonts w:ascii="Titillium" w:hAnsi="Titillium" w:cs="Calibri"/>
          <w:sz w:val="18"/>
          <w:szCs w:val="18"/>
        </w:rPr>
      </w:pPr>
      <w:r>
        <w:rPr>
          <w:rFonts w:cs="Calibri" w:ascii="Titillium" w:hAnsi="Titillium"/>
          <w:sz w:val="18"/>
          <w:szCs w:val="18"/>
        </w:rPr>
        <w:t>•</w:t>
      </w:r>
      <w:r>
        <w:rPr>
          <w:rFonts w:cs="Calibri" w:ascii="Titillium" w:hAnsi="Titillium"/>
          <w:sz w:val="18"/>
          <w:szCs w:val="18"/>
        </w:rPr>
        <w:tab/>
        <w:t>delle offerte economiche.</w:t>
      </w:r>
    </w:p>
    <w:p>
      <w:pPr>
        <w:pStyle w:val="Normal"/>
        <w:spacing w:before="60" w:after="60"/>
        <w:rPr>
          <w:rFonts w:ascii="Titillium" w:hAnsi="Titillium" w:cs="Calibri"/>
          <w:sz w:val="18"/>
          <w:szCs w:val="18"/>
        </w:rPr>
      </w:pPr>
      <w:r>
        <w:rPr>
          <w:rFonts w:cs="Calibri" w:ascii="Titillium" w:hAnsi="Titillium"/>
          <w:sz w:val="18"/>
          <w:szCs w:val="18"/>
        </w:rPr>
        <w:t>La PAD garantisce il rispetto delle disposizioni del codice in materia di riservatezza delle operazioni e delle informazioni relative alla procedura di gara, nonché il rispetto dei principi di trasparenza.</w:t>
      </w:r>
    </w:p>
    <w:p>
      <w:pPr>
        <w:pStyle w:val="Normal"/>
        <w:spacing w:before="60" w:after="60"/>
        <w:rPr>
          <w:rFonts w:ascii="Titillium" w:hAnsi="Titillium" w:cs="Calibri"/>
          <w:sz w:val="18"/>
          <w:szCs w:val="18"/>
        </w:rPr>
      </w:pPr>
      <w:r>
        <w:rPr>
          <w:rFonts w:cs="Calibri" w:ascii="Titillium" w:hAnsi="Titillium"/>
          <w:sz w:val="18"/>
          <w:szCs w:val="18"/>
        </w:rPr>
      </w:r>
    </w:p>
    <w:p>
      <w:pPr>
        <w:pStyle w:val="Heading2"/>
        <w:numPr>
          <w:ilvl w:val="0"/>
          <w:numId w:val="3"/>
        </w:numPr>
        <w:rPr/>
      </w:pPr>
      <w:bookmarkStart w:id="2016" w:name="__RefHeading___Toc11758_2735037374"/>
      <w:bookmarkStart w:id="2017" w:name="_Toc207275763"/>
      <w:bookmarkStart w:id="2018" w:name="_Ref132303128"/>
      <w:bookmarkEnd w:id="2016"/>
      <w:r>
        <w:rPr/>
        <w:t>VERIFICA DOCUMENTAZIONE AMMINISTRATIVA</w:t>
      </w:r>
      <w:bookmarkEnd w:id="2017"/>
      <w:bookmarkEnd w:id="2018"/>
    </w:p>
    <w:p>
      <w:pPr>
        <w:pStyle w:val="Normal"/>
        <w:spacing w:before="60" w:after="60"/>
        <w:rPr/>
      </w:pPr>
      <w:r>
        <w:rPr>
          <w:rFonts w:cs="Calibri" w:ascii="Titillium" w:hAnsi="Titillium"/>
          <w:sz w:val="18"/>
          <w:szCs w:val="18"/>
        </w:rPr>
        <w:t xml:space="preserve">Il Referente di gara accede alla documentazione amministrativa di ciascun concorrente, mentre l’offerta tecnica e l’offerta economica restano, chiuse, segrete e bloccate dal sistema, e procede a: </w:t>
      </w:r>
    </w:p>
    <w:p>
      <w:pPr>
        <w:pStyle w:val="Normal"/>
        <w:numPr>
          <w:ilvl w:val="0"/>
          <w:numId w:val="5"/>
        </w:numPr>
        <w:tabs>
          <w:tab w:val="clear" w:pos="708"/>
          <w:tab w:val="left" w:pos="851" w:leader="none"/>
        </w:tabs>
        <w:spacing w:before="60" w:after="60"/>
        <w:ind w:hanging="360" w:left="426"/>
        <w:rPr>
          <w:rFonts w:ascii="Titillium" w:hAnsi="Titillium" w:cs="Calibri"/>
          <w:sz w:val="18"/>
          <w:szCs w:val="18"/>
        </w:rPr>
      </w:pPr>
      <w:r>
        <w:rPr>
          <w:rFonts w:cs="Calibri" w:ascii="Titillium" w:hAnsi="Titillium"/>
          <w:sz w:val="18"/>
          <w:szCs w:val="18"/>
        </w:rPr>
        <w:t>controllare la completezza della documentazione amministrativa presentata;</w:t>
      </w:r>
    </w:p>
    <w:p>
      <w:pPr>
        <w:pStyle w:val="ListParagraph"/>
        <w:numPr>
          <w:ilvl w:val="0"/>
          <w:numId w:val="5"/>
        </w:numPr>
        <w:tabs>
          <w:tab w:val="clear" w:pos="708"/>
          <w:tab w:val="left" w:pos="851" w:leader="none"/>
        </w:tabs>
        <w:spacing w:before="60" w:after="60"/>
        <w:ind w:hanging="360" w:left="426"/>
        <w:contextualSpacing w:val="false"/>
        <w:rPr>
          <w:rFonts w:ascii="Titillium" w:hAnsi="Titillium" w:cs="Calibri"/>
          <w:sz w:val="18"/>
          <w:szCs w:val="18"/>
        </w:rPr>
      </w:pPr>
      <w:r>
        <w:rPr>
          <w:rFonts w:cs="Calibri" w:ascii="Titillium" w:hAnsi="Titillium"/>
          <w:sz w:val="18"/>
          <w:szCs w:val="18"/>
        </w:rPr>
        <w:t>verificare la conformità della documentazione amministrativa a quanto richiesto nel presente disciplinare;</w:t>
      </w:r>
    </w:p>
    <w:p>
      <w:pPr>
        <w:pStyle w:val="ListParagraph"/>
        <w:numPr>
          <w:ilvl w:val="0"/>
          <w:numId w:val="5"/>
        </w:numPr>
        <w:tabs>
          <w:tab w:val="clear" w:pos="708"/>
          <w:tab w:val="left" w:pos="851" w:leader="none"/>
        </w:tabs>
        <w:spacing w:before="60" w:after="60"/>
        <w:ind w:hanging="360" w:left="426"/>
        <w:contextualSpacing w:val="false"/>
        <w:rPr>
          <w:rFonts w:ascii="Titillium" w:hAnsi="Titillium" w:cs="Calibri"/>
          <w:sz w:val="18"/>
          <w:szCs w:val="18"/>
        </w:rPr>
      </w:pPr>
      <w:r>
        <w:rPr>
          <w:rFonts w:cs="Calibri" w:ascii="Titillium" w:hAnsi="Titillium"/>
          <w:sz w:val="18"/>
          <w:szCs w:val="18"/>
        </w:rPr>
        <w:t xml:space="preserve">attivare la procedura di soccorso istruttorio di cui al precedente paragrafo </w:t>
      </w:r>
      <w:r>
        <w:rPr>
          <w:rFonts w:cs="Calibri" w:ascii="Titillium" w:hAnsi="Titillium"/>
          <w:sz w:val="18"/>
          <w:szCs w:val="18"/>
        </w:rPr>
        <w:fldChar w:fldCharType="begin"/>
      </w:r>
      <w:r>
        <w:rPr>
          <w:rFonts w:cs="Calibri" w:ascii="Titillium" w:hAnsi="Titillium"/>
          <w:sz w:val="18"/>
          <w:szCs w:val="18"/>
        </w:rPr>
        <w:instrText xml:space="preserve"> REF _Ref129796272 \r \r \h </w:instrText>
      </w:r>
      <w:r>
        <w:rPr>
          <w:rFonts w:cs="Calibri" w:ascii="Titillium" w:hAnsi="Titillium"/>
          <w:sz w:val="18"/>
          <w:szCs w:val="18"/>
        </w:rPr>
        <w:fldChar w:fldCharType="separate"/>
      </w:r>
      <w:r>
        <w:rPr>
          <w:rFonts w:cs="Calibri" w:ascii="Titillium" w:hAnsi="Titillium"/>
          <w:sz w:val="18"/>
          <w:szCs w:val="18"/>
        </w:rPr>
        <w:t>14</w:t>
      </w:r>
      <w:r>
        <w:rPr>
          <w:rFonts w:cs="Calibri" w:ascii="Titillium" w:hAnsi="Titillium"/>
          <w:sz w:val="18"/>
          <w:szCs w:val="18"/>
        </w:rPr>
        <w:fldChar w:fldCharType="end"/>
      </w:r>
      <w:r>
        <w:rPr>
          <w:rFonts w:cs="Calibri" w:ascii="Titillium" w:hAnsi="Titillium"/>
          <w:sz w:val="18"/>
          <w:szCs w:val="18"/>
        </w:rPr>
        <w:t xml:space="preserve">, se necessario. </w:t>
      </w:r>
    </w:p>
    <w:p>
      <w:pPr>
        <w:pStyle w:val="Normal"/>
        <w:tabs>
          <w:tab w:val="clear" w:pos="708"/>
          <w:tab w:val="left" w:pos="851" w:leader="none"/>
        </w:tabs>
        <w:spacing w:before="60" w:after="60"/>
        <w:ind w:left="66"/>
        <w:rPr>
          <w:rFonts w:ascii="Titillium" w:hAnsi="Titillium" w:cs="Calibri"/>
          <w:sz w:val="18"/>
          <w:szCs w:val="18"/>
        </w:rPr>
      </w:pPr>
      <w:r>
        <w:rPr>
          <w:rFonts w:cs="Calibri" w:ascii="Titillium" w:hAnsi="Titillium"/>
          <w:sz w:val="18"/>
          <w:szCs w:val="18"/>
        </w:rPr>
        <w:t>Gli eventuali provvedimenti di esclusione dalla procedura di gara sono comunicati entro cinque giorni dalla loro adozione.</w:t>
      </w:r>
      <w:r>
        <w:rPr/>
        <w:t xml:space="preserve"> </w:t>
      </w:r>
      <w:r>
        <w:rPr>
          <w:rFonts w:cs="Calibri" w:ascii="Titillium" w:hAnsi="Titillium"/>
          <w:sz w:val="18"/>
          <w:szCs w:val="18"/>
        </w:rPr>
        <w:t xml:space="preserve">È fatta salva la possibilità di chiedere agli offerenti, in qualsiasi momento nel corso della procedura, di presentare tutti i documenti complementari o parte di essi, qualora questo sia necessario per assicurare il corretto svolgimento della procedura. </w:t>
      </w:r>
    </w:p>
    <w:p>
      <w:pPr>
        <w:pStyle w:val="Normal"/>
        <w:tabs>
          <w:tab w:val="clear" w:pos="708"/>
          <w:tab w:val="left" w:pos="851" w:leader="none"/>
        </w:tabs>
        <w:spacing w:before="60" w:after="60"/>
        <w:rPr>
          <w:rFonts w:ascii="Titillium" w:hAnsi="Titillium" w:cs="Calibri"/>
          <w:sz w:val="18"/>
          <w:szCs w:val="18"/>
        </w:rPr>
      </w:pPr>
      <w:r>
        <w:rPr>
          <w:rFonts w:cs="Calibri" w:ascii="Titillium" w:hAnsi="Titillium"/>
          <w:sz w:val="18"/>
          <w:szCs w:val="18"/>
        </w:rPr>
      </w:r>
    </w:p>
    <w:p>
      <w:pPr>
        <w:pStyle w:val="Heading2"/>
        <w:numPr>
          <w:ilvl w:val="0"/>
          <w:numId w:val="3"/>
        </w:numPr>
        <w:rPr/>
      </w:pPr>
      <w:bookmarkStart w:id="2019" w:name="__RefHeading___Toc11760_2735037374"/>
      <w:bookmarkStart w:id="2020" w:name="_Toc207275764"/>
      <w:bookmarkStart w:id="2021" w:name="_Ref138148356"/>
      <w:bookmarkStart w:id="2022" w:name="_Ref132303065"/>
      <w:bookmarkEnd w:id="2019"/>
      <w:r>
        <w:rPr/>
        <w:t>VALUTAZIONE DELLE OFFERTE TECNICHE ED ECONOMICHE</w:t>
      </w:r>
      <w:bookmarkEnd w:id="2021"/>
      <w:bookmarkEnd w:id="2022"/>
      <w:r>
        <w:rPr/>
        <w:t>.</w:t>
      </w:r>
      <w:bookmarkEnd w:id="2020"/>
    </w:p>
    <w:p>
      <w:pPr>
        <w:pStyle w:val="Normal"/>
        <w:spacing w:before="60" w:after="60"/>
        <w:rPr>
          <w:rFonts w:ascii="Titillium" w:hAnsi="Titillium" w:cs="Calibri"/>
          <w:sz w:val="18"/>
          <w:szCs w:val="18"/>
        </w:rPr>
      </w:pPr>
      <w:r>
        <w:rPr>
          <w:rFonts w:cs="Calibri" w:ascii="Titillium" w:hAnsi="Titillium"/>
          <w:sz w:val="18"/>
          <w:szCs w:val="18"/>
        </w:rPr>
        <w:t>La data e l’ora in cui si procede all’apertura delle offerte tecniche sono comunicate tramite la PAD ai concorrenti ammessi alla presente fase di gara.</w:t>
      </w:r>
    </w:p>
    <w:p>
      <w:pPr>
        <w:pStyle w:val="Normal"/>
        <w:spacing w:before="60" w:after="60"/>
        <w:rPr>
          <w:highlight w:val="none"/>
          <w:shd w:fill="FFFFFF" w:val="clear"/>
        </w:rPr>
      </w:pPr>
      <w:r>
        <w:rPr>
          <w:rFonts w:cs="Calibri" w:ascii="Titillium" w:hAnsi="Titillium"/>
          <w:sz w:val="18"/>
          <w:szCs w:val="18"/>
          <w:shd w:fill="FFFFFF" w:val="clear"/>
        </w:rPr>
        <w:t xml:space="preserve">Il Presidente della Commissione procede all’apertura delle offerte presentate. </w:t>
      </w:r>
    </w:p>
    <w:p>
      <w:pPr>
        <w:pStyle w:val="Normal"/>
        <w:spacing w:before="60" w:after="60"/>
        <w:rPr>
          <w:highlight w:val="none"/>
          <w:shd w:fill="FFFFFF" w:val="clear"/>
        </w:rPr>
      </w:pPr>
      <w:r>
        <w:rPr>
          <w:rFonts w:cs="Calibri" w:ascii="Titillium" w:hAnsi="Titillium"/>
          <w:sz w:val="18"/>
          <w:szCs w:val="18"/>
          <w:shd w:fill="FFFFFF" w:val="clear"/>
        </w:rPr>
        <w:t>La commissione giudicatrice procede all’esame e valutazione delle offerte tecniche presentate dai concorrenti e all’assegnazione dei relativi punteggi applicando i criteri e le formule indicati nel bando e nel presente disciplinare. Gli esiti della valutazione sono registrati dalla PAD.</w:t>
      </w:r>
    </w:p>
    <w:p>
      <w:pPr>
        <w:pStyle w:val="Normal"/>
        <w:rPr>
          <w:highlight w:val="none"/>
          <w:shd w:fill="FFFFFF" w:val="clear"/>
        </w:rPr>
      </w:pPr>
      <w:r>
        <w:rPr>
          <w:rFonts w:cs="Calibri" w:ascii="Titillium" w:hAnsi="Titillium"/>
          <w:sz w:val="18"/>
          <w:szCs w:val="18"/>
          <w:shd w:fill="FFFFFF" w:val="clear"/>
        </w:rPr>
        <w:t xml:space="preserve">Al termine delle operazioni di cui sopra la PAD consente la prosecuzione della procedura ai soli concorrenti ammessi alla valutazione delle offerte economiche. </w:t>
      </w:r>
    </w:p>
    <w:p>
      <w:pPr>
        <w:pStyle w:val="Normal"/>
        <w:rPr>
          <w:rFonts w:ascii="Titillium" w:hAnsi="Titillium"/>
          <w:sz w:val="20"/>
          <w:szCs w:val="20"/>
          <w:highlight w:val="none"/>
          <w:shd w:fill="FFFFFF" w:val="clear"/>
        </w:rPr>
      </w:pPr>
      <w:r>
        <w:rPr>
          <w:rFonts w:ascii="Titillium" w:hAnsi="Titillium"/>
          <w:sz w:val="20"/>
          <w:szCs w:val="20"/>
          <w:shd w:fill="FFFFFF" w:val="clear"/>
        </w:rPr>
      </w:r>
    </w:p>
    <w:p>
      <w:pPr>
        <w:pStyle w:val="Normal"/>
        <w:rPr>
          <w:highlight w:val="none"/>
          <w:shd w:fill="FFFFFF" w:val="clear"/>
        </w:rPr>
      </w:pPr>
      <w:r>
        <w:rPr>
          <w:rFonts w:cs="Calibri" w:ascii="Titillium" w:hAnsi="Titillium"/>
          <w:sz w:val="18"/>
          <w:szCs w:val="18"/>
          <w:shd w:fill="FFFFFF" w:val="clear"/>
        </w:rPr>
        <w:t>Il Presidente della Commissione procede all’apertura delle offerte economiche.</w:t>
      </w:r>
    </w:p>
    <w:p>
      <w:pPr>
        <w:pStyle w:val="Normal"/>
        <w:rPr>
          <w:rFonts w:ascii="Titillium" w:hAnsi="Titillium" w:cs="Calibri"/>
          <w:sz w:val="18"/>
          <w:szCs w:val="18"/>
        </w:rPr>
      </w:pPr>
      <w:r>
        <w:rPr>
          <w:rFonts w:cs="Calibri" w:ascii="Titillium" w:hAnsi="Titillium"/>
          <w:sz w:val="18"/>
          <w:szCs w:val="18"/>
          <w:shd w:fill="FFFFFF" w:val="clear"/>
        </w:rPr>
        <w:t>La commissione giudicatrice pr</w:t>
      </w:r>
      <w:r>
        <w:rPr>
          <w:rFonts w:cs="Calibri" w:ascii="Titillium" w:hAnsi="Titillium"/>
          <w:sz w:val="18"/>
          <w:szCs w:val="18"/>
        </w:rPr>
        <w:t xml:space="preserve">ocede alla valutazione delle offerte economiche, secondo i criteri e le modalità descritte nel disciplinare e, successivamente, all’individuazione dell’unico parametro numerico finale per la formulazione della graduatoria. </w:t>
      </w:r>
    </w:p>
    <w:p>
      <w:pPr>
        <w:pStyle w:val="Normal"/>
        <w:spacing w:before="60" w:after="60"/>
        <w:rPr>
          <w:rFonts w:ascii="Titillium" w:hAnsi="Titillium" w:cs="Calibri"/>
          <w:sz w:val="18"/>
          <w:szCs w:val="18"/>
        </w:rPr>
      </w:pPr>
      <w:r>
        <w:rPr>
          <w:rFonts w:cs="Calibri" w:ascii="Titillium" w:hAnsi="Titillium"/>
          <w:sz w:val="18"/>
          <w:szCs w:val="18"/>
        </w:rPr>
        <w:t>Nel caso in cui le offerte di due o più concorrenti ottengano lo stesso punteggio complessivo e gli stessi punteggi parziali per il prezzo e per l’offerta tecnica, i predetti concorrenti, su richiesta della s</w:t>
      </w:r>
      <w:r>
        <w:rPr>
          <w:rFonts w:cs="Calibri" w:ascii="Titillium" w:hAnsi="Titillium"/>
          <w:sz w:val="18"/>
          <w:szCs w:val="18"/>
          <w:shd w:fill="FFFFFF" w:val="clear"/>
        </w:rPr>
        <w:t xml:space="preserve">tazione appaltante, presentano un’offerta migliorativa sul prezzo entro 5 giorni. La richiesta è effettuata secondo le modalità previste al paragrafo 2.3. </w:t>
      </w:r>
    </w:p>
    <w:p>
      <w:pPr>
        <w:pStyle w:val="Normal"/>
        <w:spacing w:before="60" w:after="60"/>
        <w:rPr>
          <w:highlight w:val="none"/>
          <w:shd w:fill="FFFFFF" w:val="clear"/>
        </w:rPr>
      </w:pPr>
      <w:r>
        <w:rPr>
          <w:rFonts w:cs="Calibri" w:ascii="Titillium" w:hAnsi="Titillium"/>
          <w:sz w:val="18"/>
          <w:szCs w:val="18"/>
          <w:shd w:fill="FFFFFF" w:val="clear"/>
        </w:rPr>
        <w:t xml:space="preserve">È collocato primo in graduatoria il concorrente che ha presentato la migliore offerta. Ove permanga </w:t>
      </w:r>
      <w:r>
        <w:rPr>
          <w:rFonts w:cs="Calibri" w:ascii="Titillium" w:hAnsi="Titillium"/>
          <w:i/>
          <w:iCs/>
          <w:sz w:val="18"/>
          <w:szCs w:val="18"/>
          <w:shd w:fill="FFFFFF" w:val="clear"/>
        </w:rPr>
        <w:t>l’ex aequo</w:t>
      </w:r>
      <w:r>
        <w:rPr>
          <w:rFonts w:cs="Calibri" w:ascii="Titillium" w:hAnsi="Titillium"/>
          <w:sz w:val="18"/>
          <w:szCs w:val="18"/>
          <w:shd w:fill="FFFFFF" w:val="clear"/>
        </w:rPr>
        <w:t xml:space="preserve"> la commissione procede mediante sorteggio </w:t>
      </w:r>
      <w:r>
        <w:rPr>
          <w:rFonts w:ascii="Titillium" w:hAnsi="Titillium"/>
          <w:sz w:val="18"/>
          <w:szCs w:val="18"/>
          <w:shd w:fill="FFFFFF" w:val="clear"/>
        </w:rPr>
        <w:t>ad individuare il concorrente che verrà collocato primo nella graduatoria.</w:t>
      </w:r>
    </w:p>
    <w:p>
      <w:pPr>
        <w:pStyle w:val="Normal"/>
        <w:spacing w:before="60" w:after="60"/>
        <w:rPr>
          <w:highlight w:val="none"/>
          <w:shd w:fill="FFFFFF" w:val="clear"/>
        </w:rPr>
      </w:pPr>
      <w:r>
        <w:rPr>
          <w:rFonts w:ascii="Titillium" w:hAnsi="Titillium"/>
          <w:sz w:val="18"/>
          <w:szCs w:val="18"/>
          <w:shd w:fill="FFFFFF" w:val="clear"/>
        </w:rPr>
        <w:t>La data e l’ora in cui si procede al sorteggio sono comunicate tramite la PAD secondo le modalità previste al paragrafo 2.3.</w:t>
      </w:r>
    </w:p>
    <w:p>
      <w:pPr>
        <w:pStyle w:val="Normal"/>
        <w:spacing w:before="60" w:after="60"/>
        <w:rPr>
          <w:highlight w:val="none"/>
          <w:shd w:fill="FFFFFF" w:val="clear"/>
        </w:rPr>
      </w:pPr>
      <w:r>
        <w:rPr>
          <w:rFonts w:cs="Calibri" w:ascii="Titillium" w:hAnsi="Titillium"/>
          <w:sz w:val="18"/>
          <w:szCs w:val="18"/>
          <w:shd w:fill="FFFFFF" w:val="clear"/>
        </w:rPr>
        <w:t>La commissione giudicatrice rende visibile ai concorrenti i prezzi offerti.</w:t>
      </w:r>
    </w:p>
    <w:p>
      <w:pPr>
        <w:pStyle w:val="Normal"/>
        <w:spacing w:before="60" w:after="60"/>
        <w:rPr/>
      </w:pPr>
      <w:r>
        <w:rPr>
          <w:rFonts w:cs="Calibri" w:ascii="Titillium" w:hAnsi="Titillium"/>
          <w:sz w:val="18"/>
          <w:szCs w:val="18"/>
          <w:shd w:fill="FFFFFF" w:val="clear"/>
        </w:rPr>
        <w:t>All’esito delle operazioni di cui sopra, La commissione giudicatrice redige la graduator</w:t>
      </w:r>
      <w:r>
        <w:rPr>
          <w:rFonts w:cs="Calibri" w:ascii="Titillium" w:hAnsi="Titillium"/>
          <w:sz w:val="18"/>
          <w:szCs w:val="18"/>
        </w:rPr>
        <w:t>ia.</w:t>
      </w:r>
    </w:p>
    <w:p>
      <w:pPr>
        <w:pStyle w:val="Normal"/>
        <w:spacing w:before="60" w:after="60"/>
        <w:rPr/>
      </w:pPr>
      <w:r>
        <w:rPr>
          <w:rFonts w:cs="Calibri" w:ascii="Titillium" w:hAnsi="Titillium"/>
          <w:sz w:val="18"/>
          <w:szCs w:val="18"/>
        </w:rPr>
        <w:t>L’offerta è esclusa in caso di:</w:t>
      </w:r>
    </w:p>
    <w:p>
      <w:pPr>
        <w:pStyle w:val="ListParagraph"/>
        <w:numPr>
          <w:ilvl w:val="0"/>
          <w:numId w:val="43"/>
        </w:numPr>
        <w:spacing w:before="60" w:after="60"/>
        <w:ind w:hanging="360" w:left="426"/>
        <w:contextualSpacing w:val="false"/>
        <w:rPr>
          <w:rFonts w:ascii="Titillium" w:hAnsi="Titillium" w:cs="Calibri"/>
          <w:sz w:val="18"/>
          <w:szCs w:val="18"/>
        </w:rPr>
      </w:pPr>
      <w:r>
        <w:rPr>
          <w:rFonts w:cs="Calibri" w:ascii="Titillium" w:hAnsi="Titillium"/>
          <w:sz w:val="18"/>
          <w:szCs w:val="18"/>
        </w:rPr>
        <w:t>mancata separazione dell’offerta economica dall’offerta tecnica, ovvero inserimento di elementi concernenti il prezzo nella documentazione amministrativa o nell’offerta tecnica;</w:t>
      </w:r>
    </w:p>
    <w:p>
      <w:pPr>
        <w:pStyle w:val="ListParagraph"/>
        <w:numPr>
          <w:ilvl w:val="0"/>
          <w:numId w:val="44"/>
        </w:numPr>
        <w:spacing w:before="60" w:after="60"/>
        <w:ind w:hanging="360" w:left="426"/>
        <w:contextualSpacing w:val="false"/>
        <w:rPr/>
      </w:pPr>
      <w:r>
        <w:rPr>
          <w:rFonts w:cs="Calibri" w:ascii="Titillium" w:hAnsi="Titillium"/>
          <w:sz w:val="18"/>
          <w:szCs w:val="18"/>
        </w:rPr>
        <w:t>presentazione di</w:t>
      </w:r>
      <w:r>
        <w:rPr>
          <w:rFonts w:cs="Calibri" w:ascii="Titillium" w:hAnsi="Titillium"/>
          <w:b/>
          <w:sz w:val="18"/>
          <w:szCs w:val="18"/>
        </w:rPr>
        <w:t xml:space="preserve"> </w:t>
      </w:r>
      <w:r>
        <w:rPr>
          <w:rFonts w:cs="Calibri" w:ascii="Titillium" w:hAnsi="Titillium"/>
          <w:sz w:val="18"/>
          <w:szCs w:val="18"/>
        </w:rPr>
        <w:t>offerte parziali, plurime, condizionate, alternative oppure irregolari in quanto non rispettano i documenti di gara, ivi comprese le specifiche tecniche, o anormalmente basse;</w:t>
      </w:r>
    </w:p>
    <w:p>
      <w:pPr>
        <w:pStyle w:val="ListParagraph"/>
        <w:numPr>
          <w:ilvl w:val="0"/>
          <w:numId w:val="45"/>
        </w:numPr>
        <w:spacing w:before="60" w:after="60"/>
        <w:ind w:hanging="360" w:left="426"/>
        <w:contextualSpacing w:val="false"/>
        <w:rPr>
          <w:rFonts w:ascii="Titillium" w:hAnsi="Titillium" w:cs="Calibri"/>
          <w:sz w:val="18"/>
          <w:szCs w:val="18"/>
        </w:rPr>
      </w:pPr>
      <w:r>
        <w:rPr>
          <w:rFonts w:cs="Calibri" w:ascii="Titillium" w:hAnsi="Titillium"/>
          <w:sz w:val="18"/>
          <w:szCs w:val="18"/>
        </w:rPr>
        <w:t>presentazione di offerte inammissibili in quanto la commissione giudicatrice ha ritenuto sussistenti gli estremi per l’informativa alla Procura della Repubblica per reati di corruzione o fenomeni collusivi o ha verificato essere in aumento rispetto all’importo a base di gara nei casi in cui il bando che non abbia previsto espressamente tale possibilità.</w:t>
      </w:r>
    </w:p>
    <w:p>
      <w:pPr>
        <w:pStyle w:val="Normal"/>
        <w:spacing w:before="60" w:after="60"/>
        <w:ind w:left="66"/>
        <w:rPr/>
      </w:pPr>
      <w:r>
        <w:rPr/>
      </w:r>
    </w:p>
    <w:p>
      <w:pPr>
        <w:pStyle w:val="Heading2"/>
        <w:numPr>
          <w:ilvl w:val="0"/>
          <w:numId w:val="3"/>
        </w:numPr>
        <w:rPr/>
      </w:pPr>
      <w:bookmarkStart w:id="2023" w:name="__RefHeading___Toc11762_2735037374"/>
      <w:bookmarkStart w:id="2024" w:name="_Toc207275765"/>
      <w:bookmarkStart w:id="2025" w:name="_Toc380501884"/>
      <w:bookmarkStart w:id="2026" w:name="_Toc391035997"/>
      <w:bookmarkStart w:id="2027" w:name="_Toc391036070"/>
      <w:bookmarkStart w:id="2028" w:name="_Toc392577511"/>
      <w:bookmarkStart w:id="2029" w:name="_Toc393110578"/>
      <w:bookmarkStart w:id="2030" w:name="_Toc393112142"/>
      <w:bookmarkStart w:id="2031" w:name="_Toc393187859"/>
      <w:bookmarkStart w:id="2032" w:name="_Toc393272615"/>
      <w:bookmarkStart w:id="2033" w:name="_Toc393272673"/>
      <w:bookmarkStart w:id="2034" w:name="_Toc393283189"/>
      <w:bookmarkStart w:id="2035" w:name="_Toc393700848"/>
      <w:bookmarkStart w:id="2036" w:name="_Toc393706921"/>
      <w:bookmarkStart w:id="2037" w:name="_Toc397346836"/>
      <w:bookmarkStart w:id="2038" w:name="_Toc397422877"/>
      <w:bookmarkStart w:id="2039" w:name="_Toc403471284"/>
      <w:bookmarkStart w:id="2040" w:name="_Toc406058392"/>
      <w:bookmarkStart w:id="2041" w:name="_Toc406754193"/>
      <w:bookmarkStart w:id="2042" w:name="_Toc416423376"/>
      <w:bookmarkStart w:id="2043" w:name="_Toc381776132"/>
      <w:bookmarkStart w:id="2044" w:name="_Toc3539903981"/>
      <w:bookmarkStart w:id="2045" w:name="_Toc483907003"/>
      <w:bookmarkStart w:id="2046" w:name="_Toc484010753"/>
      <w:bookmarkStart w:id="2047" w:name="_Toc484010875"/>
      <w:bookmarkStart w:id="2048" w:name="_Toc484010999"/>
      <w:bookmarkStart w:id="2049" w:name="_Toc484011121"/>
      <w:bookmarkStart w:id="2050" w:name="_Toc484011243"/>
      <w:bookmarkStart w:id="2051" w:name="_Toc484011718"/>
      <w:bookmarkStart w:id="2052" w:name="_Toc484097792"/>
      <w:bookmarkStart w:id="2053" w:name="_Toc484428966"/>
      <w:bookmarkStart w:id="2054" w:name="_Toc484429136"/>
      <w:bookmarkStart w:id="2055" w:name="_Toc484438711"/>
      <w:bookmarkStart w:id="2056" w:name="_Toc484438835"/>
      <w:bookmarkStart w:id="2057" w:name="_Toc484438959"/>
      <w:bookmarkStart w:id="2058" w:name="_Toc484439879"/>
      <w:bookmarkStart w:id="2059" w:name="_Toc484440002"/>
      <w:bookmarkStart w:id="2060" w:name="_Toc484440126"/>
      <w:bookmarkStart w:id="2061" w:name="_Toc484440486"/>
      <w:bookmarkStart w:id="2062" w:name="_Toc484448146"/>
      <w:bookmarkStart w:id="2063" w:name="_Toc484448270"/>
      <w:bookmarkStart w:id="2064" w:name="_Toc484448394"/>
      <w:bookmarkStart w:id="2065" w:name="_Toc484448518"/>
      <w:bookmarkStart w:id="2066" w:name="_Toc484448642"/>
      <w:bookmarkStart w:id="2067" w:name="_Toc484448766"/>
      <w:bookmarkStart w:id="2068" w:name="_Toc484448889"/>
      <w:bookmarkStart w:id="2069" w:name="_Toc484449013"/>
      <w:bookmarkStart w:id="2070" w:name="_Toc484449137"/>
      <w:bookmarkStart w:id="2071" w:name="_Toc484526632"/>
      <w:bookmarkStart w:id="2072" w:name="_Toc484605352"/>
      <w:bookmarkStart w:id="2073" w:name="_Toc484605476"/>
      <w:bookmarkStart w:id="2074" w:name="_Toc484688345"/>
      <w:bookmarkStart w:id="2075" w:name="_Toc484688900"/>
      <w:bookmarkStart w:id="2076" w:name="_Toc485218335"/>
      <w:bookmarkStart w:id="2077" w:name="_Toc381775856"/>
      <w:bookmarkEnd w:id="2023"/>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t>VERIFICA DI ANOMALIA DELLE OFFERTE</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Normal"/>
        <w:spacing w:before="60" w:after="60"/>
        <w:rPr>
          <w:rFonts w:ascii="Titillium" w:hAnsi="Titillium" w:cs="Calibri"/>
          <w:sz w:val="18"/>
          <w:szCs w:val="18"/>
        </w:rPr>
      </w:pPr>
      <w:r>
        <w:rPr>
          <w:rFonts w:cs="Calibri" w:ascii="Titillium" w:hAnsi="Titillium"/>
          <w:sz w:val="18"/>
          <w:szCs w:val="18"/>
        </w:rPr>
        <w:t>La stazione appaltante sottoporrà a verifica l’offerta più bassa.</w:t>
      </w:r>
    </w:p>
    <w:p>
      <w:pPr>
        <w:pStyle w:val="Normal"/>
        <w:spacing w:before="60" w:after="60"/>
        <w:rPr>
          <w:rFonts w:ascii="Titillium" w:hAnsi="Titillium" w:cs="Calibri"/>
          <w:sz w:val="18"/>
          <w:szCs w:val="18"/>
        </w:rPr>
      </w:pPr>
      <w:r>
        <w:rPr>
          <w:rFonts w:cs="Calibri" w:ascii="Titillium" w:hAnsi="Titillium"/>
          <w:sz w:val="18"/>
          <w:szCs w:val="18"/>
        </w:rPr>
        <w:t>Nel caso in cui la prima migliore offerta appaia anormalmente bassa, il RUPA ne valuta la congruità, serietà, sostenibilità e realizzabilità.</w:t>
      </w:r>
    </w:p>
    <w:p>
      <w:pPr>
        <w:pStyle w:val="Normal"/>
        <w:spacing w:before="60" w:after="60"/>
        <w:rPr>
          <w:rFonts w:ascii="Titillium" w:hAnsi="Titillium" w:cs="Calibri"/>
          <w:sz w:val="18"/>
          <w:szCs w:val="18"/>
        </w:rPr>
      </w:pPr>
      <w:r>
        <w:rPr>
          <w:rFonts w:cs="Calibri" w:ascii="Titillium" w:hAnsi="Titillium"/>
          <w:sz w:val="18"/>
          <w:szCs w:val="18"/>
        </w:rPr>
        <w:t xml:space="preserve">Qualora tale offerta risulti anomala, si procede con le stesse modalità nei confronti delle successive offerte ritenute anormalmente basse, fino ad individuare la migliore offerta ritenuta non anomala. </w:t>
      </w:r>
    </w:p>
    <w:p>
      <w:pPr>
        <w:pStyle w:val="Normal"/>
        <w:spacing w:before="60" w:after="60"/>
        <w:rPr>
          <w:rFonts w:ascii="Titillium" w:hAnsi="Titillium" w:cs="Calibri"/>
          <w:sz w:val="18"/>
          <w:szCs w:val="18"/>
        </w:rPr>
      </w:pPr>
      <w:r>
        <w:rPr>
          <w:rFonts w:cs="Calibri" w:ascii="Titillium" w:hAnsi="Titillium"/>
          <w:sz w:val="18"/>
          <w:szCs w:val="18"/>
        </w:rPr>
        <w:t xml:space="preserve">Il concorrente allega, in sede di presentazione dell’offerta economica, le giustificazioni relative alle voci di prezzo e di costo. La mancata presentazione anticipata delle giustificazioni non è causa di esclusione. </w:t>
      </w:r>
    </w:p>
    <w:p>
      <w:pPr>
        <w:pStyle w:val="Normal"/>
        <w:spacing w:before="60" w:after="60"/>
        <w:rPr>
          <w:rFonts w:ascii="Titillium" w:hAnsi="Titillium" w:cs="Calibri"/>
          <w:sz w:val="18"/>
          <w:szCs w:val="18"/>
        </w:rPr>
      </w:pPr>
      <w:r>
        <w:rPr>
          <w:rFonts w:cs="Calibri" w:ascii="Titillium" w:hAnsi="Titillium"/>
          <w:sz w:val="18"/>
          <w:szCs w:val="18"/>
        </w:rPr>
        <w:t>Il RUPA, esaminate le spiegazioni fornite dall’offerente, ove le ritenga non sufficienti ad escludere l’anomalia, può chiedere, anche mediante audizione orale, ulteriori chiarimenti, assegnando un termine perentorio per il riscontro.</w:t>
      </w:r>
    </w:p>
    <w:p>
      <w:pPr>
        <w:pStyle w:val="Normal"/>
        <w:spacing w:before="60" w:after="60"/>
        <w:rPr>
          <w:rFonts w:ascii="Titillium" w:hAnsi="Titillium" w:cs="Calibri"/>
          <w:sz w:val="18"/>
          <w:szCs w:val="18"/>
        </w:rPr>
      </w:pPr>
      <w:r>
        <w:rPr>
          <w:rFonts w:cs="Calibri" w:ascii="Titillium" w:hAnsi="Titillium"/>
          <w:sz w:val="18"/>
          <w:szCs w:val="18"/>
        </w:rPr>
        <w:t>Il RUPA esclude le offerte che, in base all’esame degli elementi forniti con le spiegazioni risultino, nel complesso, inaffidabili.</w:t>
      </w:r>
    </w:p>
    <w:p>
      <w:pPr>
        <w:pStyle w:val="ListParagraph"/>
        <w:ind w:left="0"/>
        <w:rPr>
          <w:rFonts w:ascii="Titillium" w:hAnsi="Titillium" w:eastAsia="SimSun"/>
          <w:sz w:val="18"/>
          <w:szCs w:val="18"/>
        </w:rPr>
      </w:pPr>
      <w:r>
        <w:rPr>
          <w:rFonts w:eastAsia="SimSun" w:ascii="Titillium" w:hAnsi="Titillium"/>
          <w:sz w:val="18"/>
          <w:szCs w:val="18"/>
        </w:rPr>
      </w:r>
    </w:p>
    <w:p>
      <w:pPr>
        <w:pStyle w:val="Heading2"/>
        <w:numPr>
          <w:ilvl w:val="0"/>
          <w:numId w:val="3"/>
        </w:numPr>
        <w:rPr/>
      </w:pPr>
      <w:bookmarkStart w:id="2078" w:name="__RefHeading___Toc11764_2735037374"/>
      <w:bookmarkStart w:id="2079" w:name="_Toc207275767"/>
      <w:bookmarkStart w:id="2080" w:name="_Ref498613645"/>
      <w:bookmarkStart w:id="2081" w:name="_Toc484688913"/>
      <w:bookmarkStart w:id="2082" w:name="_Toc485218348"/>
      <w:bookmarkStart w:id="2083" w:name="_Toc482025756"/>
      <w:bookmarkStart w:id="2084" w:name="_Toc482097580"/>
      <w:bookmarkStart w:id="2085" w:name="_Toc482097669"/>
      <w:bookmarkStart w:id="2086" w:name="_Toc482097758"/>
      <w:bookmarkStart w:id="2087" w:name="_Toc482097950"/>
      <w:bookmarkStart w:id="2088" w:name="_Toc482099052"/>
      <w:bookmarkStart w:id="2089" w:name="_Toc482100769"/>
      <w:bookmarkStart w:id="2090" w:name="_Toc482100926"/>
      <w:bookmarkStart w:id="2091" w:name="_Toc482101352"/>
      <w:bookmarkStart w:id="2092" w:name="_Toc482101489"/>
      <w:bookmarkStart w:id="2093" w:name="_Toc482101604"/>
      <w:bookmarkStart w:id="2094" w:name="_Toc482101779"/>
      <w:bookmarkStart w:id="2095" w:name="_Toc482101872"/>
      <w:bookmarkStart w:id="2096" w:name="_Toc482101967"/>
      <w:bookmarkStart w:id="2097" w:name="_Toc482102062"/>
      <w:bookmarkStart w:id="2098" w:name="_Toc482102156"/>
      <w:bookmarkStart w:id="2099" w:name="_Toc482352020"/>
      <w:bookmarkStart w:id="2100" w:name="_Toc482352110"/>
      <w:bookmarkStart w:id="2101" w:name="_Toc482352200"/>
      <w:bookmarkStart w:id="2102" w:name="_Toc482352290"/>
      <w:bookmarkStart w:id="2103" w:name="_Toc482633131"/>
      <w:bookmarkStart w:id="2104" w:name="_Toc482641308"/>
      <w:bookmarkStart w:id="2105" w:name="_Toc482712754"/>
      <w:bookmarkStart w:id="2106" w:name="_Toc482959542"/>
      <w:bookmarkStart w:id="2107" w:name="_Toc482959652"/>
      <w:bookmarkStart w:id="2108" w:name="_Toc482959762"/>
      <w:bookmarkStart w:id="2109" w:name="_Toc482978881"/>
      <w:bookmarkStart w:id="2110" w:name="_Toc482978990"/>
      <w:bookmarkStart w:id="2111" w:name="_Toc482979098"/>
      <w:bookmarkStart w:id="2112" w:name="_Toc482979209"/>
      <w:bookmarkStart w:id="2113" w:name="_Toc482979318"/>
      <w:bookmarkStart w:id="2114" w:name="_Toc482979427"/>
      <w:bookmarkStart w:id="2115" w:name="_Toc482979535"/>
      <w:bookmarkStart w:id="2116" w:name="_Toc482979633"/>
      <w:bookmarkStart w:id="2117" w:name="_Toc482979731"/>
      <w:bookmarkStart w:id="2118" w:name="_Toc483233691"/>
      <w:bookmarkStart w:id="2119" w:name="_Toc483302408"/>
      <w:bookmarkStart w:id="2120" w:name="_Toc483316029"/>
      <w:bookmarkStart w:id="2121" w:name="_Toc483316234"/>
      <w:bookmarkStart w:id="2122" w:name="_Toc483316366"/>
      <w:bookmarkStart w:id="2123" w:name="_Toc483316497"/>
      <w:bookmarkStart w:id="2124" w:name="_Toc483325800"/>
      <w:bookmarkStart w:id="2125" w:name="_Toc483401278"/>
      <w:bookmarkStart w:id="2126" w:name="_Toc483474074"/>
      <w:bookmarkStart w:id="2127" w:name="_Toc483571505"/>
      <w:bookmarkStart w:id="2128" w:name="_Toc483571627"/>
      <w:bookmarkStart w:id="2129" w:name="_Toc483907005"/>
      <w:bookmarkStart w:id="2130" w:name="_Toc484010755"/>
      <w:bookmarkStart w:id="2131" w:name="_Toc484010877"/>
      <w:bookmarkStart w:id="2132" w:name="_Toc484011001"/>
      <w:bookmarkStart w:id="2133" w:name="_Toc484011123"/>
      <w:bookmarkStart w:id="2134" w:name="_Toc484011245"/>
      <w:bookmarkStart w:id="2135" w:name="_Toc484011720"/>
      <w:bookmarkStart w:id="2136" w:name="_Toc484097794"/>
      <w:bookmarkStart w:id="2137" w:name="_Toc484428968"/>
      <w:bookmarkStart w:id="2138" w:name="_Toc484429138"/>
      <w:bookmarkStart w:id="2139" w:name="_Toc484438713"/>
      <w:bookmarkStart w:id="2140" w:name="_Toc484438837"/>
      <w:bookmarkStart w:id="2141" w:name="_Toc484438961"/>
      <w:bookmarkStart w:id="2142" w:name="_Toc484439881"/>
      <w:bookmarkStart w:id="2143" w:name="_Toc484440004"/>
      <w:bookmarkStart w:id="2144" w:name="_Toc484440128"/>
      <w:bookmarkStart w:id="2145" w:name="_Toc484440488"/>
      <w:bookmarkStart w:id="2146" w:name="_Toc484448148"/>
      <w:bookmarkStart w:id="2147" w:name="_Toc484448272"/>
      <w:bookmarkStart w:id="2148" w:name="_Toc484448396"/>
      <w:bookmarkStart w:id="2149" w:name="_Toc484448520"/>
      <w:bookmarkStart w:id="2150" w:name="_Toc484448644"/>
      <w:bookmarkStart w:id="2151" w:name="_Toc484448768"/>
      <w:bookmarkStart w:id="2152" w:name="_Toc484448891"/>
      <w:bookmarkStart w:id="2153" w:name="_Toc484449015"/>
      <w:bookmarkStart w:id="2154" w:name="_Toc484449139"/>
      <w:bookmarkStart w:id="2155" w:name="_Toc484526634"/>
      <w:bookmarkStart w:id="2156" w:name="_Toc484605354"/>
      <w:bookmarkStart w:id="2157" w:name="_Toc484605478"/>
      <w:bookmarkStart w:id="2158" w:name="_Toc484688347"/>
      <w:bookmarkStart w:id="2159" w:name="_Toc484688902"/>
      <w:bookmarkStart w:id="2160" w:name="_Toc485218337"/>
      <w:bookmarkStart w:id="2161" w:name="_Toc482025757"/>
      <w:bookmarkStart w:id="2162" w:name="_Toc482097581"/>
      <w:bookmarkStart w:id="2163" w:name="_Toc482097670"/>
      <w:bookmarkStart w:id="2164" w:name="_Toc482097759"/>
      <w:bookmarkStart w:id="2165" w:name="_Toc482097951"/>
      <w:bookmarkStart w:id="2166" w:name="_Toc482099053"/>
      <w:bookmarkStart w:id="2167" w:name="_Toc482100770"/>
      <w:bookmarkStart w:id="2168" w:name="_Toc482100927"/>
      <w:bookmarkStart w:id="2169" w:name="_Toc482101353"/>
      <w:bookmarkStart w:id="2170" w:name="_Toc482101490"/>
      <w:bookmarkStart w:id="2171" w:name="_Toc482101605"/>
      <w:bookmarkStart w:id="2172" w:name="_Toc482101780"/>
      <w:bookmarkStart w:id="2173" w:name="_Toc482101873"/>
      <w:bookmarkStart w:id="2174" w:name="_Toc482101968"/>
      <w:bookmarkStart w:id="2175" w:name="_Toc482102063"/>
      <w:bookmarkStart w:id="2176" w:name="_Toc482102157"/>
      <w:bookmarkStart w:id="2177" w:name="_Toc482352021"/>
      <w:bookmarkStart w:id="2178" w:name="_Toc482352111"/>
      <w:bookmarkStart w:id="2179" w:name="_Toc482352201"/>
      <w:bookmarkStart w:id="2180" w:name="_Toc482352291"/>
      <w:bookmarkStart w:id="2181" w:name="_Toc482633132"/>
      <w:bookmarkStart w:id="2182" w:name="_Toc482641309"/>
      <w:bookmarkStart w:id="2183" w:name="_Toc482712755"/>
      <w:bookmarkStart w:id="2184" w:name="_Toc482959543"/>
      <w:bookmarkStart w:id="2185" w:name="_Toc482959653"/>
      <w:bookmarkStart w:id="2186" w:name="_Toc482959763"/>
      <w:bookmarkStart w:id="2187" w:name="_Toc482978882"/>
      <w:bookmarkStart w:id="2188" w:name="_Toc482978991"/>
      <w:bookmarkStart w:id="2189" w:name="_Toc482979099"/>
      <w:bookmarkStart w:id="2190" w:name="_Toc482979210"/>
      <w:bookmarkStart w:id="2191" w:name="_Toc482979319"/>
      <w:bookmarkStart w:id="2192" w:name="_Toc482979428"/>
      <w:bookmarkStart w:id="2193" w:name="_Toc482979536"/>
      <w:bookmarkStart w:id="2194" w:name="_Toc482979634"/>
      <w:bookmarkStart w:id="2195" w:name="_Toc482979732"/>
      <w:bookmarkStart w:id="2196" w:name="_Toc483233692"/>
      <w:bookmarkStart w:id="2197" w:name="_Toc483302409"/>
      <w:bookmarkStart w:id="2198" w:name="_Toc483316030"/>
      <w:bookmarkStart w:id="2199" w:name="_Toc483316235"/>
      <w:bookmarkStart w:id="2200" w:name="_Toc483316367"/>
      <w:bookmarkStart w:id="2201" w:name="_Toc483316498"/>
      <w:bookmarkStart w:id="2202" w:name="_Toc483325801"/>
      <w:bookmarkStart w:id="2203" w:name="_Toc483401279"/>
      <w:bookmarkStart w:id="2204" w:name="_Toc483474075"/>
      <w:bookmarkStart w:id="2205" w:name="_Toc483571506"/>
      <w:bookmarkStart w:id="2206" w:name="_Toc483571628"/>
      <w:bookmarkStart w:id="2207" w:name="_Toc483907006"/>
      <w:bookmarkStart w:id="2208" w:name="_Toc484010756"/>
      <w:bookmarkStart w:id="2209" w:name="_Toc484010878"/>
      <w:bookmarkStart w:id="2210" w:name="_Toc484011002"/>
      <w:bookmarkStart w:id="2211" w:name="_Toc484011124"/>
      <w:bookmarkStart w:id="2212" w:name="_Toc484011246"/>
      <w:bookmarkStart w:id="2213" w:name="_Toc484011721"/>
      <w:bookmarkStart w:id="2214" w:name="_Toc484097795"/>
      <w:bookmarkStart w:id="2215" w:name="_Toc484428969"/>
      <w:bookmarkStart w:id="2216" w:name="_Toc484429139"/>
      <w:bookmarkStart w:id="2217" w:name="_Toc484438714"/>
      <w:bookmarkStart w:id="2218" w:name="_Toc484438838"/>
      <w:bookmarkStart w:id="2219" w:name="_Toc484438962"/>
      <w:bookmarkStart w:id="2220" w:name="_Toc484439882"/>
      <w:bookmarkStart w:id="2221" w:name="_Toc484440005"/>
      <w:bookmarkStart w:id="2222" w:name="_Toc484440129"/>
      <w:bookmarkStart w:id="2223" w:name="_Toc484440489"/>
      <w:bookmarkStart w:id="2224" w:name="_Toc484448149"/>
      <w:bookmarkStart w:id="2225" w:name="_Toc484448273"/>
      <w:bookmarkStart w:id="2226" w:name="_Toc484448397"/>
      <w:bookmarkStart w:id="2227" w:name="_Toc484448521"/>
      <w:bookmarkStart w:id="2228" w:name="_Toc484448645"/>
      <w:bookmarkStart w:id="2229" w:name="_Toc484448769"/>
      <w:bookmarkStart w:id="2230" w:name="_Toc484448892"/>
      <w:bookmarkStart w:id="2231" w:name="_Toc484449016"/>
      <w:bookmarkStart w:id="2232" w:name="_Toc484449140"/>
      <w:bookmarkStart w:id="2233" w:name="_Toc484526635"/>
      <w:bookmarkStart w:id="2234" w:name="_Toc484605355"/>
      <w:bookmarkStart w:id="2235" w:name="_Toc484605479"/>
      <w:bookmarkStart w:id="2236" w:name="_Toc484688348"/>
      <w:bookmarkStart w:id="2237" w:name="_Toc484688903"/>
      <w:bookmarkStart w:id="2238" w:name="_Toc485218338"/>
      <w:bookmarkStart w:id="2239" w:name="_Toc482025758"/>
      <w:bookmarkStart w:id="2240" w:name="_Toc482097582"/>
      <w:bookmarkStart w:id="2241" w:name="_Toc482097671"/>
      <w:bookmarkStart w:id="2242" w:name="_Toc482097760"/>
      <w:bookmarkStart w:id="2243" w:name="_Toc482097952"/>
      <w:bookmarkStart w:id="2244" w:name="_Toc482099054"/>
      <w:bookmarkStart w:id="2245" w:name="_Toc482100771"/>
      <w:bookmarkStart w:id="2246" w:name="_Toc482100928"/>
      <w:bookmarkStart w:id="2247" w:name="_Toc482101354"/>
      <w:bookmarkStart w:id="2248" w:name="_Toc482101491"/>
      <w:bookmarkStart w:id="2249" w:name="_Toc482101606"/>
      <w:bookmarkStart w:id="2250" w:name="_Toc482101781"/>
      <w:bookmarkStart w:id="2251" w:name="_Toc482101874"/>
      <w:bookmarkStart w:id="2252" w:name="_Toc482101969"/>
      <w:bookmarkStart w:id="2253" w:name="_Toc482102064"/>
      <w:bookmarkStart w:id="2254" w:name="_Toc482102158"/>
      <w:bookmarkStart w:id="2255" w:name="_Toc482352022"/>
      <w:bookmarkStart w:id="2256" w:name="_Toc482352112"/>
      <w:bookmarkStart w:id="2257" w:name="_Toc482352202"/>
      <w:bookmarkStart w:id="2258" w:name="_Toc482352292"/>
      <w:bookmarkStart w:id="2259" w:name="_Toc482633133"/>
      <w:bookmarkStart w:id="2260" w:name="_Toc482641310"/>
      <w:bookmarkStart w:id="2261" w:name="_Toc482712756"/>
      <w:bookmarkStart w:id="2262" w:name="_Toc482959544"/>
      <w:bookmarkStart w:id="2263" w:name="_Toc482959654"/>
      <w:bookmarkStart w:id="2264" w:name="_Toc482959764"/>
      <w:bookmarkStart w:id="2265" w:name="_Toc482978883"/>
      <w:bookmarkStart w:id="2266" w:name="_Toc482978992"/>
      <w:bookmarkStart w:id="2267" w:name="_Toc482979100"/>
      <w:bookmarkStart w:id="2268" w:name="_Toc482979211"/>
      <w:bookmarkStart w:id="2269" w:name="_Toc482979320"/>
      <w:bookmarkStart w:id="2270" w:name="_Toc482979429"/>
      <w:bookmarkStart w:id="2271" w:name="_Toc482979537"/>
      <w:bookmarkStart w:id="2272" w:name="_Toc482979635"/>
      <w:bookmarkStart w:id="2273" w:name="_Toc482979733"/>
      <w:bookmarkStart w:id="2274" w:name="_Toc483233693"/>
      <w:bookmarkStart w:id="2275" w:name="_Toc483302410"/>
      <w:bookmarkStart w:id="2276" w:name="_Toc483316031"/>
      <w:bookmarkStart w:id="2277" w:name="_Toc483316236"/>
      <w:bookmarkStart w:id="2278" w:name="_Toc483316368"/>
      <w:bookmarkStart w:id="2279" w:name="_Toc483316499"/>
      <w:bookmarkStart w:id="2280" w:name="_Toc483325802"/>
      <w:bookmarkStart w:id="2281" w:name="_Toc483401280"/>
      <w:bookmarkStart w:id="2282" w:name="_Toc483474076"/>
      <w:bookmarkStart w:id="2283" w:name="_Toc483571507"/>
      <w:bookmarkStart w:id="2284" w:name="_Toc483571629"/>
      <w:bookmarkStart w:id="2285" w:name="_Toc483907007"/>
      <w:bookmarkStart w:id="2286" w:name="_Toc484010757"/>
      <w:bookmarkStart w:id="2287" w:name="_Toc484010879"/>
      <w:bookmarkStart w:id="2288" w:name="_Toc484011003"/>
      <w:bookmarkStart w:id="2289" w:name="_Toc484011125"/>
      <w:bookmarkStart w:id="2290" w:name="_Toc484011247"/>
      <w:bookmarkStart w:id="2291" w:name="_Toc484011722"/>
      <w:bookmarkStart w:id="2292" w:name="_Toc484097796"/>
      <w:bookmarkStart w:id="2293" w:name="_Toc484428970"/>
      <w:bookmarkStart w:id="2294" w:name="_Toc484429140"/>
      <w:bookmarkStart w:id="2295" w:name="_Toc484438715"/>
      <w:bookmarkStart w:id="2296" w:name="_Toc484438839"/>
      <w:bookmarkStart w:id="2297" w:name="_Toc484438963"/>
      <w:bookmarkStart w:id="2298" w:name="_Toc484439883"/>
      <w:bookmarkStart w:id="2299" w:name="_Toc484440006"/>
      <w:bookmarkStart w:id="2300" w:name="_Toc484440130"/>
      <w:bookmarkStart w:id="2301" w:name="_Toc484440490"/>
      <w:bookmarkStart w:id="2302" w:name="_Toc484448150"/>
      <w:bookmarkStart w:id="2303" w:name="_Toc484448274"/>
      <w:bookmarkStart w:id="2304" w:name="_Toc484448398"/>
      <w:bookmarkStart w:id="2305" w:name="_Toc484448522"/>
      <w:bookmarkStart w:id="2306" w:name="_Toc484448646"/>
      <w:bookmarkStart w:id="2307" w:name="_Toc484448770"/>
      <w:bookmarkStart w:id="2308" w:name="_Toc484448893"/>
      <w:bookmarkStart w:id="2309" w:name="_Toc484449017"/>
      <w:bookmarkStart w:id="2310" w:name="_Toc484449141"/>
      <w:bookmarkStart w:id="2311" w:name="_Toc484526636"/>
      <w:bookmarkStart w:id="2312" w:name="_Toc484605356"/>
      <w:bookmarkStart w:id="2313" w:name="_Toc484605480"/>
      <w:bookmarkStart w:id="2314" w:name="_Toc484688349"/>
      <w:bookmarkStart w:id="2315" w:name="_Toc484688904"/>
      <w:bookmarkStart w:id="2316" w:name="_Toc485218339"/>
      <w:bookmarkStart w:id="2317" w:name="_Toc482025759"/>
      <w:bookmarkStart w:id="2318" w:name="_Toc482097583"/>
      <w:bookmarkStart w:id="2319" w:name="_Toc482097672"/>
      <w:bookmarkStart w:id="2320" w:name="_Toc482097761"/>
      <w:bookmarkStart w:id="2321" w:name="_Toc482097953"/>
      <w:bookmarkStart w:id="2322" w:name="_Toc482099055"/>
      <w:bookmarkStart w:id="2323" w:name="_Toc482100772"/>
      <w:bookmarkStart w:id="2324" w:name="_Toc482100929"/>
      <w:bookmarkStart w:id="2325" w:name="_Toc482101355"/>
      <w:bookmarkStart w:id="2326" w:name="_Toc482101492"/>
      <w:bookmarkStart w:id="2327" w:name="_Toc482101607"/>
      <w:bookmarkStart w:id="2328" w:name="_Toc482101782"/>
      <w:bookmarkStart w:id="2329" w:name="_Toc482101875"/>
      <w:bookmarkStart w:id="2330" w:name="_Toc482101970"/>
      <w:bookmarkStart w:id="2331" w:name="_Toc482102065"/>
      <w:bookmarkStart w:id="2332" w:name="_Toc482102159"/>
      <w:bookmarkStart w:id="2333" w:name="_Toc482352023"/>
      <w:bookmarkStart w:id="2334" w:name="_Toc482352113"/>
      <w:bookmarkStart w:id="2335" w:name="_Toc482352203"/>
      <w:bookmarkStart w:id="2336" w:name="_Toc482352293"/>
      <w:bookmarkStart w:id="2337" w:name="_Toc482633134"/>
      <w:bookmarkStart w:id="2338" w:name="_Toc482641311"/>
      <w:bookmarkStart w:id="2339" w:name="_Toc482712757"/>
      <w:bookmarkStart w:id="2340" w:name="_Toc482959545"/>
      <w:bookmarkStart w:id="2341" w:name="_Toc482959655"/>
      <w:bookmarkStart w:id="2342" w:name="_Toc482959765"/>
      <w:bookmarkStart w:id="2343" w:name="_Toc482978884"/>
      <w:bookmarkStart w:id="2344" w:name="_Toc482978993"/>
      <w:bookmarkStart w:id="2345" w:name="_Toc482979101"/>
      <w:bookmarkStart w:id="2346" w:name="_Toc482979212"/>
      <w:bookmarkStart w:id="2347" w:name="_Toc482979321"/>
      <w:bookmarkStart w:id="2348" w:name="_Toc482979430"/>
      <w:bookmarkStart w:id="2349" w:name="_Toc482979538"/>
      <w:bookmarkStart w:id="2350" w:name="_Toc482979636"/>
      <w:bookmarkStart w:id="2351" w:name="_Toc482979734"/>
      <w:bookmarkStart w:id="2352" w:name="_Toc483233694"/>
      <w:bookmarkStart w:id="2353" w:name="_Toc483302411"/>
      <w:bookmarkStart w:id="2354" w:name="_Toc483316032"/>
      <w:bookmarkStart w:id="2355" w:name="_Toc483316237"/>
      <w:bookmarkStart w:id="2356" w:name="_Toc483316369"/>
      <w:bookmarkStart w:id="2357" w:name="_Toc483316500"/>
      <w:bookmarkStart w:id="2358" w:name="_Toc483325803"/>
      <w:bookmarkStart w:id="2359" w:name="_Toc483401281"/>
      <w:bookmarkStart w:id="2360" w:name="_Toc483474077"/>
      <w:bookmarkStart w:id="2361" w:name="_Toc483571508"/>
      <w:bookmarkStart w:id="2362" w:name="_Toc483571630"/>
      <w:bookmarkStart w:id="2363" w:name="_Toc483907008"/>
      <w:bookmarkStart w:id="2364" w:name="_Toc484010758"/>
      <w:bookmarkStart w:id="2365" w:name="_Toc484010880"/>
      <w:bookmarkStart w:id="2366" w:name="_Toc484011004"/>
      <w:bookmarkStart w:id="2367" w:name="_Toc484011126"/>
      <w:bookmarkStart w:id="2368" w:name="_Toc484011248"/>
      <w:bookmarkStart w:id="2369" w:name="_Toc484011723"/>
      <w:bookmarkStart w:id="2370" w:name="_Toc484097797"/>
      <w:bookmarkStart w:id="2371" w:name="_Toc484428971"/>
      <w:bookmarkStart w:id="2372" w:name="_Toc484429141"/>
      <w:bookmarkStart w:id="2373" w:name="_Toc484438716"/>
      <w:bookmarkStart w:id="2374" w:name="_Toc484438840"/>
      <w:bookmarkStart w:id="2375" w:name="_Toc484438964"/>
      <w:bookmarkStart w:id="2376" w:name="_Toc484439884"/>
      <w:bookmarkStart w:id="2377" w:name="_Toc484440007"/>
      <w:bookmarkStart w:id="2378" w:name="_Toc484440131"/>
      <w:bookmarkStart w:id="2379" w:name="_Toc484440491"/>
      <w:bookmarkStart w:id="2380" w:name="_Toc484448151"/>
      <w:bookmarkStart w:id="2381" w:name="_Toc484448275"/>
      <w:bookmarkStart w:id="2382" w:name="_Toc484448399"/>
      <w:bookmarkStart w:id="2383" w:name="_Toc484448523"/>
      <w:bookmarkStart w:id="2384" w:name="_Toc484448647"/>
      <w:bookmarkStart w:id="2385" w:name="_Toc484448771"/>
      <w:bookmarkStart w:id="2386" w:name="_Toc484448894"/>
      <w:bookmarkStart w:id="2387" w:name="_Toc484449018"/>
      <w:bookmarkStart w:id="2388" w:name="_Toc484449142"/>
      <w:bookmarkStart w:id="2389" w:name="_Toc484526637"/>
      <w:bookmarkStart w:id="2390" w:name="_Toc484605357"/>
      <w:bookmarkStart w:id="2391" w:name="_Toc484605481"/>
      <w:bookmarkStart w:id="2392" w:name="_Toc484688350"/>
      <w:bookmarkStart w:id="2393" w:name="_Toc484688905"/>
      <w:bookmarkStart w:id="2394" w:name="_Toc485218340"/>
      <w:bookmarkStart w:id="2395" w:name="_Toc482025760"/>
      <w:bookmarkStart w:id="2396" w:name="_Toc482097584"/>
      <w:bookmarkStart w:id="2397" w:name="_Toc482097673"/>
      <w:bookmarkStart w:id="2398" w:name="_Toc482097762"/>
      <w:bookmarkStart w:id="2399" w:name="_Toc482097954"/>
      <w:bookmarkStart w:id="2400" w:name="_Toc482099056"/>
      <w:bookmarkStart w:id="2401" w:name="_Toc482100773"/>
      <w:bookmarkStart w:id="2402" w:name="_Toc482100930"/>
      <w:bookmarkStart w:id="2403" w:name="_Toc482101356"/>
      <w:bookmarkStart w:id="2404" w:name="_Toc482101493"/>
      <w:bookmarkStart w:id="2405" w:name="_Toc482101608"/>
      <w:bookmarkStart w:id="2406" w:name="_Toc482101783"/>
      <w:bookmarkStart w:id="2407" w:name="_Toc482101876"/>
      <w:bookmarkStart w:id="2408" w:name="_Toc482101971"/>
      <w:bookmarkStart w:id="2409" w:name="_Toc482102066"/>
      <w:bookmarkStart w:id="2410" w:name="_Toc482102160"/>
      <w:bookmarkStart w:id="2411" w:name="_Toc482352024"/>
      <w:bookmarkStart w:id="2412" w:name="_Toc482352114"/>
      <w:bookmarkStart w:id="2413" w:name="_Toc482352204"/>
      <w:bookmarkStart w:id="2414" w:name="_Toc482352294"/>
      <w:bookmarkStart w:id="2415" w:name="_Toc482633135"/>
      <w:bookmarkStart w:id="2416" w:name="_Toc482641312"/>
      <w:bookmarkStart w:id="2417" w:name="_Toc482712758"/>
      <w:bookmarkStart w:id="2418" w:name="_Toc482959546"/>
      <w:bookmarkStart w:id="2419" w:name="_Toc482959656"/>
      <w:bookmarkStart w:id="2420" w:name="_Toc482959766"/>
      <w:bookmarkStart w:id="2421" w:name="_Toc482978885"/>
      <w:bookmarkStart w:id="2422" w:name="_Toc482978994"/>
      <w:bookmarkStart w:id="2423" w:name="_Toc482979102"/>
      <w:bookmarkStart w:id="2424" w:name="_Toc482979213"/>
      <w:bookmarkStart w:id="2425" w:name="_Toc482979322"/>
      <w:bookmarkStart w:id="2426" w:name="_Toc482979431"/>
      <w:bookmarkStart w:id="2427" w:name="_Toc482979539"/>
      <w:bookmarkStart w:id="2428" w:name="_Toc482979637"/>
      <w:bookmarkStart w:id="2429" w:name="_Toc482979735"/>
      <w:bookmarkStart w:id="2430" w:name="_Toc483233695"/>
      <w:bookmarkStart w:id="2431" w:name="_Toc483302412"/>
      <w:bookmarkStart w:id="2432" w:name="_Toc483316033"/>
      <w:bookmarkStart w:id="2433" w:name="_Toc483316238"/>
      <w:bookmarkStart w:id="2434" w:name="_Toc483316370"/>
      <w:bookmarkStart w:id="2435" w:name="_Toc483316501"/>
      <w:bookmarkStart w:id="2436" w:name="_Toc483325804"/>
      <w:bookmarkStart w:id="2437" w:name="_Toc483401282"/>
      <w:bookmarkStart w:id="2438" w:name="_Toc483474078"/>
      <w:bookmarkStart w:id="2439" w:name="_Toc483571509"/>
      <w:bookmarkStart w:id="2440" w:name="_Toc483571631"/>
      <w:bookmarkStart w:id="2441" w:name="_Toc483907009"/>
      <w:bookmarkStart w:id="2442" w:name="_Toc484010759"/>
      <w:bookmarkStart w:id="2443" w:name="_Toc484010881"/>
      <w:bookmarkStart w:id="2444" w:name="_Toc484011005"/>
      <w:bookmarkStart w:id="2445" w:name="_Toc484011127"/>
      <w:bookmarkStart w:id="2446" w:name="_Toc484011249"/>
      <w:bookmarkStart w:id="2447" w:name="_Toc484011724"/>
      <w:bookmarkStart w:id="2448" w:name="_Toc484097798"/>
      <w:bookmarkStart w:id="2449" w:name="_Toc484428972"/>
      <w:bookmarkStart w:id="2450" w:name="_Toc484429142"/>
      <w:bookmarkStart w:id="2451" w:name="_Toc484438717"/>
      <w:bookmarkStart w:id="2452" w:name="_Toc484438841"/>
      <w:bookmarkStart w:id="2453" w:name="_Toc484438965"/>
      <w:bookmarkStart w:id="2454" w:name="_Toc484439885"/>
      <w:bookmarkStart w:id="2455" w:name="_Toc484440008"/>
      <w:bookmarkStart w:id="2456" w:name="_Toc484440132"/>
      <w:bookmarkStart w:id="2457" w:name="_Toc484440492"/>
      <w:bookmarkStart w:id="2458" w:name="_Toc484448152"/>
      <w:bookmarkStart w:id="2459" w:name="_Toc484448276"/>
      <w:bookmarkStart w:id="2460" w:name="_Toc484448400"/>
      <w:bookmarkStart w:id="2461" w:name="_Toc484448524"/>
      <w:bookmarkStart w:id="2462" w:name="_Toc484448648"/>
      <w:bookmarkStart w:id="2463" w:name="_Toc484448772"/>
      <w:bookmarkStart w:id="2464" w:name="_Toc484448895"/>
      <w:bookmarkStart w:id="2465" w:name="_Toc484449019"/>
      <w:bookmarkStart w:id="2466" w:name="_Toc484449143"/>
      <w:bookmarkStart w:id="2467" w:name="_Toc484526638"/>
      <w:bookmarkStart w:id="2468" w:name="_Toc484605358"/>
      <w:bookmarkStart w:id="2469" w:name="_Toc484605482"/>
      <w:bookmarkStart w:id="2470" w:name="_Toc484688351"/>
      <w:bookmarkStart w:id="2471" w:name="_Toc484688906"/>
      <w:bookmarkStart w:id="2472" w:name="_Toc485218341"/>
      <w:bookmarkStart w:id="2473" w:name="_Toc482025761"/>
      <w:bookmarkStart w:id="2474" w:name="_Toc482097585"/>
      <w:bookmarkStart w:id="2475" w:name="_Toc482097674"/>
      <w:bookmarkStart w:id="2476" w:name="_Toc482097763"/>
      <w:bookmarkStart w:id="2477" w:name="_Toc482097955"/>
      <w:bookmarkStart w:id="2478" w:name="_Toc482099057"/>
      <w:bookmarkStart w:id="2479" w:name="_Toc482100774"/>
      <w:bookmarkStart w:id="2480" w:name="_Toc482100931"/>
      <w:bookmarkStart w:id="2481" w:name="_Toc482101357"/>
      <w:bookmarkStart w:id="2482" w:name="_Toc482101494"/>
      <w:bookmarkStart w:id="2483" w:name="_Toc482101609"/>
      <w:bookmarkStart w:id="2484" w:name="_Toc482101784"/>
      <w:bookmarkStart w:id="2485" w:name="_Toc482101877"/>
      <w:bookmarkStart w:id="2486" w:name="_Toc482101972"/>
      <w:bookmarkStart w:id="2487" w:name="_Toc482102067"/>
      <w:bookmarkStart w:id="2488" w:name="_Toc482102161"/>
      <w:bookmarkStart w:id="2489" w:name="_Toc482352025"/>
      <w:bookmarkStart w:id="2490" w:name="_Toc482352115"/>
      <w:bookmarkStart w:id="2491" w:name="_Toc482352205"/>
      <w:bookmarkStart w:id="2492" w:name="_Toc482352295"/>
      <w:bookmarkStart w:id="2493" w:name="_Toc482633136"/>
      <w:bookmarkStart w:id="2494" w:name="_Toc482641313"/>
      <w:bookmarkStart w:id="2495" w:name="_Toc482712759"/>
      <w:bookmarkStart w:id="2496" w:name="_Toc482959547"/>
      <w:bookmarkStart w:id="2497" w:name="_Toc482959657"/>
      <w:bookmarkStart w:id="2498" w:name="_Toc482959767"/>
      <w:bookmarkStart w:id="2499" w:name="_Toc482978886"/>
      <w:bookmarkStart w:id="2500" w:name="_Toc482978995"/>
      <w:bookmarkStart w:id="2501" w:name="_Toc482979103"/>
      <w:bookmarkStart w:id="2502" w:name="_Toc482979214"/>
      <w:bookmarkStart w:id="2503" w:name="_Toc482979323"/>
      <w:bookmarkStart w:id="2504" w:name="_Toc482979432"/>
      <w:bookmarkStart w:id="2505" w:name="_Toc482979540"/>
      <w:bookmarkStart w:id="2506" w:name="_Toc482979638"/>
      <w:bookmarkStart w:id="2507" w:name="_Toc482979736"/>
      <w:bookmarkStart w:id="2508" w:name="_Toc483233696"/>
      <w:bookmarkStart w:id="2509" w:name="_Toc483302413"/>
      <w:bookmarkStart w:id="2510" w:name="_Toc483316034"/>
      <w:bookmarkStart w:id="2511" w:name="_Toc483316239"/>
      <w:bookmarkStart w:id="2512" w:name="_Toc483316371"/>
      <w:bookmarkStart w:id="2513" w:name="_Toc483316502"/>
      <w:bookmarkStart w:id="2514" w:name="_Toc483325805"/>
      <w:bookmarkStart w:id="2515" w:name="_Toc483401283"/>
      <w:bookmarkStart w:id="2516" w:name="_Toc483474079"/>
      <w:bookmarkStart w:id="2517" w:name="_Toc483571510"/>
      <w:bookmarkStart w:id="2518" w:name="_Toc483571632"/>
      <w:bookmarkStart w:id="2519" w:name="_Toc483907010"/>
      <w:bookmarkStart w:id="2520" w:name="_Toc484010760"/>
      <w:bookmarkStart w:id="2521" w:name="_Toc484010882"/>
      <w:bookmarkStart w:id="2522" w:name="_Toc484011006"/>
      <w:bookmarkStart w:id="2523" w:name="_Toc484011128"/>
      <w:bookmarkStart w:id="2524" w:name="_Toc484011250"/>
      <w:bookmarkStart w:id="2525" w:name="_Toc484011725"/>
      <w:bookmarkStart w:id="2526" w:name="_Toc484097799"/>
      <w:bookmarkStart w:id="2527" w:name="_Toc484428973"/>
      <w:bookmarkStart w:id="2528" w:name="_Toc484429143"/>
      <w:bookmarkStart w:id="2529" w:name="_Toc484438718"/>
      <w:bookmarkStart w:id="2530" w:name="_Toc484438842"/>
      <w:bookmarkStart w:id="2531" w:name="_Toc484438966"/>
      <w:bookmarkStart w:id="2532" w:name="_Toc484439886"/>
      <w:bookmarkStart w:id="2533" w:name="_Toc484440009"/>
      <w:bookmarkStart w:id="2534" w:name="_Toc484440133"/>
      <w:bookmarkStart w:id="2535" w:name="_Toc484440493"/>
      <w:bookmarkStart w:id="2536" w:name="_Toc484448153"/>
      <w:bookmarkStart w:id="2537" w:name="_Toc484448277"/>
      <w:bookmarkStart w:id="2538" w:name="_Toc484448401"/>
      <w:bookmarkStart w:id="2539" w:name="_Toc484448525"/>
      <w:bookmarkStart w:id="2540" w:name="_Toc484448649"/>
      <w:bookmarkStart w:id="2541" w:name="_Toc484448773"/>
      <w:bookmarkStart w:id="2542" w:name="_Toc484448896"/>
      <w:bookmarkStart w:id="2543" w:name="_Toc484449020"/>
      <w:bookmarkStart w:id="2544" w:name="_Toc484449144"/>
      <w:bookmarkStart w:id="2545" w:name="_Toc484526639"/>
      <w:bookmarkStart w:id="2546" w:name="_Toc484605359"/>
      <w:bookmarkStart w:id="2547" w:name="_Toc484605483"/>
      <w:bookmarkStart w:id="2548" w:name="_Toc484688352"/>
      <w:bookmarkStart w:id="2549" w:name="_Toc484688907"/>
      <w:bookmarkStart w:id="2550" w:name="_Toc485218342"/>
      <w:bookmarkStart w:id="2551" w:name="_Toc482025762"/>
      <w:bookmarkStart w:id="2552" w:name="_Toc482097586"/>
      <w:bookmarkStart w:id="2553" w:name="_Toc482097675"/>
      <w:bookmarkStart w:id="2554" w:name="_Toc482097764"/>
      <w:bookmarkStart w:id="2555" w:name="_Toc482097956"/>
      <w:bookmarkStart w:id="2556" w:name="_Toc482099058"/>
      <w:bookmarkStart w:id="2557" w:name="_Toc482100775"/>
      <w:bookmarkStart w:id="2558" w:name="_Toc482100932"/>
      <w:bookmarkStart w:id="2559" w:name="_Toc482101358"/>
      <w:bookmarkStart w:id="2560" w:name="_Toc482101495"/>
      <w:bookmarkStart w:id="2561" w:name="_Toc482101610"/>
      <w:bookmarkStart w:id="2562" w:name="_Toc482101785"/>
      <w:bookmarkStart w:id="2563" w:name="_Toc482101878"/>
      <w:bookmarkStart w:id="2564" w:name="_Toc482101973"/>
      <w:bookmarkStart w:id="2565" w:name="_Toc482102068"/>
      <w:bookmarkStart w:id="2566" w:name="_Toc482102162"/>
      <w:bookmarkStart w:id="2567" w:name="_Toc482352026"/>
      <w:bookmarkStart w:id="2568" w:name="_Toc482352116"/>
      <w:bookmarkStart w:id="2569" w:name="_Toc482352206"/>
      <w:bookmarkStart w:id="2570" w:name="_Toc482352296"/>
      <w:bookmarkStart w:id="2571" w:name="_Toc482633137"/>
      <w:bookmarkStart w:id="2572" w:name="_Toc482641314"/>
      <w:bookmarkStart w:id="2573" w:name="_Toc482712760"/>
      <w:bookmarkStart w:id="2574" w:name="_Toc482959548"/>
      <w:bookmarkStart w:id="2575" w:name="_Toc482959658"/>
      <w:bookmarkStart w:id="2576" w:name="_Toc482959768"/>
      <w:bookmarkStart w:id="2577" w:name="_Toc482978887"/>
      <w:bookmarkStart w:id="2578" w:name="_Toc482978996"/>
      <w:bookmarkStart w:id="2579" w:name="_Toc482979104"/>
      <w:bookmarkStart w:id="2580" w:name="_Toc482979215"/>
      <w:bookmarkStart w:id="2581" w:name="_Toc482979324"/>
      <w:bookmarkStart w:id="2582" w:name="_Toc482979433"/>
      <w:bookmarkStart w:id="2583" w:name="_Toc482979541"/>
      <w:bookmarkStart w:id="2584" w:name="_Toc482979639"/>
      <w:bookmarkStart w:id="2585" w:name="_Toc482979737"/>
      <w:bookmarkStart w:id="2586" w:name="_Toc483233697"/>
      <w:bookmarkStart w:id="2587" w:name="_Toc483302414"/>
      <w:bookmarkStart w:id="2588" w:name="_Toc483316035"/>
      <w:bookmarkStart w:id="2589" w:name="_Toc483316240"/>
      <w:bookmarkStart w:id="2590" w:name="_Toc483316372"/>
      <w:bookmarkStart w:id="2591" w:name="_Toc483316503"/>
      <w:bookmarkStart w:id="2592" w:name="_Toc483325806"/>
      <w:bookmarkStart w:id="2593" w:name="_Toc483401284"/>
      <w:bookmarkStart w:id="2594" w:name="_Toc483474080"/>
      <w:bookmarkStart w:id="2595" w:name="_Toc483571511"/>
      <w:bookmarkStart w:id="2596" w:name="_Toc483571633"/>
      <w:bookmarkStart w:id="2597" w:name="_Toc483907011"/>
      <w:bookmarkStart w:id="2598" w:name="_Toc484010761"/>
      <w:bookmarkStart w:id="2599" w:name="_Toc484010883"/>
      <w:bookmarkStart w:id="2600" w:name="_Toc484011007"/>
      <w:bookmarkStart w:id="2601" w:name="_Toc484011129"/>
      <w:bookmarkStart w:id="2602" w:name="_Toc484011251"/>
      <w:bookmarkStart w:id="2603" w:name="_Toc484011726"/>
      <w:bookmarkStart w:id="2604" w:name="_Toc484097800"/>
      <w:bookmarkStart w:id="2605" w:name="_Toc484428974"/>
      <w:bookmarkStart w:id="2606" w:name="_Toc484429144"/>
      <w:bookmarkStart w:id="2607" w:name="_Toc484438719"/>
      <w:bookmarkStart w:id="2608" w:name="_Toc484438843"/>
      <w:bookmarkStart w:id="2609" w:name="_Toc484438967"/>
      <w:bookmarkStart w:id="2610" w:name="_Toc484439887"/>
      <w:bookmarkStart w:id="2611" w:name="_Toc484440010"/>
      <w:bookmarkStart w:id="2612" w:name="_Toc484440134"/>
      <w:bookmarkStart w:id="2613" w:name="_Toc484440494"/>
      <w:bookmarkStart w:id="2614" w:name="_Toc484448154"/>
      <w:bookmarkStart w:id="2615" w:name="_Toc484448278"/>
      <w:bookmarkStart w:id="2616" w:name="_Toc484448402"/>
      <w:bookmarkStart w:id="2617" w:name="_Toc484448526"/>
      <w:bookmarkStart w:id="2618" w:name="_Toc484448650"/>
      <w:bookmarkStart w:id="2619" w:name="_Toc484448774"/>
      <w:bookmarkStart w:id="2620" w:name="_Toc484448897"/>
      <w:bookmarkStart w:id="2621" w:name="_Toc484449021"/>
      <w:bookmarkStart w:id="2622" w:name="_Toc484449145"/>
      <w:bookmarkStart w:id="2623" w:name="_Toc484526640"/>
      <w:bookmarkStart w:id="2624" w:name="_Toc484605360"/>
      <w:bookmarkStart w:id="2625" w:name="_Toc484605484"/>
      <w:bookmarkStart w:id="2626" w:name="_Toc484688353"/>
      <w:bookmarkStart w:id="2627" w:name="_Toc484688908"/>
      <w:bookmarkStart w:id="2628" w:name="_Toc485218343"/>
      <w:bookmarkStart w:id="2629" w:name="_Toc482025763"/>
      <w:bookmarkStart w:id="2630" w:name="_Toc482097587"/>
      <w:bookmarkStart w:id="2631" w:name="_Toc482097676"/>
      <w:bookmarkStart w:id="2632" w:name="_Toc482097765"/>
      <w:bookmarkStart w:id="2633" w:name="_Toc482097957"/>
      <w:bookmarkStart w:id="2634" w:name="_Toc482099059"/>
      <w:bookmarkStart w:id="2635" w:name="_Toc482100776"/>
      <w:bookmarkStart w:id="2636" w:name="_Toc482100933"/>
      <w:bookmarkStart w:id="2637" w:name="_Toc482101359"/>
      <w:bookmarkStart w:id="2638" w:name="_Toc482101496"/>
      <w:bookmarkStart w:id="2639" w:name="_Toc482101611"/>
      <w:bookmarkStart w:id="2640" w:name="_Toc482101786"/>
      <w:bookmarkStart w:id="2641" w:name="_Toc482101879"/>
      <w:bookmarkStart w:id="2642" w:name="_Toc482101974"/>
      <w:bookmarkStart w:id="2643" w:name="_Toc482102069"/>
      <w:bookmarkStart w:id="2644" w:name="_Toc482102163"/>
      <w:bookmarkStart w:id="2645" w:name="_Toc482352027"/>
      <w:bookmarkStart w:id="2646" w:name="_Toc482352117"/>
      <w:bookmarkStart w:id="2647" w:name="_Toc482352207"/>
      <w:bookmarkStart w:id="2648" w:name="_Toc482352297"/>
      <w:bookmarkStart w:id="2649" w:name="_Toc482633138"/>
      <w:bookmarkStart w:id="2650" w:name="_Toc482641315"/>
      <w:bookmarkStart w:id="2651" w:name="_Toc482712761"/>
      <w:bookmarkStart w:id="2652" w:name="_Toc482959549"/>
      <w:bookmarkStart w:id="2653" w:name="_Toc482959659"/>
      <w:bookmarkStart w:id="2654" w:name="_Toc482959769"/>
      <w:bookmarkStart w:id="2655" w:name="_Toc482978888"/>
      <w:bookmarkStart w:id="2656" w:name="_Toc482978997"/>
      <w:bookmarkStart w:id="2657" w:name="_Toc482979105"/>
      <w:bookmarkStart w:id="2658" w:name="_Toc482979216"/>
      <w:bookmarkStart w:id="2659" w:name="_Toc482979325"/>
      <w:bookmarkStart w:id="2660" w:name="_Toc482979434"/>
      <w:bookmarkStart w:id="2661" w:name="_Toc482979542"/>
      <w:bookmarkStart w:id="2662" w:name="_Toc482979640"/>
      <w:bookmarkStart w:id="2663" w:name="_Toc482979738"/>
      <w:bookmarkStart w:id="2664" w:name="_Toc483233698"/>
      <w:bookmarkStart w:id="2665" w:name="_Toc483302415"/>
      <w:bookmarkStart w:id="2666" w:name="_Toc483316036"/>
      <w:bookmarkStart w:id="2667" w:name="_Toc483316241"/>
      <w:bookmarkStart w:id="2668" w:name="_Toc483316373"/>
      <w:bookmarkStart w:id="2669" w:name="_Toc483316504"/>
      <w:bookmarkStart w:id="2670" w:name="_Toc483325807"/>
      <w:bookmarkStart w:id="2671" w:name="_Toc483401285"/>
      <w:bookmarkStart w:id="2672" w:name="_Toc483474081"/>
      <w:bookmarkStart w:id="2673" w:name="_Toc483571512"/>
      <w:bookmarkStart w:id="2674" w:name="_Toc483571634"/>
      <w:bookmarkStart w:id="2675" w:name="_Toc483907012"/>
      <w:bookmarkStart w:id="2676" w:name="_Toc484010762"/>
      <w:bookmarkStart w:id="2677" w:name="_Toc484010884"/>
      <w:bookmarkStart w:id="2678" w:name="_Toc484011008"/>
      <w:bookmarkStart w:id="2679" w:name="_Toc484011130"/>
      <w:bookmarkStart w:id="2680" w:name="_Toc484011252"/>
      <w:bookmarkStart w:id="2681" w:name="_Toc484011727"/>
      <w:bookmarkStart w:id="2682" w:name="_Toc484097801"/>
      <w:bookmarkStart w:id="2683" w:name="_Toc484428975"/>
      <w:bookmarkStart w:id="2684" w:name="_Toc484429145"/>
      <w:bookmarkStart w:id="2685" w:name="_Toc484438720"/>
      <w:bookmarkStart w:id="2686" w:name="_Toc484438844"/>
      <w:bookmarkStart w:id="2687" w:name="_Toc484438968"/>
      <w:bookmarkStart w:id="2688" w:name="_Toc484439888"/>
      <w:bookmarkStart w:id="2689" w:name="_Toc484440011"/>
      <w:bookmarkStart w:id="2690" w:name="_Toc484440135"/>
      <w:bookmarkStart w:id="2691" w:name="_Toc484440495"/>
      <w:bookmarkStart w:id="2692" w:name="_Toc484448155"/>
      <w:bookmarkStart w:id="2693" w:name="_Toc484448279"/>
      <w:bookmarkStart w:id="2694" w:name="_Toc484448403"/>
      <w:bookmarkStart w:id="2695" w:name="_Toc484448527"/>
      <w:bookmarkStart w:id="2696" w:name="_Toc484448651"/>
      <w:bookmarkStart w:id="2697" w:name="_Toc484448775"/>
      <w:bookmarkStart w:id="2698" w:name="_Toc484448898"/>
      <w:bookmarkStart w:id="2699" w:name="_Toc484449022"/>
      <w:bookmarkStart w:id="2700" w:name="_Toc484449146"/>
      <w:bookmarkStart w:id="2701" w:name="_Toc484526641"/>
      <w:bookmarkStart w:id="2702" w:name="_Toc484605361"/>
      <w:bookmarkStart w:id="2703" w:name="_Toc484605485"/>
      <w:bookmarkStart w:id="2704" w:name="_Toc484688354"/>
      <w:bookmarkStart w:id="2705" w:name="_Toc484688909"/>
      <w:bookmarkStart w:id="2706" w:name="_Toc485218344"/>
      <w:bookmarkStart w:id="2707" w:name="_Toc482025764"/>
      <w:bookmarkStart w:id="2708" w:name="_Toc482097588"/>
      <w:bookmarkStart w:id="2709" w:name="_Toc482097677"/>
      <w:bookmarkStart w:id="2710" w:name="_Toc482097766"/>
      <w:bookmarkStart w:id="2711" w:name="_Toc482097958"/>
      <w:bookmarkStart w:id="2712" w:name="_Toc482099060"/>
      <w:bookmarkStart w:id="2713" w:name="_Toc482100777"/>
      <w:bookmarkStart w:id="2714" w:name="_Toc482100934"/>
      <w:bookmarkStart w:id="2715" w:name="_Toc482101360"/>
      <w:bookmarkStart w:id="2716" w:name="_Toc482101497"/>
      <w:bookmarkStart w:id="2717" w:name="_Toc482101612"/>
      <w:bookmarkStart w:id="2718" w:name="_Toc482101787"/>
      <w:bookmarkStart w:id="2719" w:name="_Toc482101880"/>
      <w:bookmarkStart w:id="2720" w:name="_Toc482101975"/>
      <w:bookmarkStart w:id="2721" w:name="_Toc482102070"/>
      <w:bookmarkStart w:id="2722" w:name="_Toc482102164"/>
      <w:bookmarkStart w:id="2723" w:name="_Toc482352028"/>
      <w:bookmarkStart w:id="2724" w:name="_Toc482352118"/>
      <w:bookmarkStart w:id="2725" w:name="_Toc482352208"/>
      <w:bookmarkStart w:id="2726" w:name="_Toc482352298"/>
      <w:bookmarkStart w:id="2727" w:name="_Toc482633139"/>
      <w:bookmarkStart w:id="2728" w:name="_Toc482641316"/>
      <w:bookmarkStart w:id="2729" w:name="_Toc482712762"/>
      <w:bookmarkStart w:id="2730" w:name="_Toc482959550"/>
      <w:bookmarkStart w:id="2731" w:name="_Toc482959660"/>
      <w:bookmarkStart w:id="2732" w:name="_Toc482959770"/>
      <w:bookmarkStart w:id="2733" w:name="_Toc482978889"/>
      <w:bookmarkStart w:id="2734" w:name="_Toc482978998"/>
      <w:bookmarkStart w:id="2735" w:name="_Toc482979106"/>
      <w:bookmarkStart w:id="2736" w:name="_Toc482979217"/>
      <w:bookmarkStart w:id="2737" w:name="_Toc482979326"/>
      <w:bookmarkStart w:id="2738" w:name="_Toc482979435"/>
      <w:bookmarkStart w:id="2739" w:name="_Toc482979543"/>
      <w:bookmarkStart w:id="2740" w:name="_Toc482979641"/>
      <w:bookmarkStart w:id="2741" w:name="_Toc482979739"/>
      <w:bookmarkStart w:id="2742" w:name="_Toc483233699"/>
      <w:bookmarkStart w:id="2743" w:name="_Toc483302416"/>
      <w:bookmarkStart w:id="2744" w:name="_Toc483316037"/>
      <w:bookmarkStart w:id="2745" w:name="_Toc483316242"/>
      <w:bookmarkStart w:id="2746" w:name="_Toc483316374"/>
      <w:bookmarkStart w:id="2747" w:name="_Toc483316505"/>
      <w:bookmarkStart w:id="2748" w:name="_Toc483325808"/>
      <w:bookmarkStart w:id="2749" w:name="_Toc483401286"/>
      <w:bookmarkStart w:id="2750" w:name="_Toc483474082"/>
      <w:bookmarkStart w:id="2751" w:name="_Toc483571513"/>
      <w:bookmarkStart w:id="2752" w:name="_Toc483571635"/>
      <w:bookmarkStart w:id="2753" w:name="_Toc483907013"/>
      <w:bookmarkStart w:id="2754" w:name="_Toc484010763"/>
      <w:bookmarkStart w:id="2755" w:name="_Toc484010885"/>
      <w:bookmarkStart w:id="2756" w:name="_Toc484011009"/>
      <w:bookmarkStart w:id="2757" w:name="_Toc484011131"/>
      <w:bookmarkStart w:id="2758" w:name="_Toc484011253"/>
      <w:bookmarkStart w:id="2759" w:name="_Toc484011728"/>
      <w:bookmarkStart w:id="2760" w:name="_Toc484097802"/>
      <w:bookmarkStart w:id="2761" w:name="_Toc484428976"/>
      <w:bookmarkStart w:id="2762" w:name="_Toc484429146"/>
      <w:bookmarkStart w:id="2763" w:name="_Toc484438721"/>
      <w:bookmarkStart w:id="2764" w:name="_Toc484438845"/>
      <w:bookmarkStart w:id="2765" w:name="_Toc484438969"/>
      <w:bookmarkStart w:id="2766" w:name="_Toc484439889"/>
      <w:bookmarkStart w:id="2767" w:name="_Toc484440012"/>
      <w:bookmarkStart w:id="2768" w:name="_Toc484440136"/>
      <w:bookmarkStart w:id="2769" w:name="_Toc484440496"/>
      <w:bookmarkStart w:id="2770" w:name="_Toc484448156"/>
      <w:bookmarkStart w:id="2771" w:name="_Toc484448280"/>
      <w:bookmarkStart w:id="2772" w:name="_Toc484448404"/>
      <w:bookmarkStart w:id="2773" w:name="_Toc484448528"/>
      <w:bookmarkStart w:id="2774" w:name="_Toc484448652"/>
      <w:bookmarkStart w:id="2775" w:name="_Toc484448776"/>
      <w:bookmarkStart w:id="2776" w:name="_Toc484448899"/>
      <w:bookmarkStart w:id="2777" w:name="_Toc484449023"/>
      <w:bookmarkStart w:id="2778" w:name="_Toc484449147"/>
      <w:bookmarkStart w:id="2779" w:name="_Toc484526642"/>
      <w:bookmarkStart w:id="2780" w:name="_Toc484605362"/>
      <w:bookmarkStart w:id="2781" w:name="_Toc484605486"/>
      <w:bookmarkStart w:id="2782" w:name="_Toc484688355"/>
      <w:bookmarkStart w:id="2783" w:name="_Toc484688910"/>
      <w:bookmarkStart w:id="2784" w:name="_Toc485218345"/>
      <w:bookmarkStart w:id="2785" w:name="_Toc482025765"/>
      <w:bookmarkStart w:id="2786" w:name="_Toc482097589"/>
      <w:bookmarkStart w:id="2787" w:name="_Toc482097678"/>
      <w:bookmarkStart w:id="2788" w:name="_Toc482097767"/>
      <w:bookmarkStart w:id="2789" w:name="_Toc482097959"/>
      <w:bookmarkStart w:id="2790" w:name="_Toc482099061"/>
      <w:bookmarkStart w:id="2791" w:name="_Toc482100778"/>
      <w:bookmarkStart w:id="2792" w:name="_Toc482100935"/>
      <w:bookmarkStart w:id="2793" w:name="_Toc482101361"/>
      <w:bookmarkStart w:id="2794" w:name="_Toc482101498"/>
      <w:bookmarkStart w:id="2795" w:name="_Toc482101613"/>
      <w:bookmarkStart w:id="2796" w:name="_Toc482101788"/>
      <w:bookmarkStart w:id="2797" w:name="_Toc482101881"/>
      <w:bookmarkStart w:id="2798" w:name="_Toc482101976"/>
      <w:bookmarkStart w:id="2799" w:name="_Toc482102071"/>
      <w:bookmarkStart w:id="2800" w:name="_Toc482102165"/>
      <w:bookmarkStart w:id="2801" w:name="_Toc482352029"/>
      <w:bookmarkStart w:id="2802" w:name="_Toc482352119"/>
      <w:bookmarkStart w:id="2803" w:name="_Toc482352209"/>
      <w:bookmarkStart w:id="2804" w:name="_Toc482352299"/>
      <w:bookmarkStart w:id="2805" w:name="_Toc482633140"/>
      <w:bookmarkStart w:id="2806" w:name="_Toc482641317"/>
      <w:bookmarkStart w:id="2807" w:name="_Toc482712763"/>
      <w:bookmarkStart w:id="2808" w:name="_Toc482959551"/>
      <w:bookmarkStart w:id="2809" w:name="_Toc482959661"/>
      <w:bookmarkStart w:id="2810" w:name="_Toc482959771"/>
      <w:bookmarkStart w:id="2811" w:name="_Toc482978890"/>
      <w:bookmarkStart w:id="2812" w:name="_Toc482978999"/>
      <w:bookmarkStart w:id="2813" w:name="_Toc482979107"/>
      <w:bookmarkStart w:id="2814" w:name="_Toc482979218"/>
      <w:bookmarkStart w:id="2815" w:name="_Toc482979327"/>
      <w:bookmarkStart w:id="2816" w:name="_Toc482979436"/>
      <w:bookmarkStart w:id="2817" w:name="_Toc482979544"/>
      <w:bookmarkStart w:id="2818" w:name="_Toc482979642"/>
      <w:bookmarkStart w:id="2819" w:name="_Toc482979740"/>
      <w:bookmarkStart w:id="2820" w:name="_Toc483233700"/>
      <w:bookmarkStart w:id="2821" w:name="_Toc483302417"/>
      <w:bookmarkStart w:id="2822" w:name="_Toc483316038"/>
      <w:bookmarkStart w:id="2823" w:name="_Toc483316243"/>
      <w:bookmarkStart w:id="2824" w:name="_Toc483316375"/>
      <w:bookmarkStart w:id="2825" w:name="_Toc483316506"/>
      <w:bookmarkStart w:id="2826" w:name="_Toc483325809"/>
      <w:bookmarkStart w:id="2827" w:name="_Toc483401287"/>
      <w:bookmarkStart w:id="2828" w:name="_Toc483474083"/>
      <w:bookmarkStart w:id="2829" w:name="_Toc483571514"/>
      <w:bookmarkStart w:id="2830" w:name="_Toc483571636"/>
      <w:bookmarkStart w:id="2831" w:name="_Toc483907014"/>
      <w:bookmarkStart w:id="2832" w:name="_Toc484010764"/>
      <w:bookmarkStart w:id="2833" w:name="_Toc484010886"/>
      <w:bookmarkStart w:id="2834" w:name="_Toc484011010"/>
      <w:bookmarkStart w:id="2835" w:name="_Toc484011132"/>
      <w:bookmarkStart w:id="2836" w:name="_Toc484011254"/>
      <w:bookmarkStart w:id="2837" w:name="_Toc484011729"/>
      <w:bookmarkStart w:id="2838" w:name="_Toc484097803"/>
      <w:bookmarkStart w:id="2839" w:name="_Toc484428977"/>
      <w:bookmarkStart w:id="2840" w:name="_Toc484429147"/>
      <w:bookmarkStart w:id="2841" w:name="_Toc484438722"/>
      <w:bookmarkStart w:id="2842" w:name="_Toc484438846"/>
      <w:bookmarkStart w:id="2843" w:name="_Toc484438970"/>
      <w:bookmarkStart w:id="2844" w:name="_Toc484439890"/>
      <w:bookmarkStart w:id="2845" w:name="_Toc484440013"/>
      <w:bookmarkStart w:id="2846" w:name="_Toc484440137"/>
      <w:bookmarkStart w:id="2847" w:name="_Toc484440497"/>
      <w:bookmarkStart w:id="2848" w:name="_Toc484448157"/>
      <w:bookmarkStart w:id="2849" w:name="_Toc484448281"/>
      <w:bookmarkStart w:id="2850" w:name="_Toc484448405"/>
      <w:bookmarkStart w:id="2851" w:name="_Toc484448529"/>
      <w:bookmarkStart w:id="2852" w:name="_Toc484448653"/>
      <w:bookmarkStart w:id="2853" w:name="_Toc484448777"/>
      <w:bookmarkStart w:id="2854" w:name="_Toc484448900"/>
      <w:bookmarkStart w:id="2855" w:name="_Toc484449024"/>
      <w:bookmarkStart w:id="2856" w:name="_Toc484449148"/>
      <w:bookmarkStart w:id="2857" w:name="_Toc484526643"/>
      <w:bookmarkStart w:id="2858" w:name="_Toc484605363"/>
      <w:bookmarkStart w:id="2859" w:name="_Toc484605487"/>
      <w:bookmarkStart w:id="2860" w:name="_Toc484688356"/>
      <w:bookmarkStart w:id="2861" w:name="_Toc484688911"/>
      <w:bookmarkStart w:id="2862" w:name="_Toc485218346"/>
      <w:bookmarkStart w:id="2863" w:name="_Toc482025766"/>
      <w:bookmarkStart w:id="2864" w:name="_Toc482097590"/>
      <w:bookmarkStart w:id="2865" w:name="_Toc482097679"/>
      <w:bookmarkStart w:id="2866" w:name="_Toc482097768"/>
      <w:bookmarkStart w:id="2867" w:name="_Toc482097960"/>
      <w:bookmarkStart w:id="2868" w:name="_Toc482099062"/>
      <w:bookmarkStart w:id="2869" w:name="_Toc482100779"/>
      <w:bookmarkStart w:id="2870" w:name="_Toc482100936"/>
      <w:bookmarkStart w:id="2871" w:name="_Toc482101362"/>
      <w:bookmarkStart w:id="2872" w:name="_Toc482101499"/>
      <w:bookmarkStart w:id="2873" w:name="_Toc482101614"/>
      <w:bookmarkStart w:id="2874" w:name="_Toc482101789"/>
      <w:bookmarkStart w:id="2875" w:name="_Toc482101882"/>
      <w:bookmarkStart w:id="2876" w:name="_Toc482101977"/>
      <w:bookmarkStart w:id="2877" w:name="_Toc482102072"/>
      <w:bookmarkStart w:id="2878" w:name="_Toc482102166"/>
      <w:bookmarkStart w:id="2879" w:name="_Toc482352030"/>
      <w:bookmarkStart w:id="2880" w:name="_Toc482352120"/>
      <w:bookmarkStart w:id="2881" w:name="_Toc482352210"/>
      <w:bookmarkStart w:id="2882" w:name="_Toc482352300"/>
      <w:bookmarkStart w:id="2883" w:name="_Toc482633141"/>
      <w:bookmarkStart w:id="2884" w:name="_Toc482641318"/>
      <w:bookmarkStart w:id="2885" w:name="_Toc482712764"/>
      <w:bookmarkStart w:id="2886" w:name="_Toc482959552"/>
      <w:bookmarkStart w:id="2887" w:name="_Toc482959662"/>
      <w:bookmarkStart w:id="2888" w:name="_Toc482959772"/>
      <w:bookmarkStart w:id="2889" w:name="_Toc482978891"/>
      <w:bookmarkStart w:id="2890" w:name="_Toc482979000"/>
      <w:bookmarkStart w:id="2891" w:name="_Toc482979108"/>
      <w:bookmarkStart w:id="2892" w:name="_Toc482979219"/>
      <w:bookmarkStart w:id="2893" w:name="_Toc482979328"/>
      <w:bookmarkStart w:id="2894" w:name="_Toc482979437"/>
      <w:bookmarkStart w:id="2895" w:name="_Toc482979545"/>
      <w:bookmarkStart w:id="2896" w:name="_Toc482979643"/>
      <w:bookmarkStart w:id="2897" w:name="_Toc482979741"/>
      <w:bookmarkStart w:id="2898" w:name="_Toc483233701"/>
      <w:bookmarkStart w:id="2899" w:name="_Toc483302418"/>
      <w:bookmarkStart w:id="2900" w:name="_Toc483316039"/>
      <w:bookmarkStart w:id="2901" w:name="_Toc483316244"/>
      <w:bookmarkStart w:id="2902" w:name="_Toc483316376"/>
      <w:bookmarkStart w:id="2903" w:name="_Toc483316507"/>
      <w:bookmarkStart w:id="2904" w:name="_Toc483325810"/>
      <w:bookmarkStart w:id="2905" w:name="_Toc483401288"/>
      <w:bookmarkStart w:id="2906" w:name="_Toc483474084"/>
      <w:bookmarkStart w:id="2907" w:name="_Toc483571515"/>
      <w:bookmarkStart w:id="2908" w:name="_Toc483571637"/>
      <w:bookmarkStart w:id="2909" w:name="_Toc483907015"/>
      <w:bookmarkStart w:id="2910" w:name="_Toc484010765"/>
      <w:bookmarkStart w:id="2911" w:name="_Toc484010887"/>
      <w:bookmarkStart w:id="2912" w:name="_Toc484011011"/>
      <w:bookmarkStart w:id="2913" w:name="_Toc484011133"/>
      <w:bookmarkStart w:id="2914" w:name="_Toc484011255"/>
      <w:bookmarkStart w:id="2915" w:name="_Toc484011730"/>
      <w:bookmarkStart w:id="2916" w:name="_Toc484097804"/>
      <w:bookmarkStart w:id="2917" w:name="_Toc484428978"/>
      <w:bookmarkStart w:id="2918" w:name="_Toc484429148"/>
      <w:bookmarkStart w:id="2919" w:name="_Toc484438723"/>
      <w:bookmarkStart w:id="2920" w:name="_Toc484438847"/>
      <w:bookmarkStart w:id="2921" w:name="_Toc484438971"/>
      <w:bookmarkStart w:id="2922" w:name="_Toc484439891"/>
      <w:bookmarkStart w:id="2923" w:name="_Toc484440014"/>
      <w:bookmarkStart w:id="2924" w:name="_Toc484440138"/>
      <w:bookmarkStart w:id="2925" w:name="_Toc484440498"/>
      <w:bookmarkStart w:id="2926" w:name="_Toc484448158"/>
      <w:bookmarkStart w:id="2927" w:name="_Toc484448282"/>
      <w:bookmarkStart w:id="2928" w:name="_Toc484448406"/>
      <w:bookmarkStart w:id="2929" w:name="_Toc484448530"/>
      <w:bookmarkStart w:id="2930" w:name="_Toc484448654"/>
      <w:bookmarkStart w:id="2931" w:name="_Toc484448778"/>
      <w:bookmarkStart w:id="2932" w:name="_Toc484448901"/>
      <w:bookmarkStart w:id="2933" w:name="_Toc484449025"/>
      <w:bookmarkStart w:id="2934" w:name="_Toc484449149"/>
      <w:bookmarkStart w:id="2935" w:name="_Toc484526644"/>
      <w:bookmarkStart w:id="2936" w:name="_Toc484605364"/>
      <w:bookmarkStart w:id="2937" w:name="_Toc484605488"/>
      <w:bookmarkStart w:id="2938" w:name="_Toc484688357"/>
      <w:bookmarkStart w:id="2939" w:name="_Toc484688912"/>
      <w:bookmarkStart w:id="2940" w:name="_Toc485218347"/>
      <w:bookmarkStart w:id="2941" w:name="_Toc482025767"/>
      <w:bookmarkStart w:id="2942" w:name="_Toc482097591"/>
      <w:bookmarkStart w:id="2943" w:name="_Toc482097680"/>
      <w:bookmarkStart w:id="2944" w:name="_Toc482097769"/>
      <w:bookmarkStart w:id="2945" w:name="_Toc482097961"/>
      <w:bookmarkStart w:id="2946" w:name="_Toc482099063"/>
      <w:bookmarkStart w:id="2947" w:name="_Toc482100780"/>
      <w:bookmarkStart w:id="2948" w:name="_Toc482100937"/>
      <w:bookmarkStart w:id="2949" w:name="_Toc482101363"/>
      <w:bookmarkStart w:id="2950" w:name="_Toc482101500"/>
      <w:bookmarkStart w:id="2951" w:name="_Toc482101615"/>
      <w:bookmarkStart w:id="2952" w:name="_Toc482101790"/>
      <w:bookmarkStart w:id="2953" w:name="_Toc482101883"/>
      <w:bookmarkStart w:id="2954" w:name="_Toc482101978"/>
      <w:bookmarkStart w:id="2955" w:name="_Toc482102073"/>
      <w:bookmarkStart w:id="2956" w:name="_Toc482102167"/>
      <w:bookmarkStart w:id="2957" w:name="_Toc482352031"/>
      <w:bookmarkStart w:id="2958" w:name="_Toc482352121"/>
      <w:bookmarkStart w:id="2959" w:name="_Toc482352211"/>
      <w:bookmarkStart w:id="2960" w:name="_Toc482352301"/>
      <w:bookmarkStart w:id="2961" w:name="_Toc482633142"/>
      <w:bookmarkStart w:id="2962" w:name="_Toc482641319"/>
      <w:bookmarkStart w:id="2963" w:name="_Toc482712765"/>
      <w:bookmarkStart w:id="2964" w:name="_Toc482959553"/>
      <w:bookmarkStart w:id="2965" w:name="_Toc482959663"/>
      <w:bookmarkStart w:id="2966" w:name="_Toc482959773"/>
      <w:bookmarkStart w:id="2967" w:name="_Toc482978892"/>
      <w:bookmarkStart w:id="2968" w:name="_Toc482979001"/>
      <w:bookmarkStart w:id="2969" w:name="_Toc482979109"/>
      <w:bookmarkStart w:id="2970" w:name="_Toc482979220"/>
      <w:bookmarkStart w:id="2971" w:name="_Toc482979329"/>
      <w:bookmarkStart w:id="2972" w:name="_Toc482979438"/>
      <w:bookmarkStart w:id="2973" w:name="_Toc482979546"/>
      <w:bookmarkStart w:id="2974" w:name="_Toc482979644"/>
      <w:bookmarkStart w:id="2975" w:name="_Toc482979742"/>
      <w:bookmarkStart w:id="2976" w:name="_Toc483233702"/>
      <w:bookmarkStart w:id="2977" w:name="_Toc483302419"/>
      <w:bookmarkStart w:id="2978" w:name="_Toc483316040"/>
      <w:bookmarkStart w:id="2979" w:name="_Toc483316245"/>
      <w:bookmarkStart w:id="2980" w:name="_Toc483316377"/>
      <w:bookmarkStart w:id="2981" w:name="_Toc483316508"/>
      <w:bookmarkStart w:id="2982" w:name="_Toc483325811"/>
      <w:bookmarkStart w:id="2983" w:name="_Toc483401289"/>
      <w:bookmarkStart w:id="2984" w:name="_Toc483474085"/>
      <w:bookmarkStart w:id="2985" w:name="_Toc483571516"/>
      <w:bookmarkStart w:id="2986" w:name="_Toc483571638"/>
      <w:bookmarkStart w:id="2987" w:name="_Toc483907016"/>
      <w:bookmarkStart w:id="2988" w:name="_Toc484010766"/>
      <w:bookmarkStart w:id="2989" w:name="_Toc484010888"/>
      <w:bookmarkStart w:id="2990" w:name="_Toc484011012"/>
      <w:bookmarkStart w:id="2991" w:name="_Toc484011134"/>
      <w:bookmarkStart w:id="2992" w:name="_Toc484011256"/>
      <w:bookmarkStart w:id="2993" w:name="_Toc484011731"/>
      <w:bookmarkStart w:id="2994" w:name="_Toc484097805"/>
      <w:bookmarkStart w:id="2995" w:name="_Toc484428979"/>
      <w:bookmarkStart w:id="2996" w:name="_Toc484429149"/>
      <w:bookmarkStart w:id="2997" w:name="_Toc484438724"/>
      <w:bookmarkStart w:id="2998" w:name="_Toc484438848"/>
      <w:bookmarkStart w:id="2999" w:name="_Toc484438972"/>
      <w:bookmarkStart w:id="3000" w:name="_Toc484439892"/>
      <w:bookmarkStart w:id="3001" w:name="_Toc484440015"/>
      <w:bookmarkStart w:id="3002" w:name="_Toc484440139"/>
      <w:bookmarkStart w:id="3003" w:name="_Toc484440499"/>
      <w:bookmarkStart w:id="3004" w:name="_Toc484448159"/>
      <w:bookmarkStart w:id="3005" w:name="_Toc484448283"/>
      <w:bookmarkStart w:id="3006" w:name="_Toc484448407"/>
      <w:bookmarkStart w:id="3007" w:name="_Toc484448531"/>
      <w:bookmarkStart w:id="3008" w:name="_Toc484448655"/>
      <w:bookmarkStart w:id="3009" w:name="_Toc484448779"/>
      <w:bookmarkStart w:id="3010" w:name="_Toc484448902"/>
      <w:bookmarkStart w:id="3011" w:name="_Toc484449026"/>
      <w:bookmarkStart w:id="3012" w:name="_Toc484449150"/>
      <w:bookmarkStart w:id="3013" w:name="_Toc484526645"/>
      <w:bookmarkStart w:id="3014" w:name="_Toc484605365"/>
      <w:bookmarkStart w:id="3015" w:name="_Toc484605489"/>
      <w:bookmarkStart w:id="3016" w:name="_Toc484688358"/>
      <w:bookmarkEnd w:id="2078"/>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t>AGGIUDICAZIONE DELL’APPALTO E STIPULA DEL CONTRATTO</w:t>
      </w:r>
      <w:bookmarkStart w:id="3017" w:name="_Ref531265966"/>
      <w:bookmarkEnd w:id="2079"/>
      <w:bookmarkEnd w:id="2080"/>
      <w:bookmarkEnd w:id="3017"/>
    </w:p>
    <w:p>
      <w:pPr>
        <w:pStyle w:val="Normal"/>
        <w:spacing w:before="60" w:after="60"/>
        <w:rPr>
          <w:rFonts w:ascii="Titillium" w:hAnsi="Titillium" w:cs="Calibri"/>
          <w:sz w:val="18"/>
          <w:szCs w:val="18"/>
        </w:rPr>
      </w:pPr>
      <w:r>
        <w:rPr>
          <w:rFonts w:cs="Calibri" w:ascii="Titillium" w:hAnsi="Titillium"/>
          <w:sz w:val="18"/>
          <w:szCs w:val="18"/>
        </w:rPr>
        <w:t xml:space="preserve">La proposta di aggiudicazione è formulata in favore del concorrente che ha presentato la migliore offerta. </w:t>
      </w:r>
    </w:p>
    <w:p>
      <w:pPr>
        <w:pStyle w:val="Normal"/>
        <w:rPr>
          <w:rFonts w:ascii="Titillium" w:hAnsi="Titillium" w:cs="Calibri"/>
          <w:sz w:val="18"/>
          <w:szCs w:val="18"/>
        </w:rPr>
      </w:pPr>
      <w:r>
        <w:rPr>
          <w:rFonts w:cs="Calibri" w:ascii="Titillium" w:hAnsi="Titillium"/>
          <w:sz w:val="18"/>
          <w:szCs w:val="18"/>
        </w:rPr>
        <w:t>Qualora nessuna offerta risulti conveniente o idonea in relazione all’oggetto del contratto, la stazione appaltante può decidere, entro 30 giorni dalla conclusione delle valutazioni delle offerte, di non procedere all’aggiudicazione.</w:t>
      </w:r>
    </w:p>
    <w:p>
      <w:pPr>
        <w:pStyle w:val="Normal"/>
        <w:rPr>
          <w:rFonts w:ascii="Titillium" w:hAnsi="Titillium" w:cs="Calibri"/>
          <w:sz w:val="18"/>
          <w:szCs w:val="18"/>
        </w:rPr>
      </w:pPr>
      <w:r>
        <w:rPr>
          <w:rFonts w:cs="Calibri" w:ascii="Titillium" w:hAnsi="Titillium"/>
          <w:sz w:val="18"/>
          <w:szCs w:val="18"/>
        </w:rPr>
      </w:r>
    </w:p>
    <w:p>
      <w:pPr>
        <w:pStyle w:val="Normal"/>
        <w:rPr>
          <w:rFonts w:ascii="Titillium" w:hAnsi="Titillium" w:cs="Calibri"/>
          <w:bCs/>
          <w:iCs/>
          <w:sz w:val="18"/>
          <w:szCs w:val="18"/>
        </w:rPr>
      </w:pPr>
      <w:r>
        <w:rPr>
          <w:rFonts w:cs="Calibri" w:ascii="Titillium" w:hAnsi="Titillium"/>
          <w:bCs/>
          <w:iCs/>
          <w:sz w:val="18"/>
          <w:szCs w:val="18"/>
        </w:rPr>
        <w:t>La stazione appaltante si riserva di procedere all’aggiudicazione anche in caso di presentazione di una sola offerta.</w:t>
      </w:r>
    </w:p>
    <w:p>
      <w:pPr>
        <w:pStyle w:val="Normal"/>
        <w:rPr>
          <w:rFonts w:ascii="Titillium" w:hAnsi="Titillium" w:cs="Calibri"/>
          <w:bCs/>
          <w:iCs/>
          <w:sz w:val="18"/>
          <w:szCs w:val="18"/>
        </w:rPr>
      </w:pPr>
      <w:r>
        <w:rPr>
          <w:rFonts w:cs="Calibri" w:ascii="Titillium" w:hAnsi="Titillium"/>
          <w:bCs/>
          <w:iCs/>
          <w:sz w:val="18"/>
          <w:szCs w:val="18"/>
        </w:rPr>
      </w:r>
    </w:p>
    <w:p>
      <w:pPr>
        <w:pStyle w:val="BodyText"/>
        <w:tabs>
          <w:tab w:val="clear" w:pos="708"/>
          <w:tab w:val="left" w:pos="9639" w:leader="none"/>
        </w:tabs>
        <w:spacing w:lineRule="auto" w:line="276"/>
        <w:rPr>
          <w:rFonts w:ascii="Arial Narrow" w:hAnsi="Arial Narrow" w:cs="Arial"/>
          <w:sz w:val="22"/>
          <w:szCs w:val="22"/>
        </w:rPr>
      </w:pPr>
      <w:r>
        <w:rPr>
          <w:rFonts w:cs="Calibri" w:ascii="Titillium" w:hAnsi="Titillium"/>
          <w:sz w:val="18"/>
          <w:szCs w:val="18"/>
        </w:rPr>
        <w:t>Il RUPA procede, laddove non effettuata in sede di verifica di congruità dell’offerta, a verificare, ai sensi dell’</w:t>
      </w:r>
      <w:r>
        <w:rPr>
          <w:rFonts w:cs="Calibri" w:ascii="Titillium" w:hAnsi="Titillium"/>
          <w:sz w:val="18"/>
          <w:szCs w:val="18"/>
          <w:lang w:val="it-IT"/>
        </w:rPr>
        <w:t>Allegato</w:t>
      </w:r>
      <w:r>
        <w:rPr>
          <w:rFonts w:cs="Calibri" w:ascii="Titillium" w:hAnsi="Titillium"/>
          <w:sz w:val="18"/>
          <w:szCs w:val="18"/>
        </w:rPr>
        <w:t xml:space="preserve"> I.01 del Codice:</w:t>
      </w:r>
    </w:p>
    <w:p>
      <w:pPr>
        <w:pStyle w:val="ListParagraph"/>
        <w:numPr>
          <w:ilvl w:val="0"/>
          <w:numId w:val="37"/>
        </w:numPr>
        <w:spacing w:before="60" w:after="60"/>
        <w:ind w:hanging="360" w:left="426"/>
        <w:contextualSpacing/>
        <w:rPr>
          <w:rFonts w:ascii="Titillium" w:hAnsi="Titillium" w:cs="Calibri"/>
          <w:sz w:val="18"/>
          <w:szCs w:val="18"/>
        </w:rPr>
      </w:pPr>
      <w:r>
        <w:rPr>
          <w:rFonts w:cs="Calibri" w:ascii="Titillium" w:hAnsi="Titillium"/>
          <w:sz w:val="18"/>
          <w:szCs w:val="18"/>
        </w:rPr>
        <w:t>l’equivalenza delle tutele nel caso in cui l’aggiudicatario abbia dichiarato di applicare un diverso contratto collettivo nazionale rispetto a quello/i indicato/i dalla stazio</w:t>
      </w:r>
      <w:r>
        <w:rPr>
          <w:rFonts w:cs="Calibri" w:ascii="Titillium" w:hAnsi="Titillium"/>
          <w:sz w:val="18"/>
          <w:szCs w:val="18"/>
          <w:shd w:fill="FFFFFF" w:val="clear"/>
        </w:rPr>
        <w:t>ne appaltante e il rispetto di quanto indicato nella clausola sociale</w:t>
      </w:r>
      <w:r>
        <w:rPr>
          <w:rFonts w:cs="Calibri" w:ascii="Titillium" w:hAnsi="Titillium"/>
          <w:sz w:val="18"/>
          <w:szCs w:val="18"/>
        </w:rPr>
        <w:t xml:space="preserve"> per </w:t>
      </w:r>
      <w:r>
        <w:rPr>
          <w:rFonts w:cs="Calibri" w:ascii="Titillium" w:hAnsi="Titillium"/>
          <w:sz w:val="18"/>
          <w:szCs w:val="18"/>
          <w:shd w:fill="FFFFFF" w:val="clear"/>
        </w:rPr>
        <w:t xml:space="preserve">l’applicazione dei contratti collettivi nazionali e territoriali di cui al paragrafo  </w:t>
      </w:r>
      <w:r>
        <w:rPr>
          <w:rFonts w:cs="Calibri" w:ascii="Titillium" w:hAnsi="Titillium"/>
          <w:sz w:val="18"/>
          <w:szCs w:val="18"/>
          <w:shd w:fill="FFFFFF" w:val="clear"/>
        </w:rPr>
        <w:fldChar w:fldCharType="begin"/>
      </w:r>
      <w:r>
        <w:rPr>
          <w:rFonts w:cs="Calibri" w:ascii="Titillium" w:hAnsi="Titillium"/>
          <w:sz w:val="18"/>
          <w:szCs w:val="18"/>
          <w:shd w:fill="FFFFFF" w:val="clear"/>
        </w:rPr>
        <w:instrText xml:space="preserve"> REF _Ref132050689 \r \r \h </w:instrText>
      </w:r>
      <w:r>
        <w:rPr>
          <w:rFonts w:cs="Calibri" w:ascii="Titillium" w:hAnsi="Titillium"/>
          <w:sz w:val="18"/>
          <w:szCs w:val="18"/>
          <w:shd w:fill="FFFFFF" w:val="clear"/>
        </w:rPr>
        <w:fldChar w:fldCharType="separate"/>
      </w:r>
      <w:r>
        <w:rPr>
          <w:rFonts w:cs="Calibri" w:ascii="Titillium" w:hAnsi="Titillium"/>
          <w:sz w:val="18"/>
          <w:szCs w:val="18"/>
          <w:shd w:fill="FFFFFF" w:val="clear"/>
        </w:rPr>
        <w:t>9</w:t>
      </w:r>
      <w:r>
        <w:rPr>
          <w:rFonts w:cs="Calibri" w:ascii="Titillium" w:hAnsi="Titillium"/>
          <w:sz w:val="18"/>
          <w:szCs w:val="18"/>
          <w:shd w:fill="FFFFFF" w:val="clear"/>
        </w:rPr>
        <w:fldChar w:fldCharType="end"/>
      </w:r>
      <w:r>
        <w:rPr>
          <w:rFonts w:cs="Calibri" w:ascii="Titillium" w:hAnsi="Titillium"/>
          <w:sz w:val="18"/>
          <w:szCs w:val="18"/>
          <w:shd w:fill="FFFFFF" w:val="clear"/>
        </w:rPr>
        <w:t xml:space="preserve"> ;</w:t>
      </w:r>
    </w:p>
    <w:p>
      <w:pPr>
        <w:pStyle w:val="ListParagraph"/>
        <w:numPr>
          <w:ilvl w:val="0"/>
          <w:numId w:val="37"/>
        </w:numPr>
        <w:spacing w:before="60" w:after="60"/>
        <w:ind w:hanging="360" w:left="426"/>
        <w:contextualSpacing/>
        <w:rPr>
          <w:highlight w:val="none"/>
          <w:shd w:fill="FFFFFF" w:val="clear"/>
        </w:rPr>
      </w:pPr>
      <w:r>
        <w:rPr>
          <w:rFonts w:cs="Calibri" w:ascii="Titillium" w:hAnsi="Titillium"/>
          <w:sz w:val="18"/>
          <w:szCs w:val="18"/>
          <w:shd w:fill="FFFFFF" w:val="clear"/>
        </w:rPr>
        <w:t>l’attendibilità degli impegni assunti dall’appaltatore in relazione a quanto richiesto dal paragrafo 9 e riguardante la stabilità occupazionale e le pari opportunità generazionali, di genere e di inclusione lavorativa per le persone con disabilità o svantaggiate.</w:t>
      </w:r>
    </w:p>
    <w:p>
      <w:pPr>
        <w:pStyle w:val="Normal"/>
        <w:spacing w:before="60" w:after="60"/>
        <w:rPr>
          <w:rFonts w:ascii="Titillium" w:hAnsi="Titillium" w:cs="Calibri"/>
          <w:sz w:val="18"/>
          <w:szCs w:val="18"/>
        </w:rPr>
      </w:pPr>
      <w:r>
        <w:rPr>
          <w:rFonts w:cs="Calibri" w:ascii="Titillium" w:hAnsi="Titillium"/>
          <w:sz w:val="18"/>
          <w:szCs w:val="18"/>
        </w:rPr>
        <w:t>L’aggiudicazione è disposta all’esito positivo della verifica del possesso dei requisiti prescritti dal presente disciplinare ed è immediatamente efficace. In caso di esito negativo delle verifiche, si procede all’esclusione, alla segnalazione all’ANAC, ad incamerare la garanzia provvisoria.</w:t>
      </w:r>
    </w:p>
    <w:p>
      <w:pPr>
        <w:pStyle w:val="Normal"/>
        <w:spacing w:before="60" w:after="60"/>
        <w:rPr>
          <w:rFonts w:ascii="Titillium" w:hAnsi="Titillium" w:eastAsia="SimSun"/>
          <w:sz w:val="18"/>
          <w:szCs w:val="18"/>
        </w:rPr>
      </w:pPr>
      <w:r>
        <w:rPr>
          <w:rFonts w:cs="Calibri" w:ascii="Titillium" w:hAnsi="Titillium"/>
          <w:sz w:val="18"/>
          <w:szCs w:val="18"/>
        </w:rPr>
        <w:t>Gli eventuali provvedimenti di esclusione dalla procedura di gara sono comunicati</w:t>
      </w:r>
      <w:r>
        <w:rPr>
          <w:rFonts w:eastAsia="SimSun" w:ascii="Titillium" w:hAnsi="Titillium"/>
          <w:sz w:val="18"/>
          <w:szCs w:val="18"/>
        </w:rPr>
        <w:t xml:space="preserve"> entro cinque giorni dalla loro adozione.</w:t>
      </w:r>
    </w:p>
    <w:p>
      <w:pPr>
        <w:pStyle w:val="ListParagraph"/>
        <w:ind w:left="0"/>
        <w:rPr>
          <w:rFonts w:ascii="Titillium" w:hAnsi="Titillium" w:eastAsia="SimSun"/>
          <w:sz w:val="18"/>
          <w:szCs w:val="18"/>
        </w:rPr>
      </w:pPr>
      <w:r>
        <w:rPr>
          <w:rFonts w:cs="Calibri" w:ascii="Titillium" w:hAnsi="Titillium"/>
          <w:sz w:val="18"/>
          <w:szCs w:val="18"/>
        </w:rPr>
        <w:t>È fatta salva la possibilità di chiedere agli offerenti, in qualsiasi momento nel corso della procedura, di presentare tutti i documenti complementari o parte di essi, qualora questo sia necessario per assicurare il corretto svolgimento della procedura.</w:t>
      </w:r>
    </w:p>
    <w:p>
      <w:pPr>
        <w:pStyle w:val="BodyText"/>
        <w:tabs>
          <w:tab w:val="clear" w:pos="708"/>
          <w:tab w:val="left" w:pos="9639" w:leader="none"/>
        </w:tabs>
        <w:spacing w:lineRule="auto" w:line="276"/>
        <w:rPr>
          <w:rFonts w:ascii="Titillium" w:hAnsi="Titillium" w:cs="Calibri"/>
          <w:sz w:val="18"/>
          <w:szCs w:val="18"/>
          <w:lang w:val="it-IT" w:eastAsia="en-US"/>
        </w:rPr>
      </w:pPr>
      <w:r>
        <w:rPr>
          <w:rFonts w:cs="Calibri" w:ascii="Titillium" w:hAnsi="Titillium"/>
          <w:sz w:val="18"/>
          <w:szCs w:val="18"/>
          <w:lang w:val="it-IT" w:eastAsia="en-US"/>
        </w:rPr>
        <w:t xml:space="preserve">La verifica è effettuata tramite il FVOE. In caso di malfunzionamento, anche parziale, del fascicolo virtuale dell’operatore economico o delle piattaforme, banche dati o sistemi di interoperabilità ad esso connessi, la stazione appaltante si riserva di aggiudicare dopo che sono trascorsi trenta giorni dalla proposta di aggiudicazione. In tal caso richiede un’autocertificazione all’offerente, resa ai sensi del d.P.R. 28 dicembre 2000, n. 445, che attesti il possesso dei requisiti e l’assenza delle cause di esclusione che, a causa del predetto malfunzionamento, non è stato possibile verificare. </w:t>
      </w:r>
    </w:p>
    <w:p>
      <w:pPr>
        <w:pStyle w:val="BodyText"/>
        <w:tabs>
          <w:tab w:val="clear" w:pos="708"/>
          <w:tab w:val="left" w:pos="9639" w:leader="none"/>
        </w:tabs>
        <w:spacing w:lineRule="auto" w:line="276"/>
        <w:rPr>
          <w:rFonts w:ascii="Titillium" w:hAnsi="Titillium" w:cs="Calibri"/>
          <w:sz w:val="18"/>
          <w:szCs w:val="18"/>
          <w:lang w:val="it-IT" w:eastAsia="en-US"/>
        </w:rPr>
      </w:pPr>
      <w:r>
        <w:rPr>
          <w:rFonts w:cs="Calibri" w:ascii="Titillium" w:hAnsi="Titillium"/>
          <w:sz w:val="18"/>
          <w:szCs w:val="18"/>
          <w:lang w:val="it-IT" w:eastAsia="en-US"/>
        </w:rPr>
        <w:t xml:space="preserve">Per le certificazioni che, allo stato, non sono ancora verificabili tramite il fascicolo virtuale dell’operatore economico, la stazione appaltante procede direttamente alla verifica presso gli Enti certificatori e, </w:t>
      </w:r>
      <w:bookmarkStart w:id="3018" w:name="_Hlk194056818"/>
      <w:r>
        <w:rPr>
          <w:rFonts w:cs="Calibri" w:ascii="Titillium" w:hAnsi="Titillium"/>
          <w:sz w:val="18"/>
          <w:szCs w:val="18"/>
          <w:lang w:val="it-IT" w:eastAsia="en-US"/>
        </w:rPr>
        <w:t>decorsi inutilmente 30 giorni dalla richiesta, si riserva di aggiudicare previa acquisizione di un’autocertificazione dall’operatore economico</w:t>
      </w:r>
      <w:bookmarkEnd w:id="3018"/>
      <w:r>
        <w:rPr>
          <w:rFonts w:cs="Calibri" w:ascii="Titillium" w:hAnsi="Titillium"/>
          <w:sz w:val="18"/>
          <w:szCs w:val="18"/>
          <w:lang w:val="it-IT" w:eastAsia="en-US"/>
        </w:rPr>
        <w:t xml:space="preserve">, resa ai sensi del d.P.R. 28 dicembre 2000, n. 445, che attesti il possesso dei requisiti e l’assenza delle cause di esclusione che non è stato possibile verificare. </w:t>
      </w:r>
    </w:p>
    <w:p>
      <w:pPr>
        <w:pStyle w:val="Normal"/>
        <w:spacing w:before="60" w:after="60"/>
        <w:rPr>
          <w:rFonts w:ascii="Titillium" w:hAnsi="Titillium" w:cs="Calibri"/>
          <w:sz w:val="18"/>
          <w:szCs w:val="18"/>
        </w:rPr>
      </w:pPr>
      <w:r>
        <w:rPr>
          <w:rFonts w:cs="Calibri" w:ascii="Titillium" w:hAnsi="Titillium"/>
          <w:sz w:val="18"/>
          <w:szCs w:val="18"/>
        </w:rPr>
        <w:t>In caso di esito negativo delle verifiche, si procede all’esclusione e all’eventuale segnalazione all’ANAC in presenza delle condizioni di cui all’articolo 96, comma 15. Ove ne ricorrano le condizioni, si procede altresì all’incameramento della garanzia provvisoria.</w:t>
      </w:r>
    </w:p>
    <w:p>
      <w:pPr>
        <w:pStyle w:val="Normal"/>
        <w:spacing w:before="60" w:after="60"/>
        <w:rPr>
          <w:rFonts w:ascii="Titillium" w:hAnsi="Titillium" w:cs="Calibri"/>
          <w:sz w:val="18"/>
          <w:szCs w:val="18"/>
        </w:rPr>
      </w:pPr>
      <w:r>
        <w:rPr>
          <w:rFonts w:cs="Calibri" w:ascii="Titillium" w:hAnsi="Titillium"/>
          <w:sz w:val="18"/>
          <w:szCs w:val="18"/>
        </w:rPr>
        <w:t>Successivamente si procede a ricalcolare i punteggi e a riformulare la graduatoria procedendo altresì, alle verifiche nei termini sopra indicati. Nell’ipotesi di ulteriore esito negativo delle verifiche si procede nei termini sopra detti.</w:t>
      </w:r>
    </w:p>
    <w:p>
      <w:pPr>
        <w:pStyle w:val="Normal"/>
        <w:spacing w:before="60" w:after="60"/>
        <w:rPr/>
      </w:pPr>
      <w:r>
        <w:rPr>
          <w:rFonts w:cs="Calibri" w:ascii="Titillium" w:hAnsi="Titillium"/>
          <w:sz w:val="18"/>
          <w:szCs w:val="18"/>
        </w:rPr>
        <w:t>Il contratto è stipulato non prima di 32 giorni dall’invio dell’ultima delle comunicazioni del provvedimento di aggiudicazione e comunque entro 60</w:t>
      </w:r>
      <w:r>
        <w:rPr>
          <w:rFonts w:cs="Calibri" w:ascii="Titillium" w:hAnsi="Titillium"/>
          <w:i/>
          <w:iCs/>
          <w:sz w:val="18"/>
          <w:szCs w:val="18"/>
        </w:rPr>
        <w:t xml:space="preserve"> </w:t>
      </w:r>
      <w:r>
        <w:rPr>
          <w:rFonts w:cs="Calibri" w:ascii="Titillium" w:hAnsi="Titillium"/>
          <w:sz w:val="18"/>
          <w:szCs w:val="18"/>
        </w:rPr>
        <w:t xml:space="preserve">giorni dall’aggiudicazione, salvo quanto previsto dall’articolo 18 comma 2 del Codice. </w:t>
      </w:r>
    </w:p>
    <w:p>
      <w:pPr>
        <w:pStyle w:val="Normal"/>
        <w:spacing w:before="60" w:after="60"/>
        <w:rPr>
          <w:rFonts w:ascii="Titillium" w:hAnsi="Titillium" w:cs="Calibri"/>
          <w:sz w:val="18"/>
          <w:szCs w:val="18"/>
        </w:rPr>
      </w:pPr>
      <w:r>
        <w:rPr>
          <w:rFonts w:cs="Calibri" w:ascii="Titillium" w:hAnsi="Titillium"/>
          <w:sz w:val="18"/>
          <w:szCs w:val="18"/>
        </w:rPr>
        <w:t>A seguito di richiesta motivata proveniente dall’aggiudicatario la data di stipula del contratto può essere differita purché ritenuta compatibile con la sollecita esecuzione del contratto stesso.</w:t>
      </w:r>
    </w:p>
    <w:p>
      <w:pPr>
        <w:pStyle w:val="Normal"/>
        <w:spacing w:before="60" w:after="60"/>
        <w:rPr>
          <w:rFonts w:ascii="Titillium" w:hAnsi="Titillium" w:cs="Calibri"/>
          <w:sz w:val="18"/>
          <w:szCs w:val="18"/>
        </w:rPr>
      </w:pPr>
      <w:r>
        <w:rPr>
          <w:rFonts w:cs="Calibri" w:ascii="Titillium" w:hAnsi="Titillium"/>
          <w:sz w:val="18"/>
          <w:szCs w:val="18"/>
        </w:rPr>
        <w:t>La garanzia provvisoria dell’aggiudicatario è svincolata automaticamente al momento della stipula del contratto; la garanzia provvisoria degli altri concorrenti è svincolata con il provvedimento di aggiudicazione e perde, in ogni caso, efficacia entro 30 giorni dall’aggiudicazione.</w:t>
      </w:r>
    </w:p>
    <w:p>
      <w:pPr>
        <w:pStyle w:val="Normal"/>
        <w:spacing w:before="60" w:after="60"/>
        <w:rPr>
          <w:rFonts w:ascii="Titillium" w:hAnsi="Titillium" w:cs="Calibri"/>
          <w:sz w:val="18"/>
          <w:szCs w:val="18"/>
        </w:rPr>
      </w:pPr>
      <w:r>
        <w:rPr>
          <w:rFonts w:cs="Calibri" w:ascii="Titillium" w:hAnsi="Titillium"/>
          <w:sz w:val="18"/>
          <w:szCs w:val="18"/>
        </w:rPr>
        <w:t>All’atto della stipulazione del contratto, l’aggiudicatario deve presentare la garanzia definitiva da calcolare sull’importo contrattuale, secondo le misure e le modalità previste dall’articolo 117 del Codice.</w:t>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cs="Calibri"/>
          <w:sz w:val="18"/>
          <w:szCs w:val="18"/>
        </w:rPr>
      </w:pPr>
      <w:r>
        <w:rPr>
          <w:rFonts w:cs="Calibri" w:ascii="Titillium" w:hAnsi="Titillium"/>
          <w:sz w:val="18"/>
          <w:szCs w:val="18"/>
        </w:rPr>
      </w:r>
    </w:p>
    <w:p>
      <w:pPr>
        <w:pStyle w:val="Normal"/>
        <w:spacing w:before="60" w:after="60"/>
        <w:rPr>
          <w:rFonts w:ascii="Titillium" w:hAnsi="Titillium" w:cs="Calibri"/>
          <w:sz w:val="18"/>
          <w:szCs w:val="18"/>
        </w:rPr>
      </w:pPr>
      <w:r>
        <w:rPr>
          <w:rFonts w:cs="Calibri" w:ascii="Titillium" w:hAnsi="Titillium"/>
          <w:sz w:val="18"/>
          <w:szCs w:val="18"/>
        </w:rPr>
        <w:t xml:space="preserve">Se la stipula del contratto non avviene nel termine per fatto della stazione appaltante, l’aggiudicatario può farne constatare il silenzio inadempimento o, in alternativa, può sciogliersi da ogni vincolo mediante atto notificato. All’aggiudicatario non spetta alcun indennizzo, salvo il rimborso delle spese contrattuali. </w:t>
      </w:r>
    </w:p>
    <w:p>
      <w:pPr>
        <w:pStyle w:val="Normal"/>
        <w:spacing w:before="60" w:after="60"/>
        <w:rPr>
          <w:rFonts w:ascii="Titillium" w:hAnsi="Titillium" w:cs="Calibri"/>
          <w:sz w:val="18"/>
          <w:szCs w:val="18"/>
        </w:rPr>
      </w:pPr>
      <w:r>
        <w:rPr>
          <w:rFonts w:cs="Calibri" w:ascii="Titillium" w:hAnsi="Titillium"/>
          <w:sz w:val="18"/>
          <w:szCs w:val="18"/>
        </w:rPr>
        <w:t xml:space="preserve">Se la stipula del contratto non avviene nel termine fissato per fatto dell’aggiudicatario può costituire motivo di revoca dell’aggiudicazione. </w:t>
      </w:r>
    </w:p>
    <w:p>
      <w:pPr>
        <w:pStyle w:val="Normal"/>
        <w:spacing w:before="60" w:after="60"/>
        <w:rPr>
          <w:rFonts w:ascii="Titillium" w:hAnsi="Titillium" w:cs="Calibri"/>
          <w:sz w:val="18"/>
          <w:szCs w:val="18"/>
        </w:rPr>
      </w:pPr>
      <w:r>
        <w:rPr>
          <w:rFonts w:cs="Calibri" w:ascii="Titillium" w:hAnsi="Titillium"/>
          <w:sz w:val="18"/>
          <w:szCs w:val="18"/>
        </w:rPr>
        <w:t>La mancata o tardiva stipula del contratto al di fuori delle ipotesi predette, costituisce violazione del dovere di buona fede, anche in pendenza di contenzioso.</w:t>
      </w:r>
    </w:p>
    <w:p>
      <w:pPr>
        <w:pStyle w:val="Normal"/>
        <w:spacing w:before="60" w:after="60"/>
        <w:rPr>
          <w:rFonts w:ascii="Titillium" w:hAnsi="Titillium" w:cs="Calibri"/>
          <w:sz w:val="18"/>
          <w:szCs w:val="18"/>
        </w:rPr>
      </w:pPr>
      <w:r>
        <w:rPr>
          <w:rFonts w:cs="Calibri" w:ascii="Titillium" w:hAnsi="Titillium"/>
          <w:sz w:val="18"/>
          <w:szCs w:val="18"/>
        </w:rPr>
        <w:t>L’aggiudicatario deposita, prima o contestualmente alla sottoscrizione del contratto di appalto, i contratti continuativi di cooperazione, servizio e/o fornitura di cui all’articolo 119, comma 3, lett. d) del Codice.</w:t>
      </w:r>
    </w:p>
    <w:p>
      <w:pPr>
        <w:pStyle w:val="Normal"/>
        <w:spacing w:before="60" w:after="60"/>
        <w:rPr>
          <w:rFonts w:ascii="Titillium" w:hAnsi="Titillium" w:cs="Calibri"/>
          <w:sz w:val="18"/>
          <w:szCs w:val="18"/>
        </w:rPr>
      </w:pPr>
      <w:r>
        <w:rPr>
          <w:rFonts w:cs="Calibri" w:ascii="Titillium" w:hAnsi="Titillium"/>
          <w:sz w:val="18"/>
          <w:szCs w:val="18"/>
        </w:rPr>
        <w:t>L’affidatario comunica, per ogni sub-contratto che non costituisce subappalto, l’importo e l’oggetto del medesimo, nonché il nome del sub-contraente, prima dell’inizio della prestazione.</w:t>
      </w:r>
    </w:p>
    <w:p>
      <w:pPr>
        <w:pStyle w:val="Normal"/>
        <w:spacing w:before="60" w:after="60"/>
        <w:rPr>
          <w:rFonts w:ascii="Titillium" w:hAnsi="Titillium" w:cs="Calibri"/>
          <w:iCs/>
          <w:sz w:val="18"/>
          <w:szCs w:val="18"/>
        </w:rPr>
      </w:pPr>
      <w:r>
        <w:rPr>
          <w:rFonts w:cs="Calibri" w:ascii="Titillium" w:hAnsi="Titillium"/>
          <w:sz w:val="18"/>
          <w:szCs w:val="18"/>
        </w:rPr>
        <w:t xml:space="preserve">Il contratto è stipulato mediante le </w:t>
      </w:r>
      <w:r>
        <w:rPr>
          <w:rFonts w:cs="Calibri" w:ascii="Titillium" w:hAnsi="Titillium"/>
          <w:iCs/>
          <w:sz w:val="18"/>
          <w:szCs w:val="18"/>
        </w:rPr>
        <w:t>modalità individuate dall’articolo 18 del Codice.</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 xml:space="preserve">Sono a carico dell’aggiudicatario tutte le spese contrattuali, gli oneri fiscali quali imposte e tasse - ivi comprese quelle di registro ove dovute - relative alla stipulazione del contratto. </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La stipulazione del contratto è subordinata all’esito positivo delle procedure previste dalla normativa vigente in materia di lotta alla mafia, fatto salvo quanto previsto dall’art. 88 comma 4-bis e 89 e dall’art. 92 comma 3 del d.lgs. 159/2011.</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Come da protocollo di Legalità del 19/06/2018 con la Prefettura di Bologna, in deroga alle soglie di valore previste dalla normativa vigente, quest’Azienda USL procederà a richiedere alla ditta aggiudicataria informazione antimafia ex artt.84 e 91 D.Lgs. 159/2011, tramite Banca Dati Nazionale Antimafia (B.D.N.A.), per tutti gli importi di aggiudicazione superiori a 50.000,00 euro.</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Come da protocollo di Legalità del 19/06/2018 con la Prefettura di Bologna:</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 la sottoscrizione del contratto ovvero le concessioni o le autorizzazioni effettuate prima dell’acquisizione delle informazioni di cui al D.Lgs. 159/2011, anche al di fuori delle soglie di valore ivi previste, sono corrisposte sotto condizione risolutiva e questa Azienda USL procederà alla revoca della concessione e allo scioglimento del contratto qualora dovessero intervenire informazioni interdittive.</w:t>
      </w:r>
    </w:p>
    <w:p>
      <w:pPr>
        <w:pStyle w:val="Normal"/>
        <w:widowControl w:val="false"/>
        <w:spacing w:before="60" w:after="60"/>
        <w:rPr>
          <w:rFonts w:ascii="Titillium" w:hAnsi="Titillium" w:cs="Calibri"/>
          <w:sz w:val="18"/>
          <w:szCs w:val="18"/>
          <w:lang w:eastAsia="it-IT"/>
        </w:rPr>
      </w:pPr>
      <w:r>
        <w:rPr>
          <w:rFonts w:cs="Calibri" w:ascii="Titillium" w:hAnsi="Titillium"/>
          <w:sz w:val="18"/>
          <w:szCs w:val="18"/>
          <w:lang w:eastAsia="it-IT"/>
        </w:rPr>
        <w:t>Il mancato rispetto del protocollo di legalità costituisce causa di risoluzione del contratto, ai sensi dell’articolo 83-bis, del decreto legislativo 159/2011.</w:t>
      </w:r>
    </w:p>
    <w:p>
      <w:pPr>
        <w:pStyle w:val="Normal"/>
        <w:spacing w:before="60" w:after="60"/>
        <w:rPr>
          <w:rFonts w:ascii="Titillium" w:hAnsi="Titillium" w:cs="Calibri"/>
          <w:sz w:val="18"/>
          <w:szCs w:val="18"/>
        </w:rPr>
      </w:pPr>
      <w:r>
        <w:rPr>
          <w:rFonts w:cs="Calibri" w:ascii="Titillium" w:hAnsi="Titillium"/>
          <w:sz w:val="18"/>
          <w:szCs w:val="18"/>
        </w:rPr>
      </w:r>
    </w:p>
    <w:p>
      <w:pPr>
        <w:pStyle w:val="Heading2"/>
        <w:numPr>
          <w:ilvl w:val="0"/>
          <w:numId w:val="3"/>
        </w:numPr>
        <w:rPr/>
      </w:pPr>
      <w:bookmarkStart w:id="3019" w:name="__RefHeading___Toc11766_2735037374"/>
      <w:bookmarkStart w:id="3020" w:name="_Toc207275768"/>
      <w:bookmarkEnd w:id="3019"/>
      <w:r>
        <w:rPr/>
        <w:t>OBBLIGHI RELATIVI ALLA TRACCIABILITÀ DEI FLUSSI FINANZIARI</w:t>
      </w:r>
      <w:bookmarkEnd w:id="3020"/>
      <w:r>
        <w:rPr/>
        <w:t xml:space="preserve"> </w:t>
      </w:r>
    </w:p>
    <w:p>
      <w:pPr>
        <w:pStyle w:val="Normal"/>
        <w:rPr>
          <w:rFonts w:ascii="Titillium" w:hAnsi="Titillium"/>
          <w:sz w:val="18"/>
          <w:szCs w:val="18"/>
        </w:rPr>
      </w:pPr>
      <w:r>
        <w:rPr>
          <w:rFonts w:ascii="Titillium" w:hAnsi="Titillium"/>
          <w:sz w:val="18"/>
          <w:szCs w:val="18"/>
        </w:rPr>
        <w:t>Il contratto d’appalto, quelli di subappalto e i subcontratti sono soggetti agli obblighi in tema di tracciabilità dei flussi finanziari di cui alla legge 13 agosto 2010, n. 136</w:t>
      </w:r>
    </w:p>
    <w:p>
      <w:pPr>
        <w:pStyle w:val="Normal"/>
        <w:rPr>
          <w:rFonts w:ascii="Titillium" w:hAnsi="Titillium"/>
          <w:sz w:val="18"/>
          <w:szCs w:val="18"/>
        </w:rPr>
      </w:pPr>
      <w:r>
        <w:rPr>
          <w:rFonts w:ascii="Titillium" w:hAnsi="Titillium"/>
          <w:sz w:val="18"/>
          <w:szCs w:val="18"/>
        </w:rPr>
        <w:t>L’affidatario deve comunicare alla stazione appaltante:</w:t>
      </w:r>
    </w:p>
    <w:p>
      <w:pPr>
        <w:pStyle w:val="ListParagraph"/>
        <w:numPr>
          <w:ilvl w:val="0"/>
          <w:numId w:val="38"/>
        </w:numPr>
        <w:ind w:hanging="360" w:left="426"/>
        <w:rPr>
          <w:rFonts w:ascii="Titillium" w:hAnsi="Titillium"/>
          <w:sz w:val="18"/>
          <w:szCs w:val="18"/>
        </w:rPr>
      </w:pPr>
      <w:r>
        <w:rPr>
          <w:rFonts w:ascii="Titillium" w:hAnsi="Titillium"/>
          <w:sz w:val="18"/>
          <w:szCs w:val="18"/>
        </w:rPr>
        <w:t>gli estremi identificativi dei conti correnti bancari o postali dedicati, con l'indicazione dell'opera/servizio/fornitura alla quale sono dedicati;</w:t>
      </w:r>
    </w:p>
    <w:p>
      <w:pPr>
        <w:pStyle w:val="ListParagraph"/>
        <w:numPr>
          <w:ilvl w:val="0"/>
          <w:numId w:val="38"/>
        </w:numPr>
        <w:ind w:hanging="360" w:left="426"/>
        <w:rPr>
          <w:rFonts w:ascii="Titillium" w:hAnsi="Titillium"/>
          <w:sz w:val="18"/>
          <w:szCs w:val="18"/>
        </w:rPr>
      </w:pPr>
      <w:r>
        <w:rPr>
          <w:rFonts w:ascii="Titillium" w:hAnsi="Titillium"/>
          <w:sz w:val="18"/>
          <w:szCs w:val="18"/>
        </w:rPr>
        <w:t>le generalità e il codice fiscale delle persone delegate ad operare sugli stessi;</w:t>
      </w:r>
    </w:p>
    <w:p>
      <w:pPr>
        <w:pStyle w:val="ListParagraph"/>
        <w:numPr>
          <w:ilvl w:val="0"/>
          <w:numId w:val="38"/>
        </w:numPr>
        <w:ind w:hanging="360" w:left="426"/>
        <w:rPr>
          <w:rFonts w:ascii="Titillium" w:hAnsi="Titillium"/>
          <w:sz w:val="18"/>
          <w:szCs w:val="18"/>
        </w:rPr>
      </w:pPr>
      <w:r>
        <w:rPr>
          <w:rFonts w:ascii="Titillium" w:hAnsi="Titillium"/>
          <w:sz w:val="18"/>
          <w:szCs w:val="18"/>
        </w:rPr>
        <w:t xml:space="preserve">ogni modifica relativa ai dati trasmessi. </w:t>
      </w:r>
    </w:p>
    <w:p>
      <w:pPr>
        <w:pStyle w:val="Normal"/>
        <w:rPr>
          <w:rFonts w:ascii="Titillium" w:hAnsi="Titillium"/>
          <w:sz w:val="18"/>
          <w:szCs w:val="18"/>
        </w:rPr>
      </w:pPr>
      <w:r>
        <w:rPr>
          <w:rFonts w:ascii="Titillium" w:hAnsi="Titillium"/>
          <w:sz w:val="18"/>
          <w:szCs w:val="18"/>
        </w:rPr>
        <w:t xml:space="preserve">La comunicazione deve essere effettuata entro sette giorni dall'accensione del conto corrente ovvero, nel caso di conti correnti già esistenti, dalla loro prima utilizzazione in operazioni finanziarie relative ad una commessa pubblica. In caso di persone giuridiche, la comunicazione de quo deve essere sottoscritta da un legale rappresentante ovvero da un soggetto munito di apposita procura. L'omessa, tardiva o incompleta comunicazione degli elementi informativi comporta, a carico del soggetto inadempiente, l'applicazione di una sanzione amministrativa pecuniaria da 500 a 3.000 euro. </w:t>
      </w:r>
    </w:p>
    <w:p>
      <w:pPr>
        <w:pStyle w:val="Normal"/>
        <w:rPr>
          <w:rFonts w:ascii="Titillium" w:hAnsi="Titillium"/>
          <w:sz w:val="18"/>
          <w:szCs w:val="18"/>
        </w:rPr>
      </w:pPr>
      <w:r>
        <w:rPr>
          <w:rFonts w:ascii="Titillium" w:hAnsi="Titillium"/>
          <w:sz w:val="18"/>
          <w:szCs w:val="18"/>
        </w:rPr>
        <w:t xml:space="preserve">Il mancato adempimento agli obblighi previsti per la tracciabilità dei flussi finanziari relativi all’appalto comporta la risoluzione di diritto del contratto. </w:t>
      </w:r>
    </w:p>
    <w:p>
      <w:pPr>
        <w:pStyle w:val="Normal"/>
        <w:rPr>
          <w:rFonts w:ascii="Titillium" w:hAnsi="Titillium"/>
          <w:sz w:val="18"/>
          <w:szCs w:val="18"/>
        </w:rPr>
      </w:pPr>
      <w:r>
        <w:rPr>
          <w:rFonts w:ascii="Titillium" w:hAnsi="Titillium"/>
          <w:sz w:val="18"/>
          <w:szCs w:val="18"/>
        </w:rPr>
        <w:t>In occasione di ogni pagamento all’appaltatore o di interventi di controllo ulteriori si procede alla verifica dell’assolvimento degli obblighi relativi alla tracciabilità dei flussi finanziari.</w:t>
      </w:r>
    </w:p>
    <w:p>
      <w:pPr>
        <w:pStyle w:val="Normal"/>
        <w:rPr>
          <w:rFonts w:ascii="Titillium" w:hAnsi="Titillium"/>
          <w:sz w:val="18"/>
          <w:szCs w:val="18"/>
        </w:rPr>
      </w:pPr>
      <w:r>
        <w:rPr>
          <w:rFonts w:ascii="Titillium" w:hAnsi="Titillium"/>
          <w:sz w:val="18"/>
          <w:szCs w:val="18"/>
        </w:rPr>
        <w:t>Il contratto è sottoposto alla condizione risolutiva in tutti i casi in cui le transazioni siano state eseguite senza avvalersi di banche o di Società Poste Italiane S.p.a. o anche senza strumenti diversi dal bonifico bancario o postale che siano idonei a garantire la piena tracciabilità delle operazioni per il corrispettivo dovuto in dipendenza del contratto.</w:t>
      </w:r>
    </w:p>
    <w:p>
      <w:pPr>
        <w:pStyle w:val="Normal"/>
        <w:rPr>
          <w:rFonts w:ascii="Titillium" w:hAnsi="Titillium"/>
          <w:sz w:val="18"/>
          <w:szCs w:val="18"/>
        </w:rPr>
      </w:pPr>
      <w:r>
        <w:rPr>
          <w:rFonts w:ascii="Titillium" w:hAnsi="Titillium"/>
          <w:sz w:val="18"/>
          <w:szCs w:val="18"/>
        </w:rPr>
      </w:r>
    </w:p>
    <w:p>
      <w:pPr>
        <w:pStyle w:val="Heading2"/>
        <w:numPr>
          <w:ilvl w:val="0"/>
          <w:numId w:val="3"/>
        </w:numPr>
        <w:rPr/>
      </w:pPr>
      <w:bookmarkStart w:id="3021" w:name="__RefHeading___Toc11768_2735037374"/>
      <w:bookmarkStart w:id="3022" w:name="_Toc207275769"/>
      <w:bookmarkEnd w:id="3021"/>
      <w:r>
        <w:rPr/>
        <w:t>CODICE DI COMPORTAMENTO</w:t>
      </w:r>
      <w:bookmarkEnd w:id="3022"/>
      <w:r>
        <w:rPr/>
        <w:t xml:space="preserve">  </w:t>
      </w:r>
    </w:p>
    <w:p>
      <w:pPr>
        <w:pStyle w:val="Normal"/>
        <w:widowControl w:val="false"/>
        <w:spacing w:lineRule="exact" w:line="280"/>
        <w:rPr/>
      </w:pPr>
      <w:r>
        <w:rPr>
          <w:rFonts w:ascii="Titillium" w:hAnsi="Titillium"/>
          <w:sz w:val="18"/>
          <w:szCs w:val="18"/>
          <w:lang w:eastAsia="it-IT"/>
        </w:rPr>
        <w:t>Nello svolgimento delle attività oggetto del contratto di appalto, l’aggiudicatario deve uniformarsi ai principi e, per quanto compatibili, ai doveri di condotta richiamati nel Decreto del Presidente della Repubblica 16 aprile 2013 n. 62  e nel codice di comportamento di questa stazione appaltante e n</w:t>
      </w:r>
      <w:r>
        <w:rPr>
          <w:rFonts w:ascii="Titillium" w:hAnsi="Titillium"/>
          <w:iCs/>
          <w:sz w:val="18"/>
          <w:szCs w:val="18"/>
          <w:lang w:eastAsia="it-IT"/>
        </w:rPr>
        <w:t>el Piano Triennale di Prevenzione della Corruzione e della Trasparenza</w:t>
      </w:r>
      <w:r>
        <w:rPr>
          <w:rFonts w:ascii="Titillium" w:hAnsi="Titillium"/>
          <w:i/>
          <w:iCs/>
          <w:sz w:val="18"/>
          <w:szCs w:val="18"/>
          <w:lang w:eastAsia="it-IT"/>
        </w:rPr>
        <w:t xml:space="preserve">, </w:t>
      </w:r>
      <w:r>
        <w:rPr>
          <w:rFonts w:ascii="Titillium" w:hAnsi="Titillium"/>
          <w:sz w:val="18"/>
          <w:szCs w:val="18"/>
          <w:lang w:eastAsia="it-IT"/>
        </w:rPr>
        <w:t>nonché nella</w:t>
      </w:r>
      <w:r>
        <w:rPr>
          <w:rFonts w:ascii="Titillium" w:hAnsi="Titillium"/>
          <w:iCs/>
          <w:sz w:val="18"/>
          <w:szCs w:val="18"/>
          <w:lang w:eastAsia="it-IT"/>
        </w:rPr>
        <w:t xml:space="preserve"> sottosezione Rischi corruttivi e trasparenza del PIAO</w:t>
      </w:r>
      <w:r>
        <w:rPr>
          <w:rFonts w:ascii="Titillium" w:hAnsi="Titillium"/>
          <w:sz w:val="18"/>
          <w:szCs w:val="18"/>
          <w:lang w:eastAsia="it-IT"/>
        </w:rPr>
        <w:t xml:space="preserve">. </w:t>
      </w:r>
    </w:p>
    <w:p>
      <w:pPr>
        <w:pStyle w:val="Normal"/>
        <w:widowControl w:val="false"/>
        <w:spacing w:lineRule="exact" w:line="280"/>
        <w:rPr>
          <w:rFonts w:ascii="Titillium" w:hAnsi="Titillium"/>
          <w:sz w:val="18"/>
          <w:szCs w:val="18"/>
          <w:lang w:eastAsia="it-IT"/>
        </w:rPr>
      </w:pPr>
      <w:r>
        <w:rPr>
          <w:rFonts w:ascii="Titillium" w:hAnsi="Titillium"/>
          <w:sz w:val="18"/>
          <w:szCs w:val="18"/>
          <w:lang w:eastAsia="it-IT"/>
        </w:rPr>
        <w:t>In seguito alla comunicazione di aggiudicazione e prima della stipula del contratto, l’aggiudicatario</w:t>
      </w:r>
      <w:r>
        <w:rPr>
          <w:rFonts w:ascii="Titillium" w:hAnsi="Titillium"/>
          <w:i/>
          <w:sz w:val="18"/>
          <w:szCs w:val="18"/>
          <w:lang w:eastAsia="it-IT"/>
        </w:rPr>
        <w:t xml:space="preserve"> </w:t>
      </w:r>
      <w:r>
        <w:rPr>
          <w:rFonts w:ascii="Titillium" w:hAnsi="Titillium"/>
          <w:sz w:val="18"/>
          <w:szCs w:val="18"/>
          <w:lang w:eastAsia="it-IT"/>
        </w:rPr>
        <w:t>ha l’onere di prendere visione dei già menzionati documenti pubblicati sul sito della stazione appaltante:</w:t>
      </w:r>
    </w:p>
    <w:p>
      <w:pPr>
        <w:pStyle w:val="Normal"/>
        <w:widowControl w:val="false"/>
        <w:spacing w:lineRule="exact" w:line="280"/>
        <w:rPr>
          <w:rFonts w:ascii="Titillium" w:hAnsi="Titillium"/>
          <w:sz w:val="18"/>
          <w:szCs w:val="18"/>
          <w:lang w:eastAsia="it-IT"/>
        </w:rPr>
      </w:pPr>
      <w:r>
        <w:rPr>
          <w:rFonts w:ascii="Titillium" w:hAnsi="Titillium"/>
          <w:sz w:val="18"/>
          <w:szCs w:val="18"/>
          <w:lang w:eastAsia="it-IT"/>
        </w:rPr>
        <w:t>-</w:t>
        <w:tab/>
        <w:t>Codice di comportamento - https://www.ausl.bologna.it/amministrazione-trasparente/disposizioni-generali/atti-generali/cdcc</w:t>
      </w:r>
    </w:p>
    <w:p>
      <w:pPr>
        <w:pStyle w:val="Normal"/>
        <w:widowControl w:val="false"/>
        <w:spacing w:lineRule="exact" w:line="280"/>
        <w:rPr>
          <w:rFonts w:ascii="Titillium" w:hAnsi="Titillium"/>
          <w:sz w:val="18"/>
          <w:szCs w:val="18"/>
          <w:lang w:eastAsia="it-IT"/>
        </w:rPr>
      </w:pPr>
      <w:r>
        <w:rPr>
          <w:rFonts w:ascii="Titillium" w:hAnsi="Titillium"/>
          <w:sz w:val="18"/>
          <w:szCs w:val="18"/>
          <w:lang w:eastAsia="it-IT"/>
        </w:rPr>
        <w:t>-</w:t>
        <w:tab/>
        <w:t>Piano Triennale di Prevenzione della Corruzione e della Trasparenza e sottosezione Rischi corruttivi e trasparenza PIAO https://www.ausl.bologna.it/amministrazione-trasparente/altri-contenuti-dati-ulteriori/ac/corruzione</w:t>
      </w:r>
    </w:p>
    <w:p>
      <w:pPr>
        <w:pStyle w:val="Normal"/>
        <w:widowControl w:val="false"/>
        <w:spacing w:lineRule="exact" w:line="280"/>
        <w:rPr/>
      </w:pPr>
      <w:r>
        <w:rPr/>
      </w:r>
    </w:p>
    <w:p>
      <w:pPr>
        <w:pStyle w:val="Heading2"/>
        <w:numPr>
          <w:ilvl w:val="0"/>
          <w:numId w:val="3"/>
        </w:numPr>
        <w:rPr/>
      </w:pPr>
      <w:bookmarkStart w:id="3023" w:name="__RefHeading___Toc11770_2735037374"/>
      <w:bookmarkStart w:id="3024" w:name="_Toc207275770"/>
      <w:bookmarkEnd w:id="3023"/>
      <w:r>
        <w:rPr/>
        <w:t>ACCESSO AGLI ATTI</w:t>
      </w:r>
      <w:bookmarkEnd w:id="3024"/>
    </w:p>
    <w:p>
      <w:pPr>
        <w:pStyle w:val="Normal"/>
        <w:widowControl w:val="false"/>
        <w:spacing w:lineRule="exact" w:line="280"/>
        <w:rPr>
          <w:rFonts w:ascii="Titillium" w:hAnsi="Titillium"/>
          <w:sz w:val="18"/>
          <w:szCs w:val="18"/>
        </w:rPr>
      </w:pPr>
      <w:r>
        <w:rPr>
          <w:rFonts w:ascii="Titillium" w:hAnsi="Titillium"/>
          <w:sz w:val="18"/>
          <w:szCs w:val="18"/>
        </w:rPr>
        <w:t>L’accesso agli atti della procedura è assicurato in modalità digitale mediante acquisizione diretta dei dati e delle informazioni inseriti nelle PAD a decorrere dalla comunicazione digitale dell’aggiudicazione.</w:t>
      </w:r>
    </w:p>
    <w:p>
      <w:pPr>
        <w:pStyle w:val="Normal"/>
        <w:widowControl w:val="false"/>
        <w:spacing w:lineRule="exact" w:line="280"/>
        <w:rPr>
          <w:rFonts w:ascii="Titillium" w:hAnsi="Titillium"/>
          <w:sz w:val="18"/>
          <w:szCs w:val="18"/>
        </w:rPr>
      </w:pPr>
      <w:r>
        <w:rPr>
          <w:rFonts w:ascii="Titillium" w:hAnsi="Titillium"/>
          <w:sz w:val="18"/>
          <w:szCs w:val="18"/>
        </w:rPr>
        <w:t>A tutti i partecipanti non esclusi in via definitiva sono messi a disposizione, mediante la PAD, l’offerta dell’operatore economico risultato aggiudicatario, i verbali di gara e gli atti, i dati e le informazioni che sono stati valutati ai fini dell’aggiudicazione. La disponibilità dei documenti è garantita secondo le modalità indicate all’articolo 36 del Codice.</w:t>
      </w:r>
    </w:p>
    <w:p>
      <w:pPr>
        <w:pStyle w:val="Normal"/>
        <w:widowControl w:val="false"/>
        <w:spacing w:lineRule="exact" w:line="280"/>
        <w:rPr>
          <w:rFonts w:ascii="Titillium" w:hAnsi="Titillium"/>
          <w:sz w:val="18"/>
          <w:szCs w:val="18"/>
        </w:rPr>
      </w:pPr>
      <w:r>
        <w:rPr>
          <w:rFonts w:ascii="Titillium" w:hAnsi="Titillium"/>
          <w:sz w:val="18"/>
          <w:szCs w:val="18"/>
        </w:rPr>
        <w:t>Ai partecipanti collocatisi nei primi cinque posti della graduatoria sono rese disponibili, reciprocamente, le offerte presentate dagli stessi mediante indicate all’articolo 36 del Codice.</w:t>
      </w:r>
    </w:p>
    <w:p>
      <w:pPr>
        <w:pStyle w:val="Normal"/>
        <w:widowControl w:val="false"/>
        <w:spacing w:lineRule="exact" w:line="280"/>
        <w:rPr>
          <w:rFonts w:ascii="Titillium" w:hAnsi="Titillium"/>
          <w:sz w:val="18"/>
          <w:szCs w:val="18"/>
        </w:rPr>
      </w:pPr>
      <w:r>
        <w:rPr>
          <w:rFonts w:ascii="Titillium" w:hAnsi="Titillium"/>
          <w:sz w:val="18"/>
          <w:szCs w:val="18"/>
        </w:rPr>
        <w:t xml:space="preserve">La disponibilità della documentazione è comunicata agli interessati mediante la Piattaforma.  </w:t>
      </w:r>
    </w:p>
    <w:p>
      <w:pPr>
        <w:pStyle w:val="Normal"/>
        <w:widowControl w:val="false"/>
        <w:spacing w:lineRule="exact" w:line="280"/>
        <w:rPr>
          <w:rFonts w:ascii="Titillium" w:hAnsi="Titillium"/>
          <w:sz w:val="18"/>
          <w:szCs w:val="18"/>
        </w:rPr>
      </w:pPr>
      <w:r>
        <w:rPr>
          <w:rFonts w:ascii="Titillium" w:hAnsi="Titillium"/>
          <w:sz w:val="18"/>
          <w:szCs w:val="18"/>
        </w:rPr>
        <w:t xml:space="preserve">I partecipanti collocatisi oltre il quinto posto della graduatoria possono accedere alle offerte dei concorrenti diversi dal primo presentando apposita istanza ai sensi degli articoli 3 bis e 22 della legge n. 241/90. </w:t>
      </w:r>
    </w:p>
    <w:p>
      <w:pPr>
        <w:pStyle w:val="Normal"/>
        <w:widowControl w:val="false"/>
        <w:spacing w:lineRule="exact" w:line="280"/>
        <w:rPr>
          <w:rFonts w:ascii="Titillium" w:hAnsi="Titillium"/>
          <w:sz w:val="18"/>
          <w:szCs w:val="18"/>
        </w:rPr>
      </w:pPr>
      <w:r>
        <w:rPr>
          <w:rFonts w:ascii="Titillium" w:hAnsi="Titillium"/>
          <w:sz w:val="18"/>
          <w:szCs w:val="18"/>
        </w:rPr>
        <w:t>Nel caso in cui sia richiesto l’oscuramento di parti delle offerte e dei giustificativi, le decisioni in ordine all’accoglimento o al rigetto della richiesta sono rese note dal Responsabile unico di progetto al momento della comunicazione digitale dell’aggiudicazione.  Le decisioni di cui sopra possono essere impugnate innanzi al Tribunale amministrativo di competenza nel termine di dieci giorni dalla comunicazione. Prima del decorso di tale termine le offerte e i giustificativi dei primi cinque classificati sono messi reciprocamente a disposizione, con le modalità suindicate, nella versione oscurata.</w:t>
      </w:r>
    </w:p>
    <w:p>
      <w:pPr>
        <w:pStyle w:val="Normal"/>
        <w:widowControl w:val="false"/>
        <w:spacing w:lineRule="exact" w:line="280"/>
        <w:rPr>
          <w:rFonts w:ascii="Titillium" w:hAnsi="Titillium"/>
          <w:sz w:val="18"/>
          <w:szCs w:val="18"/>
        </w:rPr>
      </w:pPr>
      <w:r>
        <w:rPr>
          <w:rFonts w:ascii="Titillium" w:hAnsi="Titillium"/>
          <w:sz w:val="18"/>
          <w:szCs w:val="18"/>
        </w:rPr>
        <w:t>Fatti salvi i casi di esclusione di cui all’articolo 35, comma 4, del codice, gli atti della procedura sono resi accessibili ai soggetti che presentino apposita istanza di accesso civico ai sensi dell’articolo 5 del decreto legislativo 14/3/2013, n. 33. L’esercizio del diritto di accesso è differito nei casi indicati al comma 2 dell’articolo 35 del codice.</w:t>
      </w:r>
    </w:p>
    <w:p>
      <w:pPr>
        <w:pStyle w:val="Normal"/>
        <w:widowControl w:val="false"/>
        <w:spacing w:lineRule="exact" w:line="280"/>
        <w:rPr>
          <w:rFonts w:ascii="Titillium" w:hAnsi="Titillium"/>
          <w:sz w:val="18"/>
          <w:szCs w:val="18"/>
        </w:rPr>
      </w:pPr>
      <w:r>
        <w:rPr>
          <w:rFonts w:ascii="Titillium" w:hAnsi="Titillium"/>
          <w:sz w:val="18"/>
          <w:szCs w:val="18"/>
        </w:rPr>
      </w:r>
    </w:p>
    <w:p>
      <w:pPr>
        <w:pStyle w:val="Heading2"/>
        <w:numPr>
          <w:ilvl w:val="0"/>
          <w:numId w:val="3"/>
        </w:numPr>
        <w:rPr/>
      </w:pPr>
      <w:bookmarkStart w:id="3025" w:name="__RefHeading___Toc11772_2735037374"/>
      <w:bookmarkStart w:id="3026" w:name="_Toc207275771"/>
      <w:bookmarkStart w:id="3027" w:name="_Toc406754194"/>
      <w:bookmarkStart w:id="3028" w:name="_Toc416423377"/>
      <w:bookmarkStart w:id="3029" w:name="_Toc354038182"/>
      <w:bookmarkStart w:id="3030" w:name="_Toc380501885"/>
      <w:bookmarkStart w:id="3031" w:name="_Toc391035998"/>
      <w:bookmarkStart w:id="3032" w:name="_Toc391036071"/>
      <w:bookmarkStart w:id="3033" w:name="_Toc392577512"/>
      <w:bookmarkStart w:id="3034" w:name="_Toc393110579"/>
      <w:bookmarkStart w:id="3035" w:name="_Toc393112143"/>
      <w:bookmarkStart w:id="3036" w:name="_Toc393187860"/>
      <w:bookmarkStart w:id="3037" w:name="_Toc393272616"/>
      <w:bookmarkStart w:id="3038" w:name="_Toc393272674"/>
      <w:bookmarkStart w:id="3039" w:name="_Toc393283190"/>
      <w:bookmarkStart w:id="3040" w:name="_Toc393700849"/>
      <w:bookmarkStart w:id="3041" w:name="_Toc393706922"/>
      <w:bookmarkStart w:id="3042" w:name="_Toc397346837"/>
      <w:bookmarkStart w:id="3043" w:name="_Toc397422878"/>
      <w:bookmarkStart w:id="3044" w:name="_Toc403471285"/>
      <w:bookmarkStart w:id="3045" w:name="_Toc406058393"/>
      <w:bookmarkEnd w:id="3025"/>
      <w:r>
        <w:rPr/>
        <w:t>DEFINIZIONE DELLE CONTROVERSIE</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r>
        <w:rPr/>
        <w:t xml:space="preserve"> </w:t>
      </w:r>
    </w:p>
    <w:p>
      <w:pPr>
        <w:pStyle w:val="Normal"/>
        <w:spacing w:before="60" w:after="60"/>
        <w:rPr/>
      </w:pPr>
      <w:r>
        <w:rPr>
          <w:rFonts w:ascii="Titillium" w:hAnsi="Titillium"/>
          <w:sz w:val="18"/>
          <w:szCs w:val="18"/>
          <w:lang w:eastAsia="it-IT"/>
        </w:rPr>
        <w:t xml:space="preserve">Per le controversie derivanti dalla presente procedura di gara è competente il Tribunale Amministrativo di Bologna. </w:t>
      </w:r>
    </w:p>
    <w:p>
      <w:pPr>
        <w:pStyle w:val="Normal"/>
        <w:spacing w:before="60" w:after="60"/>
        <w:rPr>
          <w:rFonts w:ascii="Titillium" w:hAnsi="Titillium"/>
          <w:bCs/>
          <w:iCs/>
          <w:sz w:val="18"/>
          <w:szCs w:val="18"/>
          <w:lang w:eastAsia="it-IT"/>
        </w:rPr>
      </w:pPr>
      <w:r>
        <w:rPr>
          <w:rFonts w:ascii="Titillium" w:hAnsi="Titillium"/>
          <w:bCs/>
          <w:iCs/>
          <w:sz w:val="18"/>
          <w:szCs w:val="18"/>
          <w:lang w:eastAsia="it-IT"/>
        </w:rPr>
        <w:t xml:space="preserve">Si precisa che il contratto non conterrà la clausola compromissoria. </w:t>
      </w:r>
    </w:p>
    <w:p>
      <w:pPr>
        <w:pStyle w:val="Normal"/>
        <w:spacing w:before="60" w:after="60"/>
        <w:rPr>
          <w:rFonts w:ascii="Titillium" w:hAnsi="Titillium"/>
          <w:sz w:val="18"/>
          <w:szCs w:val="18"/>
          <w:lang w:eastAsia="it-IT"/>
        </w:rPr>
      </w:pPr>
      <w:r>
        <w:rPr>
          <w:rFonts w:ascii="Titillium" w:hAnsi="Titillium"/>
          <w:sz w:val="18"/>
          <w:szCs w:val="18"/>
          <w:lang w:eastAsia="it-IT"/>
        </w:rPr>
      </w:r>
    </w:p>
    <w:p>
      <w:pPr>
        <w:pStyle w:val="Heading2"/>
        <w:numPr>
          <w:ilvl w:val="0"/>
          <w:numId w:val="3"/>
        </w:numPr>
        <w:rPr/>
      </w:pPr>
      <w:bookmarkStart w:id="3046" w:name="__RefHeading___Toc11774_2735037374"/>
      <w:bookmarkStart w:id="3047" w:name="_Toc207275772"/>
      <w:bookmarkStart w:id="3048" w:name="_Ref132066072"/>
      <w:bookmarkStart w:id="3049" w:name="_Toc406754195"/>
      <w:bookmarkStart w:id="3050" w:name="_Toc416423378"/>
      <w:bookmarkStart w:id="3051" w:name="_Toc354038183"/>
      <w:bookmarkStart w:id="3052" w:name="_Toc380501886"/>
      <w:bookmarkStart w:id="3053" w:name="_Toc391035999"/>
      <w:bookmarkStart w:id="3054" w:name="_Toc391036072"/>
      <w:bookmarkStart w:id="3055" w:name="_Toc392577513"/>
      <w:bookmarkStart w:id="3056" w:name="_Toc393110580"/>
      <w:bookmarkStart w:id="3057" w:name="_Toc393112144"/>
      <w:bookmarkStart w:id="3058" w:name="_Toc393187861"/>
      <w:bookmarkStart w:id="3059" w:name="_Toc393272617"/>
      <w:bookmarkStart w:id="3060" w:name="_Toc393272675"/>
      <w:bookmarkStart w:id="3061" w:name="_Toc393283191"/>
      <w:bookmarkStart w:id="3062" w:name="_Toc393700850"/>
      <w:bookmarkStart w:id="3063" w:name="_Toc393706923"/>
      <w:bookmarkStart w:id="3064" w:name="_Toc397346838"/>
      <w:bookmarkStart w:id="3065" w:name="_Toc397422879"/>
      <w:bookmarkStart w:id="3066" w:name="_Toc403471286"/>
      <w:bookmarkStart w:id="3067" w:name="_Toc406058394"/>
      <w:bookmarkEnd w:id="3046"/>
      <w:r>
        <w:rPr/>
        <w:t>TRATTAMENTO DEI DATI PERSONALI</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Ai sensi dell’art.13 del Regolamento UE/2016/679 (GDPR) si informa che il trattamento dei dati personali conferiti nell’ambito della procedura di acquisizione di beni o servizi, o comunque raccolti dall’Azienda USL di Bologna a tale scopo, è finalizzato unicamente all’espletamento della predetta procedura, nonché delle attività ad essa correlate e conseguenti.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L’Azienda, per le finalità sopra descritte, raccoglie e tratta: Dati personali di cui all’art. 4 paragrafo 1, Categorie particolari di dati personali di cui all’art.9 paragrafo 1 e Dati giudiziari, di cui all’art. 10 del Regolamento UE, relativi a condanne penali o a reati, il cui trattamento è effettuato esclusivamente per valutare il possesso dei requisiti e delle qualità previsti dalla vigente normativa per permettere la partecipazione alla procedura di gara e l’eventuale aggiudicazione. </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In relazione alle descritte finalità, il trattamento dei dati personali avviene mediante strumenti manuali, informatici e telematici, con logiche strettamente correlate alle finalità predette e, comunque, in modo da garantire la sicurezza e la riservatezza dei dati stessi. I dati potranno essere trattati anche in base ai criteri qualitativi, quantitativi e temporali di volta in volta individuati.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Il conferimento dei dati richiesti dall’Azienda è necessario, in base alla normativa in materia di appalti e contrattualistica pubblica, per valutare il possesso dei requisiti e delle qualità richiesti per la partecipazione alla procedura nel cui ambito i dati stessi sono acquisiti; pertanto, la loro mancata indicazione può precludere l’effettuazione della relativa istruttoria.</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 dati conferiti sono trattati dagli operatori dell’Azienda individuati quali Incaricati del trattamento, a cui sono impartite idonee istruzioni in ordine a misure, accorgimenti, modus operandi, tutti volti alla concreta tutela dei dati personali.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 dati raccolti potranno altresì essere conosciuti da:</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 </w:t>
      </w:r>
      <w:r>
        <w:rPr>
          <w:rFonts w:cs="Calibri" w:ascii="Titillium" w:hAnsi="Titillium"/>
          <w:sz w:val="18"/>
          <w:szCs w:val="18"/>
          <w:lang w:eastAsia="it-IT"/>
        </w:rPr>
        <w:t>Soggetti esterni, i cui nominativi sono a disposizione degli interessati, facenti parte della Commissione;</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 </w:t>
      </w:r>
      <w:r>
        <w:rPr>
          <w:rFonts w:cs="Calibri" w:ascii="Titillium" w:hAnsi="Titillium"/>
          <w:sz w:val="18"/>
          <w:szCs w:val="18"/>
          <w:lang w:eastAsia="it-IT"/>
        </w:rPr>
        <w:t>Soggetti terzi fornitori di servizi per l’Azienda, o comunque ad essa legati da rapporto contrattuale, unicamente per le finalità sopra descritte, previa designazione in qualità di Responsabili del trattamento e comunque garantendo il medesimo livello di protezione;</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 </w:t>
      </w:r>
      <w:r>
        <w:rPr>
          <w:rFonts w:cs="Calibri" w:ascii="Titillium" w:hAnsi="Titillium"/>
          <w:sz w:val="18"/>
          <w:szCs w:val="18"/>
          <w:lang w:eastAsia="it-IT"/>
        </w:rPr>
        <w:t>Altre Amministrazioni pubbliche, cui i dati potranno essere comunicati per adempimenti legali e procedimentali;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 </w:t>
      </w:r>
      <w:r>
        <w:rPr>
          <w:rFonts w:cs="Calibri" w:ascii="Titillium" w:hAnsi="Titillium"/>
          <w:sz w:val="18"/>
          <w:szCs w:val="18"/>
          <w:lang w:eastAsia="it-IT"/>
        </w:rPr>
        <w:t>Altri concorrenti che facciano richiesta di accesso ai documenti di gara, secondo le modalità e nei limiti di quanto previsto dalla vigente normativa in materia di appalti;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 xml:space="preserve">• </w:t>
      </w:r>
      <w:r>
        <w:rPr>
          <w:rFonts w:cs="Calibri" w:ascii="Titillium" w:hAnsi="Titillium"/>
          <w:sz w:val="18"/>
          <w:szCs w:val="18"/>
          <w:lang w:eastAsia="it-IT"/>
        </w:rPr>
        <w:t>Legali incaricati per la tutela dell’Azienda in sede giudiziaria.</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 dati relativi al concorrente aggiudicatario della gara ed il prezzo di aggiudicazione dell’appalto saranno pubblicati, come da normativa sugli appalti, sul profilo del committente dell’Azienda USL di Bologna www.ausl.bologna.it - bandi di gara e contratti -.</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 dati personali non saranno trasferiti al di fuori dell’Unione Europea.</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 dati verranno conservati per un arco di tempo non superiore a quello necessario al raggiungimento delle finalità per i quali essi sono trattati.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Il periodo di conservazione dei dati, ad esclusione di quelli soggetti a conservazione illimitata ai sensi di leggi, è di norma 10 anni dalla conclusione dell’esecuzione del contratto, comunque, per un arco di tempo non superiore a quello necessario all’adempimento degli obblighi normativi.</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A tal fine, anche mediante controlli periodici, verrà verificata costantemente la stretta pertinenza, non eccedenza e indispensabilità dei dati rispetto al perseguimento delle finalità sopra descritte. I dati che, anche a seguito delle verifiche, risultano eccedenti o non pertinenti o non indispensabili non saranno utilizzati, salvo che per l'eventuale conservazione, a norma di legge, dell'atto o del documento che li contiene.</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In qualunque momento l’interessato può esercitare i diritti previsti dagli artt. 15 e seguenti del Regolamento UE/2016/679. In particolare, l’interessato ha il diritto di ottenere la conferma dell’esistenza o meno dei propri dati e di conoscerne il contenuto, l’origine e le finalità del trattamento, di verificarne l’esattezza o chiederne l’integrazione o l’aggiornamento, oppure la rettifica, i destinatari cui i dati saranno comunicati, il periodo di conservazione degli stessi; ha altresì il diritto di chiedere la cancellazione o la limitazione al trattamento, la trasformazione in forma anonima o il blocco dei dati trattati in violazione di legge, nonché di opporsi in ogni caso, per motivi legittimi, al loro trattamento ovvero revocare il trattamento. La relativa richiesta va rivolta all’Azienda USL di Bologna – Via Castiglione 29 – 40124 Bologna.</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L’interessato ha altresì il diritto di proporre reclamo all’autorità Garante per la protezione dei Dati personali (www.garanteprivacy.it).</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Titolare del trattamento dei dati personali di cui alla presente informativa è l’Azienda USL di Bologna, con sede in Bologna, Via Castiglione 29, CAP 40124.</w:t>
      </w:r>
    </w:p>
    <w:p>
      <w:pPr>
        <w:pStyle w:val="Normal"/>
        <w:tabs>
          <w:tab w:val="clear" w:pos="708"/>
          <w:tab w:val="left" w:pos="2004" w:leader="none"/>
        </w:tabs>
        <w:rPr>
          <w:rFonts w:ascii="Titillium" w:hAnsi="Titillium" w:cs="Calibri"/>
          <w:sz w:val="18"/>
          <w:szCs w:val="18"/>
          <w:lang w:eastAsia="it-IT"/>
        </w:rPr>
      </w:pPr>
      <w:r>
        <w:rPr>
          <w:rFonts w:cs="Calibri" w:ascii="Titillium" w:hAnsi="Titillium"/>
          <w:sz w:val="18"/>
          <w:szCs w:val="18"/>
          <w:lang w:eastAsia="it-IT"/>
        </w:rPr>
        <w:t>Il Referente privacy della procedura di gara è la Dott.ssa Antonia Crugliano, Direttore del Servizio Acquisti Area di Vasta.</w:t>
      </w:r>
    </w:p>
    <w:p>
      <w:pPr>
        <w:pStyle w:val="Normal"/>
        <w:tabs>
          <w:tab w:val="clear" w:pos="708"/>
          <w:tab w:val="left" w:pos="2004" w:leader="none"/>
        </w:tabs>
        <w:rPr/>
      </w:pPr>
      <w:r>
        <w:rPr>
          <w:rFonts w:cs="Calibri" w:ascii="Titillium" w:hAnsi="Titillium"/>
          <w:sz w:val="18"/>
          <w:szCs w:val="18"/>
          <w:lang w:eastAsia="it-IT"/>
        </w:rPr>
        <w:t>I recapiti del Responsabile della protezione dei dati (DPO) sono: dpo@aosp.bo.it; PEC  dpo@pec.aosp.bo.it) .</w:t>
      </w:r>
    </w:p>
    <w:p>
      <w:pPr>
        <w:pStyle w:val="Normal"/>
        <w:tabs>
          <w:tab w:val="clear" w:pos="708"/>
          <w:tab w:val="left" w:pos="2004" w:leader="none"/>
        </w:tabs>
        <w:rPr/>
      </w:pPr>
      <w:r>
        <w:rPr/>
      </w:r>
    </w:p>
    <w:p>
      <w:pPr>
        <w:pStyle w:val="ListParagraph"/>
        <w:numPr>
          <w:ilvl w:val="0"/>
          <w:numId w:val="3"/>
        </w:numPr>
        <w:tabs>
          <w:tab w:val="clear" w:pos="708"/>
          <w:tab w:val="left" w:pos="2004" w:leader="none"/>
        </w:tabs>
        <w:rPr>
          <w:rFonts w:ascii="Titillium" w:hAnsi="Titillium"/>
          <w:b/>
          <w:bCs/>
          <w:sz w:val="18"/>
          <w:szCs w:val="18"/>
        </w:rPr>
      </w:pPr>
      <w:r>
        <w:rPr>
          <w:rFonts w:ascii="Titillium" w:hAnsi="Titillium"/>
          <w:b/>
          <w:bCs/>
          <w:sz w:val="18"/>
          <w:szCs w:val="18"/>
        </w:rPr>
        <w:t>DISPOSIZIONI FINALI</w:t>
      </w:r>
    </w:p>
    <w:p>
      <w:pPr>
        <w:pStyle w:val="Normal"/>
        <w:tabs>
          <w:tab w:val="clear" w:pos="708"/>
          <w:tab w:val="left" w:pos="2004" w:leader="none"/>
        </w:tabs>
        <w:rPr>
          <w:rFonts w:ascii="Titillium" w:hAnsi="Titillium"/>
          <w:sz w:val="18"/>
          <w:szCs w:val="18"/>
        </w:rPr>
      </w:pPr>
      <w:r>
        <w:rPr>
          <w:rFonts w:ascii="Titillium" w:hAnsi="Titillium"/>
          <w:sz w:val="18"/>
          <w:szCs w:val="18"/>
        </w:rPr>
        <w:t>In caso di modificazione dell’assetto societario o gestionale dell’impresa la ditta aggiudicataria, nel termine di trenta giorni dall’intervenuta modificazione, dovrà trasmettere all’Ufficio Territoriale del Governo di Bologna, copia degli atti dai quali risulta l’intervenuta modificazione relativamente ai soggetti destinatari di verifiche antimafia (art. 86 D.Lgs. 6/9/11 n.159).</w:t>
      </w:r>
    </w:p>
    <w:p>
      <w:pPr>
        <w:pStyle w:val="Normal"/>
        <w:tabs>
          <w:tab w:val="clear" w:pos="708"/>
          <w:tab w:val="left" w:pos="2004" w:leader="none"/>
        </w:tabs>
        <w:rPr>
          <w:rFonts w:ascii="Titillium" w:hAnsi="Titillium"/>
          <w:sz w:val="18"/>
          <w:szCs w:val="18"/>
        </w:rPr>
      </w:pPr>
      <w:r>
        <w:rPr>
          <w:rFonts w:ascii="Titillium" w:hAnsi="Titillium"/>
          <w:sz w:val="18"/>
          <w:szCs w:val="18"/>
        </w:rPr>
        <w:t xml:space="preserve">La Ditta aggiudicataria è tenuta a inoltrare tale comunicazione anche all'Azienda USL di Bologna. </w:t>
      </w:r>
    </w:p>
    <w:p>
      <w:pPr>
        <w:pStyle w:val="Normal"/>
        <w:tabs>
          <w:tab w:val="clear" w:pos="708"/>
          <w:tab w:val="left" w:pos="2004" w:leader="none"/>
        </w:tabs>
        <w:rPr>
          <w:rFonts w:ascii="Titillium" w:hAnsi="Titillium"/>
          <w:sz w:val="18"/>
          <w:szCs w:val="18"/>
        </w:rPr>
      </w:pPr>
      <w:r>
        <w:rPr>
          <w:rFonts w:ascii="Titillium" w:hAnsi="Titillium"/>
          <w:sz w:val="18"/>
          <w:szCs w:val="18"/>
        </w:rPr>
        <w:t>S’informa, inoltre, che gli atti amministrativi sono resi pubblici, per opportuna conoscenza, dalla data di pubblicazione all’Albo Informatico consultabile sul sito istituzionale dell’Azienda USL di Bologna.</w:t>
      </w:r>
    </w:p>
    <w:p>
      <w:pPr>
        <w:pStyle w:val="Normal"/>
        <w:tabs>
          <w:tab w:val="clear" w:pos="708"/>
          <w:tab w:val="left" w:pos="2004" w:leader="none"/>
        </w:tabs>
        <w:rPr>
          <w:rFonts w:ascii="Titillium" w:hAnsi="Titillium"/>
          <w:sz w:val="18"/>
          <w:szCs w:val="18"/>
        </w:rPr>
      </w:pPr>
      <w:r>
        <w:rPr>
          <w:rFonts w:ascii="Titillium" w:hAnsi="Titillium"/>
          <w:sz w:val="18"/>
          <w:szCs w:val="18"/>
        </w:rPr>
      </w:r>
    </w:p>
    <w:p>
      <w:pPr>
        <w:pStyle w:val="Normal"/>
        <w:tabs>
          <w:tab w:val="clear" w:pos="708"/>
          <w:tab w:val="left" w:pos="2004" w:leader="none"/>
        </w:tabs>
        <w:rPr>
          <w:rFonts w:ascii="Titillium" w:hAnsi="Titillium"/>
          <w:sz w:val="18"/>
          <w:szCs w:val="18"/>
        </w:rPr>
      </w:pPr>
      <w:r>
        <w:rPr>
          <w:rFonts w:ascii="Titillium" w:hAnsi="Titillium"/>
          <w:sz w:val="18"/>
          <w:szCs w:val="18"/>
        </w:rPr>
      </w:r>
    </w:p>
    <w:p>
      <w:pPr>
        <w:pStyle w:val="Normal"/>
        <w:tabs>
          <w:tab w:val="clear" w:pos="708"/>
          <w:tab w:val="left" w:pos="2004" w:leader="none"/>
        </w:tabs>
        <w:rPr>
          <w:rFonts w:ascii="Titillium" w:hAnsi="Titillium"/>
          <w:sz w:val="18"/>
          <w:szCs w:val="18"/>
        </w:rPr>
      </w:pPr>
      <w:r>
        <w:rPr>
          <w:rFonts w:ascii="Titillium" w:hAnsi="Titillium"/>
          <w:sz w:val="18"/>
          <w:szCs w:val="18"/>
        </w:rPr>
        <w:t xml:space="preserve">                                                                                                                                                         </w:t>
      </w:r>
      <w:r>
        <w:rPr>
          <w:rFonts w:ascii="Titillium" w:hAnsi="Titillium"/>
          <w:sz w:val="18"/>
          <w:szCs w:val="18"/>
        </w:rPr>
        <w:t>IL DIRETTORE DEL</w:t>
      </w:r>
    </w:p>
    <w:p>
      <w:pPr>
        <w:pStyle w:val="Normal"/>
        <w:tabs>
          <w:tab w:val="clear" w:pos="708"/>
          <w:tab w:val="left" w:pos="2004" w:leader="none"/>
        </w:tabs>
        <w:rPr>
          <w:rFonts w:ascii="Titillium" w:hAnsi="Titillium"/>
          <w:sz w:val="18"/>
          <w:szCs w:val="18"/>
        </w:rPr>
      </w:pPr>
      <w:r>
        <w:rPr>
          <w:rFonts w:ascii="Titillium" w:hAnsi="Titillium"/>
          <w:sz w:val="18"/>
          <w:szCs w:val="18"/>
        </w:rPr>
        <w:tab/>
        <w:tab/>
        <w:t xml:space="preserve">                                                                                            SERVIZIO ACQUISTI AREA VASTA</w:t>
      </w:r>
    </w:p>
    <w:p>
      <w:pPr>
        <w:pStyle w:val="Normal"/>
        <w:tabs>
          <w:tab w:val="clear" w:pos="708"/>
          <w:tab w:val="left" w:pos="2004" w:leader="none"/>
        </w:tabs>
        <w:rPr>
          <w:rFonts w:ascii="Titillium" w:hAnsi="Titillium"/>
          <w:sz w:val="18"/>
          <w:szCs w:val="18"/>
        </w:rPr>
      </w:pPr>
      <w:r>
        <w:rPr>
          <w:rFonts w:ascii="Titillium" w:hAnsi="Titillium"/>
          <w:sz w:val="18"/>
          <w:szCs w:val="18"/>
        </w:rPr>
        <w:t xml:space="preserve">                                                                                                                                                        </w:t>
      </w:r>
      <w:r>
        <w:rPr>
          <w:rFonts w:ascii="Titillium" w:hAnsi="Titillium"/>
          <w:sz w:val="18"/>
          <w:szCs w:val="18"/>
        </w:rPr>
        <w:t>(Dott.ssa Antonia Crugliano)</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548" w:right="1134" w:gutter="0" w:header="851" w:top="1418" w:footer="454" w:bottom="68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Garamond">
    <w:charset w:val="00"/>
    <w:family w:val="roman"/>
    <w:pitch w:val="variable"/>
  </w:font>
  <w:font w:name="Titillium">
    <w:charset w:val="00"/>
    <w:family w:val="roman"/>
    <w:pitch w:val="variable"/>
  </w:font>
  <w:font w:name="Aptos Display">
    <w:charset w:val="00"/>
    <w:family w:val="roman"/>
    <w:pitch w:val="variable"/>
  </w:font>
  <w:font w:name="Tahoma">
    <w:charset w:val="00"/>
    <w:family w:val="roman"/>
    <w:pitch w:val="variable"/>
  </w:font>
  <w:font w:name="Calibri">
    <w:charset w:val="00"/>
    <w:family w:val="roman"/>
    <w:pitch w:val="variable"/>
  </w:font>
  <w:font w:name="Calibri Light">
    <w:charset w:val="00"/>
    <w:family w:val="roman"/>
    <w:pitch w:val="variable"/>
  </w:font>
  <w:font w:name="Gotham Light">
    <w:charset w:val="00"/>
    <w:family w:val="roman"/>
    <w:pitch w:val="variable"/>
  </w:font>
  <w:font w:name="Gotham Book">
    <w:charset w:val="00"/>
    <w:family w:val="roman"/>
    <w:pitch w:val="variable"/>
  </w:font>
  <w:font w:name="Gotham Medium">
    <w:charset w:val="00"/>
    <w:family w:val="roman"/>
    <w:pitch w:val="variable"/>
  </w:font>
  <w:font w:name="Minion Pro">
    <w:charset w:val="00"/>
    <w:family w:val="roman"/>
    <w:pitch w:val="variable"/>
  </w:font>
  <w:font w:name="OpenSymbol">
    <w:altName w:val="Arial Unicode MS"/>
    <w:charset w:val="02"/>
    <w:family w:val="roman"/>
    <w:pitch w:val="variable"/>
  </w:font>
  <w:font w:name="Courier New">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Book-Antiqua">
    <w:altName w:val="Bold"/>
    <w:charset w:val="00"/>
    <w:family w:val="roman"/>
    <w:pitch w:val="variable"/>
  </w:font>
  <w:font w:name="EUAlbertina">
    <w:charset w:val="00"/>
    <w:family w:val="roman"/>
    <w:pitch w:val="variable"/>
  </w:font>
  <w:font w:name="Liberation Mono">
    <w:altName w:val="Courier New"/>
    <w:charset w:val="00"/>
    <w:family w:val="roman"/>
    <w:pitch w:val="variable"/>
  </w:font>
  <w:font w:name="TimesNewRomanPSMT">
    <w:charset w:val="00"/>
    <w:family w:val="roman"/>
    <w:pitch w:val="variable"/>
  </w:font>
  <w:font w:name="ArialMT">
    <w:charset w:val="00"/>
    <w:family w:val="roman"/>
    <w:pitch w:val="variable"/>
  </w:font>
  <w:font w:name="Arial Narrow">
    <w:charset w:val="00"/>
    <w:family w:val="roman"/>
    <w:pitch w:val="variable"/>
  </w:font>
  <w:font w:name="Garamond">
    <w:charset w:val="01"/>
    <w:family w:val="roman"/>
    <w:pitch w:val="variable"/>
  </w:font>
  <w:font w:name="Courier New">
    <w:charset w:val="01"/>
    <w:family w:val="modern"/>
    <w:pitch w:val="fixed"/>
  </w:font>
  <w:font w:name="Wingdings">
    <w:charset w:val="02"/>
    <w:family w:val="auto"/>
    <w:pitch w:val="variable"/>
  </w:font>
  <w:font w:name="Titilium">
    <w:charset w:val="01"/>
    <w:family w:val="auto"/>
    <w:pitch w:val="default"/>
  </w:font>
  <w:font w:name="Titillium-Regular">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80" w:after="28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80" w:after="100"/>
      <w:jc w:val="right"/>
      <w:rPr/>
    </w:pPr>
    <w:r>
      <w:rPr>
        <w:rFonts w:ascii="Titillium" w:hAnsi="Titillium"/>
        <w:sz w:val="16"/>
        <w:szCs w:val="16"/>
        <w:lang w:val="it-IT"/>
      </w:rPr>
      <w:t xml:space="preserve">Pag. </w:t>
    </w:r>
    <w:r>
      <w:rPr>
        <w:rFonts w:ascii="Titillium" w:hAnsi="Titillium"/>
        <w:b/>
        <w:bCs/>
        <w:sz w:val="16"/>
        <w:szCs w:val="16"/>
      </w:rPr>
      <w:fldChar w:fldCharType="begin"/>
    </w:r>
    <w:r>
      <w:rPr>
        <w:rFonts w:ascii="Titillium" w:hAnsi="Titillium"/>
        <w:b/>
        <w:bCs/>
        <w:sz w:val="16"/>
        <w:szCs w:val="16"/>
      </w:rPr>
      <w:instrText xml:space="preserve"> PAGE </w:instrText>
    </w:r>
    <w:r>
      <w:rPr>
        <w:rFonts w:ascii="Titillium" w:hAnsi="Titillium"/>
        <w:b/>
        <w:bCs/>
        <w:sz w:val="16"/>
        <w:szCs w:val="16"/>
      </w:rPr>
      <w:fldChar w:fldCharType="separate"/>
    </w:r>
    <w:r>
      <w:rPr>
        <w:rFonts w:ascii="Titillium" w:hAnsi="Titillium"/>
        <w:b/>
        <w:bCs/>
        <w:sz w:val="16"/>
        <w:szCs w:val="16"/>
      </w:rPr>
      <w:t>35</w:t>
    </w:r>
    <w:r>
      <w:rPr>
        <w:rFonts w:ascii="Titillium" w:hAnsi="Titillium"/>
        <w:b/>
        <w:bCs/>
        <w:sz w:val="16"/>
        <w:szCs w:val="16"/>
      </w:rPr>
      <w:fldChar w:fldCharType="end"/>
    </w:r>
    <w:r>
      <w:rPr>
        <w:rFonts w:ascii="Titillium" w:hAnsi="Titillium"/>
        <w:sz w:val="16"/>
        <w:szCs w:val="16"/>
        <w:lang w:val="it-IT"/>
      </w:rPr>
      <w:t xml:space="preserve"> a </w:t>
    </w:r>
    <w:r>
      <w:rPr>
        <w:rFonts w:ascii="Titillium" w:hAnsi="Titillium"/>
        <w:b/>
        <w:bCs/>
        <w:sz w:val="16"/>
        <w:szCs w:val="16"/>
      </w:rPr>
      <w:fldChar w:fldCharType="begin"/>
    </w:r>
    <w:r>
      <w:rPr>
        <w:rFonts w:ascii="Titillium" w:hAnsi="Titillium"/>
        <w:b/>
        <w:bCs/>
        <w:sz w:val="16"/>
        <w:szCs w:val="16"/>
      </w:rPr>
      <w:instrText xml:space="preserve"> NUMPAGES </w:instrText>
    </w:r>
    <w:r>
      <w:rPr>
        <w:rFonts w:ascii="Titillium" w:hAnsi="Titillium"/>
        <w:b/>
        <w:bCs/>
        <w:sz w:val="16"/>
        <w:szCs w:val="16"/>
      </w:rPr>
      <w:fldChar w:fldCharType="separate"/>
    </w:r>
    <w:r>
      <w:rPr>
        <w:rFonts w:ascii="Titillium" w:hAnsi="Titillium"/>
        <w:b/>
        <w:bCs/>
        <w:sz w:val="16"/>
        <w:szCs w:val="16"/>
      </w:rPr>
      <w:t>35</w:t>
    </w:r>
    <w:r>
      <w:rPr>
        <w:rFonts w:ascii="Titillium" w:hAnsi="Titillium"/>
        <w:b/>
        <w:bCs/>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280" w:after="100"/>
      <w:jc w:val="right"/>
      <w:rPr/>
    </w:pPr>
    <w:r>
      <w:rPr>
        <w:rFonts w:ascii="Titillium" w:hAnsi="Titillium"/>
        <w:sz w:val="16"/>
        <w:szCs w:val="16"/>
        <w:lang w:val="it-IT"/>
      </w:rPr>
      <w:t xml:space="preserve">Pag. </w:t>
    </w:r>
    <w:r>
      <w:rPr>
        <w:rFonts w:ascii="Titillium" w:hAnsi="Titillium"/>
        <w:b/>
        <w:bCs/>
        <w:sz w:val="16"/>
        <w:szCs w:val="16"/>
      </w:rPr>
      <w:fldChar w:fldCharType="begin"/>
    </w:r>
    <w:r>
      <w:rPr>
        <w:rFonts w:ascii="Titillium" w:hAnsi="Titillium"/>
        <w:b/>
        <w:bCs/>
        <w:sz w:val="16"/>
        <w:szCs w:val="16"/>
      </w:rPr>
      <w:instrText xml:space="preserve"> PAGE </w:instrText>
    </w:r>
    <w:r>
      <w:rPr>
        <w:rFonts w:ascii="Titillium" w:hAnsi="Titillium"/>
        <w:b/>
        <w:bCs/>
        <w:sz w:val="16"/>
        <w:szCs w:val="16"/>
      </w:rPr>
      <w:fldChar w:fldCharType="separate"/>
    </w:r>
    <w:r>
      <w:rPr>
        <w:rFonts w:ascii="Titillium" w:hAnsi="Titillium"/>
        <w:b/>
        <w:bCs/>
        <w:sz w:val="16"/>
        <w:szCs w:val="16"/>
      </w:rPr>
      <w:t>35</w:t>
    </w:r>
    <w:r>
      <w:rPr>
        <w:rFonts w:ascii="Titillium" w:hAnsi="Titillium"/>
        <w:b/>
        <w:bCs/>
        <w:sz w:val="16"/>
        <w:szCs w:val="16"/>
      </w:rPr>
      <w:fldChar w:fldCharType="end"/>
    </w:r>
    <w:r>
      <w:rPr>
        <w:rFonts w:ascii="Titillium" w:hAnsi="Titillium"/>
        <w:sz w:val="16"/>
        <w:szCs w:val="16"/>
        <w:lang w:val="it-IT"/>
      </w:rPr>
      <w:t xml:space="preserve"> a </w:t>
    </w:r>
    <w:r>
      <w:rPr>
        <w:rFonts w:ascii="Titillium" w:hAnsi="Titillium"/>
        <w:b/>
        <w:bCs/>
        <w:sz w:val="16"/>
        <w:szCs w:val="16"/>
      </w:rPr>
      <w:fldChar w:fldCharType="begin"/>
    </w:r>
    <w:r>
      <w:rPr>
        <w:rFonts w:ascii="Titillium" w:hAnsi="Titillium"/>
        <w:b/>
        <w:bCs/>
        <w:sz w:val="16"/>
        <w:szCs w:val="16"/>
      </w:rPr>
      <w:instrText xml:space="preserve"> NUMPAGES </w:instrText>
    </w:r>
    <w:r>
      <w:rPr>
        <w:rFonts w:ascii="Titillium" w:hAnsi="Titillium"/>
        <w:b/>
        <w:bCs/>
        <w:sz w:val="16"/>
        <w:szCs w:val="16"/>
      </w:rPr>
      <w:fldChar w:fldCharType="separate"/>
    </w:r>
    <w:r>
      <w:rPr>
        <w:rFonts w:ascii="Titillium" w:hAnsi="Titillium"/>
        <w:b/>
        <w:bCs/>
        <w:sz w:val="16"/>
        <w:szCs w:val="16"/>
      </w:rPr>
      <w:t>35</w:t>
    </w:r>
    <w:r>
      <w:rPr>
        <w:rFonts w:ascii="Titillium" w:hAnsi="Titillium"/>
        <w:b/>
        <w:bCs/>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80" w:after="28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80" w:after="280"/>
      <w:ind w:left="-567"/>
      <w:rPr>
        <w:color w:val="008749"/>
        <w:szCs w:val="16"/>
      </w:rPr>
    </w:pPr>
    <w:r>
      <w:rPr/>
      <w:drawing>
        <wp:inline distT="0" distB="0" distL="0" distR="0">
          <wp:extent cx="5857240" cy="741680"/>
          <wp:effectExtent l="0" t="0" r="0" b="0"/>
          <wp:docPr id="1"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schermata&#10;&#10;Descrizione generata automaticamente"/>
                  <pic:cNvPicPr>
                    <a:picLocks noChangeAspect="1" noChangeArrowheads="1"/>
                  </pic:cNvPicPr>
                </pic:nvPicPr>
                <pic:blipFill>
                  <a:blip r:embed="rId1"/>
                  <a:stretch>
                    <a:fillRect/>
                  </a:stretch>
                </pic:blipFill>
                <pic:spPr bwMode="auto">
                  <a:xfrm>
                    <a:off x="0" y="0"/>
                    <a:ext cx="5857240" cy="741680"/>
                  </a:xfrm>
                  <a:prstGeom prst="rect">
                    <a:avLst/>
                  </a:prstGeom>
                  <a:noFill/>
                </pic:spPr>
              </pic:pic>
            </a:graphicData>
          </a:graphic>
        </wp:inline>
      </w:drawing>
    </w:r>
  </w:p>
  <w:p>
    <w:pPr>
      <w:pStyle w:val="Heading1"/>
      <w:spacing w:lineRule="auto" w:line="240" w:before="0" w:after="0"/>
      <w:rPr>
        <w:rFonts w:ascii="Arial" w:hAnsi="Arial" w:cs="Arial"/>
        <w:color w:val="008749"/>
        <w:sz w:val="18"/>
        <w:szCs w:val="18"/>
      </w:rPr>
    </w:pPr>
    <w:bookmarkStart w:id="3068" w:name="__RefHeading___Toc11658_2735037374"/>
    <w:bookmarkEnd w:id="3068"/>
    <w:r>
      <w:rPr>
        <w:rFonts w:cs="Arial" w:ascii="Arial" w:hAnsi="Arial"/>
        <w:color w:val="008749"/>
        <w:sz w:val="18"/>
        <w:szCs w:val="18"/>
      </w:rPr>
      <w:t xml:space="preserve">Dipartimento Amministrativo </w:t>
    </w:r>
  </w:p>
  <w:p>
    <w:pPr>
      <w:pStyle w:val="Heading1"/>
      <w:spacing w:lineRule="auto" w:line="240" w:before="0" w:after="0"/>
      <w:rPr>
        <w:rFonts w:ascii="Arial" w:hAnsi="Arial" w:cs="Arial"/>
        <w:color w:val="008749"/>
        <w:sz w:val="14"/>
        <w:szCs w:val="14"/>
      </w:rPr>
    </w:pPr>
    <w:bookmarkStart w:id="3069" w:name="__RefHeading___Toc11660_2735037374"/>
    <w:bookmarkEnd w:id="3069"/>
    <w:r>
      <w:rPr>
        <w:rFonts w:cs="Arial" w:ascii="Arial" w:hAnsi="Arial"/>
        <w:color w:val="008749"/>
        <w:sz w:val="14"/>
        <w:szCs w:val="14"/>
      </w:rPr>
      <w:t>Servizio Acquisti di Area Vasta</w:t>
    </w:r>
  </w:p>
  <w:p>
    <w:pPr>
      <w:pStyle w:val="Heading1"/>
      <w:spacing w:lineRule="auto" w:line="240" w:before="0" w:after="0"/>
      <w:rPr>
        <w:rFonts w:ascii="Arial" w:hAnsi="Arial" w:cs="Arial"/>
        <w:color w:val="008749"/>
        <w:sz w:val="14"/>
        <w:szCs w:val="14"/>
      </w:rPr>
    </w:pPr>
    <w:bookmarkStart w:id="3070" w:name="__RefHeading___Toc11662_2735037374"/>
    <w:bookmarkEnd w:id="3070"/>
    <w:r>
      <w:rPr>
        <w:rFonts w:cs="Arial" w:ascii="Arial" w:hAnsi="Arial"/>
        <w:color w:val="008749"/>
        <w:sz w:val="14"/>
        <w:szCs w:val="14"/>
      </w:rPr>
      <w:t>Settore</w:t>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80" w:after="280"/>
      <w:ind w:left="-567"/>
      <w:rPr>
        <w:color w:val="008749"/>
        <w:szCs w:val="16"/>
      </w:rPr>
    </w:pPr>
    <w:r>
      <w:rPr/>
      <w:drawing>
        <wp:inline distT="0" distB="0" distL="0" distR="0">
          <wp:extent cx="5857240" cy="741680"/>
          <wp:effectExtent l="0" t="0" r="0" b="0"/>
          <wp:docPr id="2"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testo, Carattere, schermata&#10;&#10;Descrizione generata automaticamente"/>
                  <pic:cNvPicPr>
                    <a:picLocks noChangeAspect="1" noChangeArrowheads="1"/>
                  </pic:cNvPicPr>
                </pic:nvPicPr>
                <pic:blipFill>
                  <a:blip r:embed="rId1"/>
                  <a:stretch>
                    <a:fillRect/>
                  </a:stretch>
                </pic:blipFill>
                <pic:spPr bwMode="auto">
                  <a:xfrm>
                    <a:off x="0" y="0"/>
                    <a:ext cx="5857240" cy="741680"/>
                  </a:xfrm>
                  <a:prstGeom prst="rect">
                    <a:avLst/>
                  </a:prstGeom>
                  <a:noFill/>
                </pic:spPr>
              </pic:pic>
            </a:graphicData>
          </a:graphic>
        </wp:inline>
      </w:drawing>
    </w:r>
  </w:p>
  <w:p>
    <w:pPr>
      <w:pStyle w:val="Heading1"/>
      <w:spacing w:lineRule="auto" w:line="240" w:before="0" w:after="0"/>
      <w:rPr>
        <w:rFonts w:ascii="Arial" w:hAnsi="Arial" w:cs="Arial"/>
        <w:color w:val="008749"/>
        <w:sz w:val="18"/>
        <w:szCs w:val="18"/>
      </w:rPr>
    </w:pPr>
    <w:bookmarkStart w:id="3071" w:name="__RefHeading___Toc11658_2735037374"/>
    <w:bookmarkEnd w:id="3071"/>
    <w:r>
      <w:rPr>
        <w:rFonts w:cs="Arial" w:ascii="Arial" w:hAnsi="Arial"/>
        <w:color w:val="008749"/>
        <w:sz w:val="18"/>
        <w:szCs w:val="18"/>
      </w:rPr>
      <w:t xml:space="preserve">Dipartimento Amministrativo </w:t>
    </w:r>
  </w:p>
  <w:p>
    <w:pPr>
      <w:pStyle w:val="Heading1"/>
      <w:spacing w:lineRule="auto" w:line="240" w:before="0" w:after="0"/>
      <w:rPr>
        <w:rFonts w:ascii="Arial" w:hAnsi="Arial" w:cs="Arial"/>
        <w:color w:val="008749"/>
        <w:sz w:val="14"/>
        <w:szCs w:val="14"/>
      </w:rPr>
    </w:pPr>
    <w:bookmarkStart w:id="3072" w:name="__RefHeading___Toc11660_2735037374"/>
    <w:bookmarkEnd w:id="3072"/>
    <w:r>
      <w:rPr>
        <w:rFonts w:cs="Arial" w:ascii="Arial" w:hAnsi="Arial"/>
        <w:color w:val="008749"/>
        <w:sz w:val="14"/>
        <w:szCs w:val="14"/>
      </w:rPr>
      <w:t>Servizio Acquisti di Area Vasta</w:t>
    </w:r>
  </w:p>
  <w:p>
    <w:pPr>
      <w:pStyle w:val="Heading1"/>
      <w:spacing w:lineRule="auto" w:line="240" w:before="0" w:after="0"/>
      <w:rPr>
        <w:rFonts w:ascii="Arial" w:hAnsi="Arial" w:cs="Arial"/>
        <w:color w:val="008749"/>
        <w:sz w:val="14"/>
        <w:szCs w:val="14"/>
      </w:rPr>
    </w:pPr>
    <w:bookmarkStart w:id="3073" w:name="__RefHeading___Toc11662_2735037374"/>
    <w:bookmarkEnd w:id="3073"/>
    <w:r>
      <w:rPr>
        <w:rFonts w:cs="Arial" w:ascii="Arial" w:hAnsi="Arial"/>
        <w:color w:val="008749"/>
        <w:sz w:val="14"/>
        <w:szCs w:val="14"/>
      </w:rPr>
      <w:t>Settore</w:t>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p>
    <w:pPr>
      <w:pStyle w:val="Heading1"/>
      <w:spacing w:lineRule="auto" w:line="240" w:before="0" w:after="0"/>
      <w:rPr>
        <w:rFonts w:ascii="Arial" w:hAnsi="Arial" w:cs="Arial"/>
        <w:color w:val="008749"/>
        <w:sz w:val="18"/>
        <w:szCs w:val="18"/>
      </w:rPr>
    </w:pPr>
    <w:r>
      <w:rPr>
        <w:rFonts w:cs="Arial" w:ascii="Arial" w:hAnsi="Arial"/>
        <w:color w:val="008749"/>
        <w:sz w:val="18"/>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b w:val="false"/>
        <w:i w:val="false"/>
        <w:sz w:val="24"/>
        <w:szCs w:val="24"/>
      </w:rPr>
    </w:lvl>
    <w:lvl w:ilvl="2">
      <w:start w:val="1"/>
      <w:numFmt w:val="decimal"/>
      <w:lvlText w:val="%1.%2.%3."/>
      <w:lvlJc w:val="left"/>
      <w:pPr>
        <w:tabs>
          <w:tab w:val="num" w:pos="0"/>
        </w:tabs>
        <w:ind w:left="788" w:hanging="504"/>
      </w:pPr>
      <w:rPr>
        <w:b w:val="false"/>
        <w:i w:val="false"/>
        <w:strike w:val="false"/>
        <w:dstrike w:val="false"/>
        <w:sz w:val="24"/>
        <w:szCs w:val="24"/>
      </w:rPr>
    </w:lvl>
    <w:lvl w:ilvl="3">
      <w:start w:val="1"/>
      <w:numFmt w:val="decimal"/>
      <w:lvlText w:val="%1.%2.%3.%4."/>
      <w:lvlJc w:val="left"/>
      <w:pPr>
        <w:tabs>
          <w:tab w:val="num" w:pos="0"/>
        </w:tabs>
        <w:ind w:left="932" w:hanging="648"/>
      </w:pPr>
      <w:rPr>
        <w:b w:val="false"/>
        <w:strike w:val="false"/>
        <w:dstrike w:val="false"/>
        <w:color w:val="auto"/>
        <w:sz w:val="24"/>
        <w:szCs w:val="24"/>
      </w:rPr>
    </w:lvl>
    <w:lvl w:ilvl="4">
      <w:start w:val="1"/>
      <w:numFmt w:val="lowerLetter"/>
      <w:lvlText w:val="%5."/>
      <w:lvlJc w:val="left"/>
      <w:pPr>
        <w:tabs>
          <w:tab w:val="num" w:pos="0"/>
        </w:tabs>
        <w:ind w:left="2069" w:hanging="792"/>
      </w:pPr>
      <w:rPr>
        <w:sz w:val="18"/>
        <w:szCs w:val="18"/>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b w:val="false"/>
        <w:i w:val="false"/>
        <w:sz w:val="24"/>
        <w:szCs w:val="24"/>
      </w:rPr>
    </w:lvl>
    <w:lvl w:ilvl="2">
      <w:start w:val="1"/>
      <w:numFmt w:val="lowerLetter"/>
      <w:lvlText w:val="%3)"/>
      <w:lvlJc w:val="left"/>
      <w:pPr>
        <w:tabs>
          <w:tab w:val="num" w:pos="0"/>
        </w:tabs>
        <w:ind w:left="504" w:hanging="504"/>
      </w:pPr>
      <w:rPr>
        <w:rFonts w:ascii="Titillium" w:hAnsi="Titillium"/>
        <w:b w:val="false"/>
        <w:i w:val="false"/>
        <w:strike w:val="false"/>
        <w:dstrike w:val="false"/>
        <w:sz w:val="18"/>
        <w:szCs w:val="18"/>
      </w:rPr>
    </w:lvl>
    <w:lvl w:ilvl="3">
      <w:start w:val="1"/>
      <w:numFmt w:val="decimal"/>
      <w:lvlText w:val="%1.%2.%3.%4."/>
      <w:lvlJc w:val="left"/>
      <w:pPr>
        <w:tabs>
          <w:tab w:val="num" w:pos="0"/>
        </w:tabs>
        <w:ind w:left="932" w:hanging="648"/>
      </w:pPr>
      <w:rPr>
        <w:b w:val="false"/>
        <w:strike w:val="false"/>
        <w:dstrike w:val="false"/>
        <w:color w:val="auto"/>
        <w:sz w:val="24"/>
        <w:szCs w:val="24"/>
      </w:rPr>
    </w:lvl>
    <w:lvl w:ilvl="4">
      <w:start w:val="1"/>
      <w:numFmt w:val="decimal"/>
      <w:lvlText w:val="%1.%2.%3.%4.%5."/>
      <w:lvlJc w:val="left"/>
      <w:pPr>
        <w:tabs>
          <w:tab w:val="num" w:pos="0"/>
        </w:tabs>
        <w:ind w:left="2069"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rFonts w:ascii="Titillium" w:hAnsi="Titillium"/>
        <w:b/>
        <w:i w:val="false"/>
        <w:sz w:val="18"/>
        <w:szCs w:val="18"/>
      </w:rPr>
    </w:lvl>
    <w:lvl w:ilvl="1">
      <w:start w:val="1"/>
      <w:numFmt w:val="decimal"/>
      <w:lvlText w:val="%1.%2."/>
      <w:lvlJc w:val="left"/>
      <w:pPr>
        <w:tabs>
          <w:tab w:val="num" w:pos="0"/>
        </w:tabs>
        <w:ind w:left="792" w:hanging="432"/>
      </w:pPr>
      <w:rPr>
        <w:rFonts w:ascii="Titillium" w:hAnsi="Titillium"/>
        <w:sz w:val="18"/>
        <w:szCs w:val="18"/>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lowerLetter"/>
      <w:lvlText w:val="%1)"/>
      <w:lvlJc w:val="left"/>
      <w:pPr>
        <w:tabs>
          <w:tab w:val="num" w:pos="0"/>
        </w:tabs>
        <w:ind w:left="720" w:hanging="360"/>
      </w:pPr>
      <w:rPr>
        <w:rFonts w:ascii="Titillium" w:hAnsi="Titillium"/>
        <w:b/>
        <w:i w:val="false"/>
        <w:sz w:val="18"/>
        <w:szCs w:val="18"/>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1146" w:hanging="360"/>
      </w:pPr>
      <w:rPr>
        <w:sz w:val="18"/>
        <w:szCs w:val="18"/>
      </w:rPr>
    </w:lvl>
    <w:lvl w:ilvl="1">
      <w:start w:val="1"/>
      <w:numFmt w:val="lowerLetter"/>
      <w:lvlText w:val="%2."/>
      <w:lvlJc w:val="left"/>
      <w:pPr>
        <w:tabs>
          <w:tab w:val="num" w:pos="0"/>
        </w:tabs>
        <w:ind w:left="1866" w:hanging="360"/>
      </w:pPr>
      <w:rPr/>
    </w:lvl>
    <w:lvl w:ilvl="2">
      <w:start w:val="1"/>
      <w:numFmt w:val="lowerRoman"/>
      <w:lvlText w:val="%3."/>
      <w:lvlJc w:val="right"/>
      <w:pPr>
        <w:tabs>
          <w:tab w:val="num" w:pos="0"/>
        </w:tabs>
        <w:ind w:left="2586" w:hanging="180"/>
      </w:pPr>
      <w:rPr/>
    </w:lvl>
    <w:lvl w:ilvl="3">
      <w:start w:val="1"/>
      <w:numFmt w:val="decimal"/>
      <w:lvlText w:val="%4."/>
      <w:lvlJc w:val="left"/>
      <w:pPr>
        <w:tabs>
          <w:tab w:val="num" w:pos="0"/>
        </w:tabs>
        <w:ind w:left="3306" w:hanging="360"/>
      </w:pPr>
      <w:rPr/>
    </w:lvl>
    <w:lvl w:ilvl="4">
      <w:start w:val="1"/>
      <w:numFmt w:val="lowerLetter"/>
      <w:lvlText w:val="%5."/>
      <w:lvlJc w:val="left"/>
      <w:pPr>
        <w:tabs>
          <w:tab w:val="num" w:pos="0"/>
        </w:tabs>
        <w:ind w:left="4026" w:hanging="360"/>
      </w:pPr>
      <w:rPr/>
    </w:lvl>
    <w:lvl w:ilvl="5">
      <w:start w:val="1"/>
      <w:numFmt w:val="lowerRoman"/>
      <w:lvlText w:val="%6."/>
      <w:lvlJc w:val="right"/>
      <w:pPr>
        <w:tabs>
          <w:tab w:val="num" w:pos="0"/>
        </w:tabs>
        <w:ind w:left="4746" w:hanging="180"/>
      </w:pPr>
      <w:rPr/>
    </w:lvl>
    <w:lvl w:ilvl="6">
      <w:start w:val="1"/>
      <w:numFmt w:val="decimal"/>
      <w:lvlText w:val="%7."/>
      <w:lvlJc w:val="left"/>
      <w:pPr>
        <w:tabs>
          <w:tab w:val="num" w:pos="0"/>
        </w:tabs>
        <w:ind w:left="5466" w:hanging="360"/>
      </w:pPr>
      <w:rPr/>
    </w:lvl>
    <w:lvl w:ilvl="7">
      <w:start w:val="1"/>
      <w:numFmt w:val="lowerLetter"/>
      <w:lvlText w:val="%8."/>
      <w:lvlJc w:val="left"/>
      <w:pPr>
        <w:tabs>
          <w:tab w:val="num" w:pos="0"/>
        </w:tabs>
        <w:ind w:left="6186" w:hanging="360"/>
      </w:pPr>
      <w:rPr/>
    </w:lvl>
    <w:lvl w:ilvl="8">
      <w:start w:val="1"/>
      <w:numFmt w:val="lowerRoman"/>
      <w:lvlText w:val="%9."/>
      <w:lvlJc w:val="right"/>
      <w:pPr>
        <w:tabs>
          <w:tab w:val="num" w:pos="0"/>
        </w:tabs>
        <w:ind w:left="6906" w:hanging="180"/>
      </w:pPr>
      <w:rPr/>
    </w:lvl>
  </w:abstractNum>
  <w:abstractNum w:abstractNumId="6">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lowerLetter"/>
      <w:lvlText w:val="%1."/>
      <w:lvlJc w:val="left"/>
      <w:pPr>
        <w:tabs>
          <w:tab w:val="num" w:pos="0"/>
        </w:tabs>
        <w:ind w:left="1429" w:hanging="360"/>
      </w:pPr>
      <w:rPr>
        <w:i w:val="false"/>
        <w:iCs w:val="false"/>
        <w:sz w:val="18"/>
        <w:szCs w:val="18"/>
      </w:rPr>
    </w:lvl>
    <w:lvl w:ilvl="1">
      <w:start w:val="1"/>
      <w:numFmt w:val="lowerLetter"/>
      <w:lvlText w:val="%2)"/>
      <w:lvlJc w:val="left"/>
      <w:pPr>
        <w:tabs>
          <w:tab w:val="num" w:pos="0"/>
        </w:tabs>
        <w:ind w:left="2149" w:hanging="360"/>
      </w:pPr>
      <w:rPr>
        <w:i w:val="false"/>
        <w:iCs w:val="false"/>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2487"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9">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360" w:hanging="360"/>
      </w:pPr>
      <w:rPr/>
    </w:lvl>
    <w:lvl w:ilvl="1">
      <w:start w:val="1"/>
      <w:numFmt w:val="lowerLetter"/>
      <w:lvlText w:val="%1.%2)"/>
      <w:lvlJc w:val="left"/>
      <w:pPr>
        <w:tabs>
          <w:tab w:val="num" w:pos="0"/>
        </w:tabs>
        <w:ind w:left="792" w:hanging="432"/>
      </w:pPr>
      <w:rPr/>
    </w:lvl>
    <w:lvl w:ilvl="2">
      <w:start w:val="1"/>
      <w:numFmt w:val="decimal"/>
      <w:lvlText w:val="%1.%2.%3."/>
      <w:lvlJc w:val="left"/>
      <w:pPr>
        <w:tabs>
          <w:tab w:val="num" w:pos="0"/>
        </w:tabs>
        <w:ind w:left="1497" w:hanging="504"/>
      </w:pPr>
      <w:rPr>
        <w:b w:val="false"/>
        <w:i w:val="false"/>
        <w:strike w:val="false"/>
        <w:dstrike w:val="false"/>
        <w:sz w:val="24"/>
        <w:szCs w:val="24"/>
      </w:rPr>
    </w:lvl>
    <w:lvl w:ilvl="3">
      <w:start w:val="1"/>
      <w:numFmt w:val="lowerLetter"/>
      <w:lvlText w:val="%4."/>
      <w:lvlJc w:val="left"/>
      <w:pPr>
        <w:tabs>
          <w:tab w:val="num" w:pos="0"/>
        </w:tabs>
        <w:ind w:left="932" w:hanging="648"/>
      </w:pPr>
      <w:rPr>
        <w:b w:val="false"/>
        <w:strike w:val="false"/>
        <w:dstrike w:val="false"/>
        <w:color w:val="auto"/>
        <w:sz w:val="18"/>
        <w:szCs w:val="18"/>
      </w:rPr>
    </w:lvl>
    <w:lvl w:ilvl="4">
      <w:start w:val="1"/>
      <w:numFmt w:val="decimal"/>
      <w:lvlText w:val="%1.%2.%3.%4.%5."/>
      <w:lvlJc w:val="left"/>
      <w:pPr>
        <w:tabs>
          <w:tab w:val="num" w:pos="0"/>
        </w:tabs>
        <w:ind w:left="2069"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720" w:hanging="360"/>
      </w:pPr>
      <w:rPr>
        <w:rFonts w:ascii="Titillium" w:hAnsi="Titillium"/>
        <w:b w:val="false"/>
        <w:i w:val="false"/>
        <w:sz w:val="18"/>
        <w:szCs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b w:val="false"/>
        <w:i w:val="false"/>
        <w:strike w:val="false"/>
        <w:dstrike w:val="false"/>
        <w:sz w:val="24"/>
        <w:szCs w:val="24"/>
      </w:rPr>
    </w:lvl>
    <w:lvl w:ilvl="2">
      <w:start w:val="1"/>
      <w:numFmt w:val="decimal"/>
      <w:lvlText w:val="%3)"/>
      <w:lvlJc w:val="left"/>
      <w:pPr>
        <w:tabs>
          <w:tab w:val="num" w:pos="0"/>
        </w:tabs>
        <w:ind w:left="504" w:hanging="504"/>
      </w:pPr>
      <w:rPr>
        <w:rFonts w:ascii="Titillium" w:hAnsi="Titillium" w:eastAsia="Times New Roman" w:cs="Calibri"/>
        <w:b w:val="false"/>
        <w:i w:val="false"/>
        <w:strike w:val="false"/>
        <w:dstrike w:val="false"/>
        <w:sz w:val="18"/>
        <w:szCs w:val="18"/>
      </w:rPr>
    </w:lvl>
    <w:lvl w:ilvl="3">
      <w:start w:val="1"/>
      <w:numFmt w:val="lowerLetter"/>
      <w:lvlText w:val="%4)"/>
      <w:lvlJc w:val="left"/>
      <w:pPr>
        <w:tabs>
          <w:tab w:val="num" w:pos="0"/>
        </w:tabs>
        <w:ind w:left="932" w:hanging="648"/>
      </w:pPr>
      <w:rPr>
        <w:rFonts w:eastAsia="Times New Roman" w:cs="Arial"/>
        <w:b w:val="false"/>
        <w:strike w:val="false"/>
        <w:dstrike w:val="false"/>
        <w:color w:val="auto"/>
        <w:sz w:val="24"/>
        <w:szCs w:val="24"/>
      </w:rPr>
    </w:lvl>
    <w:lvl w:ilvl="4">
      <w:start w:val="1"/>
      <w:numFmt w:val="decimal"/>
      <w:lvlText w:val="%1.%2.%3.%4.%5."/>
      <w:lvlJc w:val="left"/>
      <w:pPr>
        <w:tabs>
          <w:tab w:val="num" w:pos="0"/>
        </w:tabs>
        <w:ind w:left="2069"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720" w:hanging="360"/>
      </w:pPr>
      <w:rPr/>
    </w:lvl>
    <w:lvl w:ilvl="1">
      <w:start w:val="1"/>
      <w:numFmt w:val="bullet"/>
      <w:lvlText w:val="-"/>
      <w:lvlJc w:val="left"/>
      <w:pPr>
        <w:tabs>
          <w:tab w:val="num" w:pos="0"/>
        </w:tabs>
        <w:ind w:left="1440" w:hanging="360"/>
      </w:pPr>
      <w:rPr>
        <w:rFonts w:ascii="Titilium" w:hAnsi="Titilium" w:cs="Titilium" w:hint="default"/>
        <w:color w:val="auto"/>
        <w:sz w:val="18"/>
      </w:rPr>
    </w:lvl>
    <w:lvl w:ilvl="2">
      <w:start w:val="1"/>
      <w:numFmt w:val="lowerLetter"/>
      <w:lvlText w:val="%3)"/>
      <w:lvlJc w:val="left"/>
      <w:pPr>
        <w:tabs>
          <w:tab w:val="num" w:pos="0"/>
        </w:tabs>
        <w:ind w:left="360" w:hanging="360"/>
      </w:pPr>
      <w:rPr>
        <w:rFonts w:ascii="Titillium" w:hAnsi="Titillium" w:eastAsia="Times New Roman"/>
        <w:i w:val="false"/>
        <w:color w:val="auto"/>
        <w:sz w:val="18"/>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591" w:hanging="180"/>
      </w:pPr>
      <w:rPr>
        <w:rFonts w:ascii="Titillium" w:hAnsi="Titillium"/>
        <w:sz w:val="18"/>
        <w:szCs w:val="18"/>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bullet"/>
      <w:lvlText w:val="-"/>
      <w:lvlJc w:val="left"/>
      <w:pPr>
        <w:tabs>
          <w:tab w:val="num" w:pos="0"/>
        </w:tabs>
        <w:ind w:left="1080" w:hanging="360"/>
      </w:pPr>
      <w:rPr>
        <w:rFonts w:ascii="Titilium" w:hAnsi="Titilium" w:cs="Titilium" w:hint="default"/>
        <w:color w:val="auto"/>
        <w:sz w:val="18"/>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o"/>
      <w:lvlJc w:val="left"/>
      <w:pPr>
        <w:tabs>
          <w:tab w:val="num" w:pos="0"/>
        </w:tabs>
        <w:ind w:left="3600" w:hanging="360"/>
      </w:pPr>
      <w:rPr>
        <w:rFonts w:ascii="Courier New" w:hAnsi="Courier New" w:cs="Courier New" w:hint="default"/>
      </w:rPr>
    </w:lvl>
    <w:lvl w:ilvl="3">
      <w:start w:val="1"/>
      <w:numFmt w:val="bullet"/>
      <w:lvlText w:val="o"/>
      <w:lvlJc w:val="left"/>
      <w:pPr>
        <w:tabs>
          <w:tab w:val="num" w:pos="0"/>
        </w:tabs>
        <w:ind w:left="5760" w:hanging="360"/>
      </w:pPr>
      <w:rPr>
        <w:rFonts w:ascii="Courier New" w:hAnsi="Courier New" w:cs="Courier New"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lowerLetter"/>
      <w:lvlText w:val="%1)"/>
      <w:lvlJc w:val="left"/>
      <w:pPr>
        <w:tabs>
          <w:tab w:val="num" w:pos="0"/>
        </w:tabs>
        <w:ind w:left="928" w:hanging="360"/>
      </w:pPr>
      <w:rPr>
        <w:rFonts w:ascii="Titillium" w:hAnsi="Titillium"/>
        <w:i w:val="false"/>
        <w:sz w:val="18"/>
        <w:szCs w:val="18"/>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0">
    <w:lvl w:ilvl="0">
      <w:start w:val="1"/>
      <w:numFmt w:val="none"/>
      <w:suff w:val="nothing"/>
      <w:lvlText w:val="."/>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lowerLetter"/>
      <w:lvlText w:val="%3)"/>
      <w:lvlJc w:val="left"/>
      <w:pPr>
        <w:tabs>
          <w:tab w:val="num" w:pos="360"/>
        </w:tabs>
        <w:ind w:left="360" w:hanging="360"/>
      </w:pPr>
      <w:rPr>
        <w:rFonts w:ascii="Titillium" w:hAnsi="Titillium"/>
        <w:sz w:val="18"/>
        <w:szCs w:val="18"/>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7"/>
      <w:numFmt w:val="lowerLetter"/>
      <w:lvlText w:val="%1)"/>
      <w:lvlJc w:val="left"/>
      <w:pPr>
        <w:tabs>
          <w:tab w:val="num" w:pos="360"/>
        </w:tabs>
        <w:ind w:left="360" w:hanging="360"/>
      </w:pPr>
      <w:rPr>
        <w:rFonts w:ascii="Titillium" w:hAnsi="Titillium"/>
        <w:sz w:val="18"/>
        <w:szCs w:val="18"/>
      </w:rPr>
    </w:lvl>
    <w:lvl w:ilvl="1">
      <w:start w:val="1"/>
      <w:numFmt w:val="lowerLetter"/>
      <w:lvlText w:val="%2)"/>
      <w:lvlJc w:val="left"/>
      <w:pPr>
        <w:tabs>
          <w:tab w:val="num" w:pos="720"/>
        </w:tabs>
        <w:ind w:left="720" w:hanging="360"/>
      </w:pPr>
      <w:rPr/>
    </w:lvl>
    <w:lvl w:ilvl="2">
      <w:start w:val="1"/>
      <w:numFmt w:val="lowerLetter"/>
      <w:lvlText w:val="%3)"/>
      <w:lvlJc w:val="left"/>
      <w:pPr>
        <w:tabs>
          <w:tab w:val="num" w:pos="1080"/>
        </w:tabs>
        <w:ind w:left="1080" w:hanging="360"/>
      </w:pPr>
      <w:rPr/>
    </w:lvl>
    <w:lvl w:ilvl="3">
      <w:start w:val="1"/>
      <w:numFmt w:val="lowerLetter"/>
      <w:lvlText w:val="%4)"/>
      <w:lvlJc w:val="left"/>
      <w:pPr>
        <w:tabs>
          <w:tab w:val="num" w:pos="1440"/>
        </w:tabs>
        <w:ind w:left="1440" w:hanging="360"/>
      </w:pPr>
      <w:rPr/>
    </w:lvl>
    <w:lvl w:ilvl="4">
      <w:start w:val="1"/>
      <w:numFmt w:val="lowerLetter"/>
      <w:lvlText w:val="%5)"/>
      <w:lvlJc w:val="left"/>
      <w:pPr>
        <w:tabs>
          <w:tab w:val="num" w:pos="1800"/>
        </w:tabs>
        <w:ind w:left="1800" w:hanging="360"/>
      </w:pPr>
      <w:rPr/>
    </w:lvl>
    <w:lvl w:ilvl="5">
      <w:start w:val="1"/>
      <w:numFmt w:val="lowerLetter"/>
      <w:lvlText w:val="%6)"/>
      <w:lvlJc w:val="left"/>
      <w:pPr>
        <w:tabs>
          <w:tab w:val="num" w:pos="2160"/>
        </w:tabs>
        <w:ind w:left="2160" w:hanging="360"/>
      </w:pPr>
      <w:rPr/>
    </w:lvl>
    <w:lvl w:ilvl="6">
      <w:start w:val="1"/>
      <w:numFmt w:val="lowerLetter"/>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Letter"/>
      <w:lvlText w:val="%9)"/>
      <w:lvlJc w:val="left"/>
      <w:pPr>
        <w:tabs>
          <w:tab w:val="num" w:pos="3240"/>
        </w:tabs>
        <w:ind w:left="3240" w:hanging="360"/>
      </w:pPr>
      <w:rPr/>
    </w:lvl>
  </w:abstractNum>
  <w:abstractNum w:abstractNumId="22">
    <w:lvl w:ilvl="0">
      <w:start w:val="1"/>
      <w:numFmt w:val="lowerLetter"/>
      <w:lvlText w:val="%1)"/>
      <w:lvlJc w:val="left"/>
      <w:pPr>
        <w:tabs>
          <w:tab w:val="num" w:pos="0"/>
        </w:tabs>
        <w:ind w:left="1146" w:hanging="360"/>
      </w:pPr>
      <w:rPr/>
    </w:lvl>
    <w:lvl w:ilvl="1">
      <w:start w:val="1"/>
      <w:numFmt w:val="bullet"/>
      <w:lvlText w:val=""/>
      <w:lvlJc w:val="left"/>
      <w:pPr>
        <w:tabs>
          <w:tab w:val="num" w:pos="0"/>
        </w:tabs>
        <w:ind w:left="862" w:hanging="360"/>
      </w:pPr>
      <w:rPr>
        <w:rFonts w:ascii="Symbol" w:hAnsi="Symbol" w:cs="Symbol" w:hint="default"/>
      </w:rPr>
    </w:lvl>
    <w:lvl w:ilvl="2">
      <w:start w:val="1"/>
      <w:numFmt w:val="decimal"/>
      <w:lvlText w:val="%3)"/>
      <w:lvlJc w:val="left"/>
      <w:pPr>
        <w:tabs>
          <w:tab w:val="num" w:pos="0"/>
        </w:tabs>
        <w:ind w:left="2766" w:hanging="360"/>
      </w:pPr>
      <w:rPr/>
    </w:lvl>
    <w:lvl w:ilvl="3">
      <w:start w:val="2"/>
      <w:numFmt w:val="decimal"/>
      <w:lvlText w:val="%4"/>
      <w:lvlJc w:val="left"/>
      <w:pPr>
        <w:tabs>
          <w:tab w:val="num" w:pos="0"/>
        </w:tabs>
        <w:ind w:left="3306" w:hanging="360"/>
      </w:pPr>
      <w:rPr/>
    </w:lvl>
    <w:lvl w:ilvl="4">
      <w:start w:val="1"/>
      <w:numFmt w:val="lowerLetter"/>
      <w:lvlText w:val="%5."/>
      <w:lvlJc w:val="left"/>
      <w:pPr>
        <w:tabs>
          <w:tab w:val="num" w:pos="0"/>
        </w:tabs>
        <w:ind w:left="4026" w:hanging="360"/>
      </w:pPr>
      <w:rPr/>
    </w:lvl>
    <w:lvl w:ilvl="5">
      <w:start w:val="1"/>
      <w:numFmt w:val="lowerRoman"/>
      <w:lvlText w:val="%6."/>
      <w:lvlJc w:val="right"/>
      <w:pPr>
        <w:tabs>
          <w:tab w:val="num" w:pos="0"/>
        </w:tabs>
        <w:ind w:left="4746" w:hanging="180"/>
      </w:pPr>
      <w:rPr/>
    </w:lvl>
    <w:lvl w:ilvl="6">
      <w:start w:val="1"/>
      <w:numFmt w:val="decimal"/>
      <w:lvlText w:val="%7."/>
      <w:lvlJc w:val="left"/>
      <w:pPr>
        <w:tabs>
          <w:tab w:val="num" w:pos="0"/>
        </w:tabs>
        <w:ind w:left="5466" w:hanging="360"/>
      </w:pPr>
      <w:rPr/>
    </w:lvl>
    <w:lvl w:ilvl="7">
      <w:start w:val="1"/>
      <w:numFmt w:val="lowerLetter"/>
      <w:lvlText w:val="%8."/>
      <w:lvlJc w:val="left"/>
      <w:pPr>
        <w:tabs>
          <w:tab w:val="num" w:pos="0"/>
        </w:tabs>
        <w:ind w:left="6186" w:hanging="360"/>
      </w:pPr>
      <w:rPr/>
    </w:lvl>
    <w:lvl w:ilvl="8">
      <w:start w:val="1"/>
      <w:numFmt w:val="lowerRoman"/>
      <w:lvlText w:val="%9."/>
      <w:lvlJc w:val="right"/>
      <w:pPr>
        <w:tabs>
          <w:tab w:val="num" w:pos="0"/>
        </w:tabs>
        <w:ind w:left="6906" w:hanging="180"/>
      </w:pPr>
      <w:rPr/>
    </w:lvl>
  </w:abstractNum>
  <w:abstractNum w:abstractNumId="23">
    <w:lvl w:ilvl="0">
      <w:start w:val="1"/>
      <w:numFmt w:val="lowerRoman"/>
      <w:lvlText w:val="%1."/>
      <w:lvlJc w:val="right"/>
      <w:pPr>
        <w:tabs>
          <w:tab w:val="num" w:pos="0"/>
        </w:tabs>
        <w:ind w:left="1637" w:hanging="360"/>
      </w:pPr>
      <w:rPr>
        <w:color w:themeColor="text1" w:val="000000"/>
        <w:sz w:val="18"/>
        <w:szCs w:val="18"/>
      </w:rPr>
    </w:lvl>
    <w:lvl w:ilvl="1">
      <w:start w:val="1"/>
      <w:numFmt w:val="lowerLetter"/>
      <w:lvlText w:val="%2."/>
      <w:lvlJc w:val="left"/>
      <w:pPr>
        <w:tabs>
          <w:tab w:val="num" w:pos="0"/>
        </w:tabs>
        <w:ind w:left="2961" w:hanging="360"/>
      </w:pPr>
      <w:rPr/>
    </w:lvl>
    <w:lvl w:ilvl="2">
      <w:start w:val="1"/>
      <w:numFmt w:val="lowerRoman"/>
      <w:lvlText w:val="%3."/>
      <w:lvlJc w:val="right"/>
      <w:pPr>
        <w:tabs>
          <w:tab w:val="num" w:pos="0"/>
        </w:tabs>
        <w:ind w:left="3681" w:hanging="180"/>
      </w:pPr>
      <w:rPr/>
    </w:lvl>
    <w:lvl w:ilvl="3">
      <w:start w:val="1"/>
      <w:numFmt w:val="decimal"/>
      <w:lvlText w:val="%4."/>
      <w:lvlJc w:val="left"/>
      <w:pPr>
        <w:tabs>
          <w:tab w:val="num" w:pos="0"/>
        </w:tabs>
        <w:ind w:left="4401" w:hanging="360"/>
      </w:pPr>
      <w:rPr/>
    </w:lvl>
    <w:lvl w:ilvl="4">
      <w:start w:val="1"/>
      <w:numFmt w:val="lowerLetter"/>
      <w:lvlText w:val="%5."/>
      <w:lvlJc w:val="left"/>
      <w:pPr>
        <w:tabs>
          <w:tab w:val="num" w:pos="0"/>
        </w:tabs>
        <w:ind w:left="5121" w:hanging="360"/>
      </w:pPr>
      <w:rPr/>
    </w:lvl>
    <w:lvl w:ilvl="5">
      <w:start w:val="1"/>
      <w:numFmt w:val="lowerRoman"/>
      <w:lvlText w:val="%6."/>
      <w:lvlJc w:val="right"/>
      <w:pPr>
        <w:tabs>
          <w:tab w:val="num" w:pos="0"/>
        </w:tabs>
        <w:ind w:left="5841" w:hanging="180"/>
      </w:pPr>
      <w:rPr/>
    </w:lvl>
    <w:lvl w:ilvl="6">
      <w:start w:val="1"/>
      <w:numFmt w:val="decimal"/>
      <w:lvlText w:val="%7."/>
      <w:lvlJc w:val="left"/>
      <w:pPr>
        <w:tabs>
          <w:tab w:val="num" w:pos="0"/>
        </w:tabs>
        <w:ind w:left="6561" w:hanging="360"/>
      </w:pPr>
      <w:rPr/>
    </w:lvl>
    <w:lvl w:ilvl="7">
      <w:start w:val="1"/>
      <w:numFmt w:val="lowerLetter"/>
      <w:lvlText w:val="%8."/>
      <w:lvlJc w:val="left"/>
      <w:pPr>
        <w:tabs>
          <w:tab w:val="num" w:pos="0"/>
        </w:tabs>
        <w:ind w:left="7281" w:hanging="360"/>
      </w:pPr>
      <w:rPr/>
    </w:lvl>
    <w:lvl w:ilvl="8">
      <w:start w:val="1"/>
      <w:numFmt w:val="lowerRoman"/>
      <w:lvlText w:val="%9."/>
      <w:lvlJc w:val="right"/>
      <w:pPr>
        <w:tabs>
          <w:tab w:val="num" w:pos="0"/>
        </w:tabs>
        <w:ind w:left="8001" w:hanging="180"/>
      </w:pPr>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decimal"/>
      <w:lvlText w:val="%1."/>
      <w:lvlJc w:val="left"/>
      <w:pPr>
        <w:tabs>
          <w:tab w:val="num" w:pos="0"/>
        </w:tabs>
        <w:ind w:left="720" w:hanging="360"/>
      </w:pPr>
      <w:rPr/>
    </w:lvl>
    <w:lvl w:ilvl="1">
      <w:start w:val="1"/>
      <w:numFmt w:val="bullet"/>
      <w:lvlText w:val="-"/>
      <w:lvlJc w:val="left"/>
      <w:pPr>
        <w:tabs>
          <w:tab w:val="num" w:pos="0"/>
        </w:tabs>
        <w:ind w:left="1440" w:hanging="360"/>
      </w:pPr>
      <w:rPr>
        <w:rFonts w:ascii="Titilium" w:hAnsi="Titilium" w:cs="Titilium" w:hint="default"/>
        <w:color w:val="auto"/>
        <w:sz w:val="18"/>
      </w:rPr>
    </w:lvl>
    <w:lvl w:ilvl="2">
      <w:start w:val="1"/>
      <w:numFmt w:val="lowerLetter"/>
      <w:lvlText w:val="%3)"/>
      <w:lvlJc w:val="left"/>
      <w:pPr>
        <w:tabs>
          <w:tab w:val="num" w:pos="0"/>
        </w:tabs>
        <w:ind w:left="360" w:hanging="360"/>
      </w:pPr>
      <w:rPr>
        <w:rFonts w:ascii="Titillium" w:hAnsi="Titillium"/>
        <w:sz w:val="18"/>
        <w:szCs w:val="18"/>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8">
    <w:lvl w:ilvl="0">
      <w:start w:val="1"/>
      <w:numFmt w:val="decimal"/>
      <w:lvlText w:val="%1."/>
      <w:lvlJc w:val="left"/>
      <w:pPr>
        <w:tabs>
          <w:tab w:val="num" w:pos="0"/>
        </w:tabs>
        <w:ind w:left="720" w:hanging="360"/>
      </w:pPr>
      <w:rPr/>
    </w:lvl>
    <w:lvl w:ilvl="1">
      <w:start w:val="1"/>
      <w:numFmt w:val="bullet"/>
      <w:lvlText w:val="-"/>
      <w:lvlJc w:val="left"/>
      <w:pPr>
        <w:tabs>
          <w:tab w:val="num" w:pos="0"/>
        </w:tabs>
        <w:ind w:left="1440" w:hanging="360"/>
      </w:pPr>
      <w:rPr>
        <w:rFonts w:ascii="Titilium" w:hAnsi="Titilium" w:cs="Titilium" w:hint="default"/>
        <w:color w:val="auto"/>
        <w:sz w:val="18"/>
      </w:rPr>
    </w:lvl>
    <w:lvl w:ilvl="2">
      <w:start w:val="1"/>
      <w:numFmt w:val="lowerLetter"/>
      <w:lvlText w:val="%3)"/>
      <w:lvlJc w:val="left"/>
      <w:pPr>
        <w:tabs>
          <w:tab w:val="num" w:pos="0"/>
        </w:tabs>
        <w:ind w:left="360" w:hanging="360"/>
      </w:pPr>
      <w:rPr>
        <w:rFonts w:ascii="Titillium" w:hAnsi="Titillium"/>
        <w:sz w:val="18"/>
        <w:szCs w:val="18"/>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9">
    <w:lvl w:ilvl="0">
      <w:start w:val="1"/>
      <w:numFmt w:val="upperLetter"/>
      <w:lvlText w:val="%1)"/>
      <w:lvlJc w:val="left"/>
      <w:pPr>
        <w:tabs>
          <w:tab w:val="num" w:pos="0"/>
        </w:tabs>
        <w:ind w:left="3468" w:hanging="360"/>
      </w:pPr>
      <w:rPr>
        <w:rFonts w:ascii="Titillium" w:hAnsi="Titillium"/>
        <w:b/>
        <w:sz w:val="18"/>
      </w:rPr>
    </w:lvl>
    <w:lvl w:ilvl="1">
      <w:start w:val="1"/>
      <w:numFmt w:val="lowerLetter"/>
      <w:lvlText w:val="%2."/>
      <w:lvlJc w:val="left"/>
      <w:pPr>
        <w:tabs>
          <w:tab w:val="num" w:pos="0"/>
        </w:tabs>
        <w:ind w:left="4188" w:hanging="360"/>
      </w:pPr>
      <w:rPr/>
    </w:lvl>
    <w:lvl w:ilvl="2">
      <w:start w:val="1"/>
      <w:numFmt w:val="lowerRoman"/>
      <w:lvlText w:val="%3."/>
      <w:lvlJc w:val="right"/>
      <w:pPr>
        <w:tabs>
          <w:tab w:val="num" w:pos="0"/>
        </w:tabs>
        <w:ind w:left="4908" w:hanging="180"/>
      </w:pPr>
      <w:rPr/>
    </w:lvl>
    <w:lvl w:ilvl="3">
      <w:start w:val="1"/>
      <w:numFmt w:val="decimal"/>
      <w:lvlText w:val="%4."/>
      <w:lvlJc w:val="left"/>
      <w:pPr>
        <w:tabs>
          <w:tab w:val="num" w:pos="0"/>
        </w:tabs>
        <w:ind w:left="5628" w:hanging="360"/>
      </w:pPr>
      <w:rPr/>
    </w:lvl>
    <w:lvl w:ilvl="4">
      <w:start w:val="1"/>
      <w:numFmt w:val="lowerLetter"/>
      <w:lvlText w:val="%5."/>
      <w:lvlJc w:val="left"/>
      <w:pPr>
        <w:tabs>
          <w:tab w:val="num" w:pos="0"/>
        </w:tabs>
        <w:ind w:left="6348" w:hanging="360"/>
      </w:pPr>
      <w:rPr/>
    </w:lvl>
    <w:lvl w:ilvl="5">
      <w:start w:val="1"/>
      <w:numFmt w:val="lowerRoman"/>
      <w:lvlText w:val="%6."/>
      <w:lvlJc w:val="right"/>
      <w:pPr>
        <w:tabs>
          <w:tab w:val="num" w:pos="0"/>
        </w:tabs>
        <w:ind w:left="7068" w:hanging="180"/>
      </w:pPr>
      <w:rPr/>
    </w:lvl>
    <w:lvl w:ilvl="6">
      <w:start w:val="1"/>
      <w:numFmt w:val="decimal"/>
      <w:lvlText w:val="%7."/>
      <w:lvlJc w:val="left"/>
      <w:pPr>
        <w:tabs>
          <w:tab w:val="num" w:pos="0"/>
        </w:tabs>
        <w:ind w:left="7788" w:hanging="360"/>
      </w:pPr>
      <w:rPr/>
    </w:lvl>
    <w:lvl w:ilvl="7">
      <w:start w:val="1"/>
      <w:numFmt w:val="lowerLetter"/>
      <w:lvlText w:val="%8."/>
      <w:lvlJc w:val="left"/>
      <w:pPr>
        <w:tabs>
          <w:tab w:val="num" w:pos="0"/>
        </w:tabs>
        <w:ind w:left="8508" w:hanging="360"/>
      </w:pPr>
      <w:rPr/>
    </w:lvl>
    <w:lvl w:ilvl="8">
      <w:start w:val="1"/>
      <w:numFmt w:val="lowerRoman"/>
      <w:lvlText w:val="%9."/>
      <w:lvlJc w:val="right"/>
      <w:pPr>
        <w:tabs>
          <w:tab w:val="num" w:pos="0"/>
        </w:tabs>
        <w:ind w:left="9228" w:hanging="180"/>
      </w:pPr>
      <w:rPr/>
    </w:lvl>
  </w:abstractNum>
  <w:abstractNum w:abstractNumId="3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1">
    <w:lvl w:ilvl="0">
      <w:start w:val="4"/>
      <w:numFmt w:val="bullet"/>
      <w:lvlText w:val="-"/>
      <w:lvlJc w:val="left"/>
      <w:pPr>
        <w:tabs>
          <w:tab w:val="num" w:pos="0"/>
        </w:tabs>
        <w:ind w:left="1080" w:hanging="360"/>
      </w:pPr>
      <w:rPr>
        <w:rFonts w:ascii="Titillium-Regular" w:hAnsi="Titillium-Regular" w:cs="Titillium-Regular"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2">
    <w:lvl w:ilvl="0">
      <w:start w:val="1"/>
      <w:numFmt w:val="bullet"/>
      <w:lvlText w:val="-"/>
      <w:lvlJc w:val="left"/>
      <w:pPr>
        <w:tabs>
          <w:tab w:val="num" w:pos="0"/>
        </w:tabs>
        <w:ind w:left="720" w:hanging="360"/>
      </w:pPr>
      <w:rPr>
        <w:rFonts w:ascii="Garamond" w:hAnsi="Garamond" w:cs="Garamond" w:hint="default"/>
        <w:b/>
        <w:i w:val="false"/>
        <w:sz w:val="1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numFmt w:val="bullet"/>
      <w:lvlText w:val="-"/>
      <w:lvlJc w:val="left"/>
      <w:pPr>
        <w:tabs>
          <w:tab w:val="num" w:pos="0"/>
        </w:tabs>
        <w:ind w:left="720" w:hanging="360"/>
      </w:pPr>
      <w:rPr>
        <w:rFonts w:ascii="Garamond" w:hAnsi="Garamond" w:cs="Garamond" w:hint="default"/>
      </w:rPr>
    </w:lvl>
    <w:lvl w:ilvl="1">
      <w:start w:val="0"/>
      <w:numFmt w:val="bullet"/>
      <w:lvlText w:val="-"/>
      <w:lvlJc w:val="left"/>
      <w:pPr>
        <w:tabs>
          <w:tab w:val="num" w:pos="0"/>
        </w:tabs>
        <w:ind w:left="1440" w:hanging="360"/>
      </w:pPr>
      <w:rPr>
        <w:rFonts w:ascii="Garamond" w:hAnsi="Garamond" w:cs="Garamond" w:hint="default"/>
        <w:sz w:val="24"/>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numFmt w:val="bullet"/>
      <w:lvlText w:val="-"/>
      <w:lvlJc w:val="left"/>
      <w:pPr>
        <w:tabs>
          <w:tab w:val="num" w:pos="0"/>
        </w:tabs>
        <w:ind w:left="786" w:hanging="360"/>
      </w:pPr>
      <w:rPr>
        <w:rFonts w:ascii="Garamond" w:hAnsi="Garamond" w:cs="Garamond" w:hint="default"/>
        <w:sz w:val="24"/>
      </w:rPr>
    </w:lvl>
    <w:lvl w:ilvl="1">
      <w:start w:val="0"/>
      <w:numFmt w:val="bullet"/>
      <w:lvlText w:val="-"/>
      <w:lvlJc w:val="left"/>
      <w:pPr>
        <w:tabs>
          <w:tab w:val="num" w:pos="0"/>
        </w:tabs>
        <w:ind w:left="720" w:hanging="360"/>
      </w:pPr>
      <w:rPr>
        <w:rFonts w:ascii="Garamond" w:hAnsi="Garamond" w:cs="Garamond"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36">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lvl w:ilvl="0">
      <w:numFmt w:val="bullet"/>
      <w:lvlText w:val="-"/>
      <w:lvlJc w:val="left"/>
      <w:pPr>
        <w:tabs>
          <w:tab w:val="num" w:pos="0"/>
        </w:tabs>
        <w:ind w:left="1080" w:hanging="360"/>
      </w:pPr>
      <w:rPr>
        <w:rFonts w:ascii="Garamond" w:hAnsi="Garamond" w:cs="Garamond"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9">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Garamond" w:hAnsi="Garamond" w:cs="Garamond" w:hint="default"/>
        <w:b/>
        <w:i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18"/>
    <w:lvlOverride w:ilvl="0">
      <w:startOverride w:val="1"/>
    </w:lvlOverride>
    <w:lvlOverride w:ilvl="0">
      <w:startOverride w:val="1"/>
    </w:lvlOverride>
    <w:lvlOverride w:ilvl="1">
      <w:startOverride w:val="1"/>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2">
      <w:startOverride w:val="1"/>
    </w:lvlOverride>
    <w:lvlOverride w:ilvl="3">
      <w:lvl w:ilvl="3">
        <w:start w:val="1"/>
        <w:numFmt w:val="bullet"/>
        <w:lvlText w:val=""/>
        <w:lvlJc w:val="left"/>
        <w:pPr>
          <w:tabs>
            <w:tab w:val="num" w:pos="0"/>
          </w:tabs>
          <w:ind w:left="2880" w:hanging="360"/>
        </w:pPr>
        <w:rPr>
          <w:rFonts w:ascii="Symbol" w:hAnsi="Symbol" w:cs="Symbol" w:hint="default"/>
        </w:rPr>
      </w:lvl>
    </w:lvlOverride>
  </w:num>
  <w:num w:numId="44">
    <w:abstractNumId w:val="18"/>
    <w:lvlOverride w:ilvl="0">
      <w:startOverride w:val="1"/>
    </w:lvlOverride>
    <w:lvlOverride w:ilvl="0">
      <w:startOverride w:val="1"/>
    </w:lvlOverride>
    <w:lvlOverride w:ilvl="1">
      <w:startOverride w:val="1"/>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2">
      <w:startOverride w:val="1"/>
    </w:lvlOverride>
    <w:lvlOverride w:ilvl="3">
      <w:lvl w:ilvl="3">
        <w:start w:val="1"/>
        <w:numFmt w:val="bullet"/>
        <w:lvlText w:val=""/>
        <w:lvlJc w:val="left"/>
        <w:pPr>
          <w:tabs>
            <w:tab w:val="num" w:pos="0"/>
          </w:tabs>
          <w:ind w:left="2880" w:hanging="360"/>
        </w:pPr>
        <w:rPr>
          <w:rFonts w:ascii="Symbol" w:hAnsi="Symbol" w:cs="Symbol" w:hint="default"/>
        </w:rPr>
      </w:lvl>
    </w:lvlOverride>
  </w:num>
  <w:num w:numId="45">
    <w:abstractNumId w:val="18"/>
    <w:lvlOverride w:ilvl="0">
      <w:startOverride w:val="1"/>
    </w:lvlOverride>
    <w:lvlOverride w:ilvl="0">
      <w:startOverride w:val="1"/>
    </w:lvlOverride>
    <w:lvlOverride w:ilvl="1">
      <w:startOverride w:val="1"/>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2">
      <w:startOverride w:val="1"/>
    </w:lvlOverride>
    <w:lvlOverride w:ilvl="3">
      <w:lvl w:ilvl="3">
        <w:start w:val="1"/>
        <w:numFmt w:val="bullet"/>
        <w:lvlText w:val=""/>
        <w:lvlJc w:val="left"/>
        <w:pPr>
          <w:tabs>
            <w:tab w:val="num" w:pos="0"/>
          </w:tabs>
          <w:ind w:left="2880" w:hanging="360"/>
        </w:pPr>
        <w:rPr>
          <w:rFonts w:ascii="Symbol" w:hAnsi="Symbol" w:cs="Symbol" w:hint="default"/>
        </w:rPr>
      </w:lvl>
    </w:lvlOverride>
  </w:num>
</w:numbering>
</file>

<file path=word/settings.xml><?xml version="1.0" encoding="utf-8"?>
<w:settings xmlns:w="http://schemas.openxmlformats.org/wordprocessingml/2006/main">
  <w:zoom w:percent="100"/>
  <w:defaultTabStop w:val="708"/>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qFormat="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semiHidden="1" w:unhideWhenUsed="1" w:qFormat="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uiPriority="0" w:semiHidden="1" w:unhideWhenUsed="1" w:qFormat="1"/>
    <w:lsdException w:name="Body Text Indent 2" w:uiPriority="0" w:semiHidden="1" w:unhideWhenUsed="1" w:qFormat="1"/>
    <w:lsdException w:name="Body Text Indent 3" w:uiPriority="0" w:semiHidden="1"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uiPriority="0" w:semiHidden="1" w:unhideWhenUsed="1" w:qFormat="1"/>
    <w:lsdException w:name="Plain Text" w:uiPriority="0"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qFormat="1"/>
    <w:lsdException w:name="Table Grid" w:uiPriority="39"/>
    <w:lsdException w:name="Table Theme" w:semiHidden="1" w:unhideWhenUsed="1"/>
    <w:lsdException w:name="Placeholder Text" w:uiPriority="0"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28ad"/>
    <w:pPr>
      <w:widowControl/>
      <w:suppressAutoHyphens w:val="true"/>
      <w:bidi w:val="0"/>
      <w:spacing w:lineRule="auto" w:line="276" w:before="0" w:after="0"/>
      <w:jc w:val="both"/>
    </w:pPr>
    <w:rPr>
      <w:rFonts w:ascii="Garamond" w:hAnsi="Garamond" w:eastAsia="Times New Roman" w:cs="Times New Roman"/>
      <w:color w:val="auto"/>
      <w:kern w:val="0"/>
      <w:sz w:val="24"/>
      <w:szCs w:val="22"/>
      <w:lang w:val="it-IT" w:eastAsia="en-US" w:bidi="ar-SA"/>
      <w14:ligatures w14:val="none"/>
    </w:rPr>
  </w:style>
  <w:style w:type="paragraph" w:styleId="Heading1">
    <w:name w:val="heading 1"/>
    <w:basedOn w:val="Normal"/>
    <w:next w:val="Normal"/>
    <w:link w:val="Titolo1Carattere"/>
    <w:qFormat/>
    <w:rsid w:val="00604c9a"/>
    <w:pPr>
      <w:keepNext w:val="true"/>
      <w:keepLines/>
      <w:spacing w:before="100" w:after="100"/>
      <w:outlineLvl w:val="0"/>
    </w:pPr>
    <w:rPr>
      <w:rFonts w:ascii="Titillium" w:hAnsi="Titillium" w:eastAsia="" w:cs="" w:cstheme="majorBidi" w:eastAsiaTheme="majorEastAsia"/>
      <w:color w:themeColor="accent1" w:themeShade="bf" w:val="0F4761"/>
      <w:sz w:val="22"/>
    </w:rPr>
  </w:style>
  <w:style w:type="paragraph" w:styleId="Heading2">
    <w:name w:val="heading 2"/>
    <w:basedOn w:val="Normal"/>
    <w:next w:val="Normal"/>
    <w:link w:val="Titolo2Carattere"/>
    <w:unhideWhenUsed/>
    <w:qFormat/>
    <w:rsid w:val="00604c9a"/>
    <w:pPr>
      <w:keepNext w:val="true"/>
      <w:keepLines/>
      <w:spacing w:before="160" w:after="80"/>
      <w:outlineLvl w:val="1"/>
    </w:pPr>
    <w:rPr>
      <w:rFonts w:ascii="Titillium" w:hAnsi="Titillium" w:eastAsia="" w:cs="" w:cstheme="majorBidi" w:eastAsiaTheme="majorEastAsia"/>
      <w:color w:themeColor="accent1" w:themeShade="bf" w:val="0F4761"/>
      <w:sz w:val="20"/>
      <w:szCs w:val="20"/>
    </w:rPr>
  </w:style>
  <w:style w:type="paragraph" w:styleId="Heading3">
    <w:name w:val="heading 3"/>
    <w:basedOn w:val="Normal"/>
    <w:next w:val="Normal"/>
    <w:link w:val="Titolo3Carattere"/>
    <w:unhideWhenUsed/>
    <w:qFormat/>
    <w:rsid w:val="00382f18"/>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olo4Carattere"/>
    <w:unhideWhenUsed/>
    <w:qFormat/>
    <w:rsid w:val="00382f18"/>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olo5Carattere"/>
    <w:unhideWhenUsed/>
    <w:qFormat/>
    <w:rsid w:val="00382f18"/>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olo6Carattere"/>
    <w:uiPriority w:val="9"/>
    <w:semiHidden/>
    <w:unhideWhenUsed/>
    <w:qFormat/>
    <w:rsid w:val="00382f1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382f1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382f18"/>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382f18"/>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qFormat/>
    <w:rsid w:val="00604c9a"/>
    <w:rPr>
      <w:rFonts w:ascii="Titillium" w:hAnsi="Titillium" w:eastAsia="" w:cs="" w:cstheme="majorBidi" w:eastAsiaTheme="majorEastAsia"/>
      <w:color w:themeColor="accent1" w:themeShade="bf" w:val="0F4761"/>
      <w:kern w:val="0"/>
      <w:sz w:val="22"/>
      <w:szCs w:val="22"/>
      <w14:ligatures w14:val="none"/>
    </w:rPr>
  </w:style>
  <w:style w:type="character" w:styleId="Titolo2Carattere" w:customStyle="1">
    <w:name w:val="Titolo 2 Carattere"/>
    <w:basedOn w:val="DefaultParagraphFont"/>
    <w:qFormat/>
    <w:rsid w:val="00604c9a"/>
    <w:rPr>
      <w:rFonts w:ascii="Titillium" w:hAnsi="Titillium" w:eastAsia="" w:cs="" w:cstheme="majorBidi" w:eastAsiaTheme="majorEastAsia"/>
      <w:color w:themeColor="accent1" w:themeShade="bf" w:val="0F4761"/>
      <w:kern w:val="0"/>
      <w:sz w:val="20"/>
      <w:szCs w:val="20"/>
      <w14:ligatures w14:val="none"/>
    </w:rPr>
  </w:style>
  <w:style w:type="character" w:styleId="Titolo3Carattere" w:customStyle="1">
    <w:name w:val="Titolo 3 Carattere"/>
    <w:basedOn w:val="DefaultParagraphFont"/>
    <w:qFormat/>
    <w:rsid w:val="00382f18"/>
    <w:rPr>
      <w:rFonts w:eastAsia="" w:cs="" w:cstheme="majorBidi" w:eastAsiaTheme="majorEastAsia"/>
      <w:color w:themeColor="accent1" w:themeShade="bf" w:val="0F4761"/>
      <w:sz w:val="28"/>
      <w:szCs w:val="28"/>
    </w:rPr>
  </w:style>
  <w:style w:type="character" w:styleId="Titolo4Carattere" w:customStyle="1">
    <w:name w:val="Titolo 4 Carattere"/>
    <w:basedOn w:val="DefaultParagraphFont"/>
    <w:qFormat/>
    <w:rsid w:val="00382f18"/>
    <w:rPr>
      <w:rFonts w:eastAsia="" w:cs="" w:cstheme="majorBidi" w:eastAsiaTheme="majorEastAsia"/>
      <w:i/>
      <w:iCs/>
      <w:color w:themeColor="accent1" w:themeShade="bf" w:val="0F4761"/>
    </w:rPr>
  </w:style>
  <w:style w:type="character" w:styleId="Titolo5Carattere" w:customStyle="1">
    <w:name w:val="Titolo 5 Carattere"/>
    <w:basedOn w:val="DefaultParagraphFont"/>
    <w:qFormat/>
    <w:rsid w:val="00382f18"/>
    <w:rPr>
      <w:rFonts w:eastAsia="" w:cs="" w:cstheme="majorBidi" w:eastAsiaTheme="majorEastAsia"/>
      <w:color w:themeColor="accent1" w:themeShade="bf" w:val="0F4761"/>
    </w:rPr>
  </w:style>
  <w:style w:type="character" w:styleId="Titolo6Carattere" w:customStyle="1">
    <w:name w:val="Titolo 6 Carattere"/>
    <w:basedOn w:val="DefaultParagraphFont"/>
    <w:qFormat/>
    <w:rsid w:val="00382f18"/>
    <w:rPr>
      <w:rFonts w:eastAsia="" w:cs="" w:cstheme="majorBidi" w:eastAsiaTheme="majorEastAsia"/>
      <w:i/>
      <w:iCs/>
      <w:color w:themeColor="text1" w:themeTint="a6" w:val="595959"/>
    </w:rPr>
  </w:style>
  <w:style w:type="character" w:styleId="Titolo7Carattere" w:customStyle="1">
    <w:name w:val="Titolo 7 Carattere"/>
    <w:basedOn w:val="DefaultParagraphFont"/>
    <w:qFormat/>
    <w:rsid w:val="00382f18"/>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382f18"/>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382f18"/>
    <w:rPr>
      <w:rFonts w:eastAsia="" w:cs="" w:cstheme="majorBidi" w:eastAsiaTheme="majorEastAsia"/>
      <w:color w:themeColor="text1" w:themeTint="d8" w:val="272727"/>
    </w:rPr>
  </w:style>
  <w:style w:type="character" w:styleId="TitoloCarattere" w:customStyle="1">
    <w:name w:val="Titolo Carattere"/>
    <w:basedOn w:val="DefaultParagraphFont"/>
    <w:qFormat/>
    <w:rsid w:val="00382f18"/>
    <w:rPr>
      <w:rFonts w:ascii="Aptos Display" w:hAnsi="Aptos Display"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qFormat/>
    <w:rsid w:val="00382f18"/>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382f18"/>
    <w:rPr>
      <w:i/>
      <w:iCs/>
      <w:color w:themeColor="text1" w:themeTint="bf" w:val="404040"/>
    </w:rPr>
  </w:style>
  <w:style w:type="character" w:styleId="IntenseEmphasis">
    <w:name w:val="Intense Emphasis"/>
    <w:basedOn w:val="DefaultParagraphFont"/>
    <w:uiPriority w:val="21"/>
    <w:qFormat/>
    <w:rsid w:val="00382f18"/>
    <w:rPr>
      <w:i/>
      <w:iCs/>
      <w:color w:themeColor="accent1" w:themeShade="bf" w:val="0F4761"/>
    </w:rPr>
  </w:style>
  <w:style w:type="character" w:styleId="CitazioneintensaCarattere" w:customStyle="1">
    <w:name w:val="Citazione intensa Carattere"/>
    <w:basedOn w:val="DefaultParagraphFont"/>
    <w:link w:val="IntenseQuote"/>
    <w:uiPriority w:val="30"/>
    <w:qFormat/>
    <w:rsid w:val="00382f18"/>
    <w:rPr>
      <w:i/>
      <w:iCs/>
      <w:color w:themeColor="accent1" w:themeShade="bf" w:val="0F4761"/>
    </w:rPr>
  </w:style>
  <w:style w:type="character" w:styleId="IntenseReference">
    <w:name w:val="Intense Reference"/>
    <w:basedOn w:val="DefaultParagraphFont"/>
    <w:uiPriority w:val="32"/>
    <w:qFormat/>
    <w:rsid w:val="00382f18"/>
    <w:rPr>
      <w:b/>
      <w:bCs/>
      <w:smallCaps/>
      <w:color w:themeColor="accent1" w:themeShade="bf" w:val="0F4761"/>
      <w:spacing w:val="5"/>
    </w:rPr>
  </w:style>
  <w:style w:type="character" w:styleId="TestofumettoCarattere" w:customStyle="1">
    <w:name w:val="Testo fumetto Carattere"/>
    <w:qFormat/>
    <w:rsid w:val="00ae28ad"/>
    <w:rPr>
      <w:rFonts w:ascii="Tahoma" w:hAnsi="Tahoma" w:cs="Tahoma"/>
      <w:sz w:val="16"/>
      <w:szCs w:val="16"/>
    </w:rPr>
  </w:style>
  <w:style w:type="character" w:styleId="IntestazioneCarattere" w:customStyle="1">
    <w:name w:val="Intestazione Carattere"/>
    <w:qFormat/>
    <w:rsid w:val="00ae28ad"/>
    <w:rPr>
      <w:rFonts w:eastAsia="Times New Roman" w:cs="Times New Roman"/>
      <w:lang w:val="x-none" w:eastAsia="it-IT"/>
    </w:rPr>
  </w:style>
  <w:style w:type="character" w:styleId="PidipaginaCarattere" w:customStyle="1">
    <w:name w:val="Piè di pagina Carattere"/>
    <w:qFormat/>
    <w:rsid w:val="00ae28ad"/>
    <w:rPr>
      <w:rFonts w:eastAsia="Times New Roman" w:cs="Times New Roman"/>
      <w:lang w:val="x-none" w:eastAsia="it-IT"/>
    </w:rPr>
  </w:style>
  <w:style w:type="character" w:styleId="TestonotaapidipaginaCarattere" w:customStyle="1">
    <w:name w:val="Testo nota a piè di pagina Carattere"/>
    <w:qFormat/>
    <w:rsid w:val="00ae28ad"/>
    <w:rPr>
      <w:rFonts w:eastAsia="Times New Roman" w:cs="Times New Roman"/>
      <w:sz w:val="20"/>
      <w:szCs w:val="20"/>
      <w:lang w:val="x-none" w:eastAsia="it-IT"/>
    </w:rPr>
  </w:style>
  <w:style w:type="character" w:styleId="Caratterinotaapidipagina">
    <w:name w:val="Caratteri nota a piè di pagina"/>
    <w:qFormat/>
    <w:rPr>
      <w:rFonts w:cs="Times New Roman"/>
      <w:vertAlign w:val="superscript"/>
    </w:rPr>
  </w:style>
  <w:style w:type="character" w:styleId="FootnoteCharactersuser" w:customStyle="1">
    <w:name w:val="Footnote Characters (user)"/>
    <w:uiPriority w:val="99"/>
    <w:semiHidden/>
    <w:unhideWhenUsed/>
    <w:qFormat/>
    <w:rsid w:val="00ae28ad"/>
    <w:rPr>
      <w:rFonts w:cs="Times New Roman"/>
      <w:vertAlign w:val="superscript"/>
    </w:rPr>
  </w:style>
  <w:style w:type="character" w:styleId="FootnoteCharacters">
    <w:name w:val="Footnote Characters"/>
    <w:qFormat/>
    <w:rPr>
      <w:rFonts w:cs="Times New Roman"/>
      <w:vertAlign w:val="superscript"/>
    </w:rPr>
  </w:style>
  <w:style w:type="character" w:styleId="FootnoteReference">
    <w:name w:val="footnote reference"/>
    <w:rPr>
      <w:rFonts w:cs="Times New Roman"/>
      <w:vertAlign w:val="superscript"/>
    </w:rPr>
  </w:style>
  <w:style w:type="character" w:styleId="Hyperlink">
    <w:name w:val="Hyperlink"/>
    <w:basedOn w:val="DefaultParagraphFont"/>
    <w:uiPriority w:val="99"/>
    <w:unhideWhenUsed/>
    <w:rsid w:val="00ae28ad"/>
    <w:rPr>
      <w:color w:themeColor="hyperlink" w:val="467886"/>
      <w:u w:val="single"/>
    </w:rPr>
  </w:style>
  <w:style w:type="character" w:styleId="Stile1Carattere" w:customStyle="1">
    <w:name w:val="Stile1 Carattere"/>
    <w:qFormat/>
    <w:rsid w:val="00ae28ad"/>
    <w:rPr>
      <w:rFonts w:ascii="Times New Roman" w:hAnsi="Times New Roman" w:cs="Times New Roman"/>
      <w:b/>
      <w:bCs/>
      <w:color w:val="365F91"/>
      <w:sz w:val="28"/>
      <w:szCs w:val="28"/>
      <w:lang w:val="x-none" w:eastAsia="it-IT"/>
    </w:rPr>
  </w:style>
  <w:style w:type="character" w:styleId="NoSpacingChar" w:customStyle="1">
    <w:name w:val="No Spacing Char"/>
    <w:qFormat/>
    <w:rsid w:val="00ae28ad"/>
    <w:rPr>
      <w:sz w:val="22"/>
      <w:szCs w:val="22"/>
      <w:lang w:val="it-IT" w:eastAsia="en-US" w:bidi="ar-SA"/>
    </w:rPr>
  </w:style>
  <w:style w:type="character" w:styleId="Emphasis" w:customStyle="1">
    <w:name w:val="Emphasis"/>
    <w:qFormat/>
    <w:rsid w:val="00ae28ad"/>
    <w:rPr>
      <w:rFonts w:cs="Times New Roman"/>
      <w:i/>
      <w:iCs/>
    </w:rPr>
  </w:style>
  <w:style w:type="character" w:styleId="TestonotadichiusuraCarattere" w:customStyle="1">
    <w:name w:val="Testo nota di chiusura Carattere"/>
    <w:qFormat/>
    <w:rsid w:val="00ae28ad"/>
    <w:rPr>
      <w:rFonts w:eastAsia="Times New Roman"/>
      <w:lang w:eastAsia="en-US"/>
    </w:rPr>
  </w:style>
  <w:style w:type="character" w:styleId="Caratterinotadichiusura">
    <w:name w:val="Caratteri nota di chiusura"/>
    <w:qFormat/>
    <w:rPr>
      <w:vertAlign w:val="superscript"/>
    </w:rPr>
  </w:style>
  <w:style w:type="character" w:styleId="EndnoteCharactersuser" w:customStyle="1">
    <w:name w:val="Endnote Characters (user)"/>
    <w:qFormat/>
    <w:rsid w:val="00ae28ad"/>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descrizione" w:customStyle="1">
    <w:name w:val="descrizione"/>
    <w:qFormat/>
    <w:rsid w:val="00ae28ad"/>
    <w:rPr>
      <w:b/>
      <w:bCs/>
      <w:color w:val="5B76A0"/>
      <w:sz w:val="28"/>
      <w:szCs w:val="28"/>
    </w:rPr>
  </w:style>
  <w:style w:type="character" w:styleId="Strong">
    <w:name w:val="Strong"/>
    <w:qFormat/>
    <w:rsid w:val="00ae28ad"/>
    <w:rPr>
      <w:b/>
      <w:bCs/>
    </w:rPr>
  </w:style>
  <w:style w:type="character" w:styleId="provvrubrica" w:customStyle="1">
    <w:name w:val="provv_rubrica"/>
    <w:qFormat/>
    <w:rsid w:val="00ae28ad"/>
    <w:rPr>
      <w:i/>
      <w:iCs/>
    </w:rPr>
  </w:style>
  <w:style w:type="character" w:styleId="CommentReference">
    <w:name w:val="annotation reference"/>
    <w:uiPriority w:val="99"/>
    <w:qFormat/>
    <w:rsid w:val="00ae28ad"/>
    <w:rPr>
      <w:sz w:val="16"/>
      <w:szCs w:val="16"/>
    </w:rPr>
  </w:style>
  <w:style w:type="character" w:styleId="TestocommentoCarattere" w:customStyle="1">
    <w:name w:val="Testo commento Carattere"/>
    <w:uiPriority w:val="99"/>
    <w:qFormat/>
    <w:rsid w:val="00ae28ad"/>
    <w:rPr>
      <w:rFonts w:eastAsia="Times New Roman"/>
      <w:lang w:eastAsia="en-US"/>
    </w:rPr>
  </w:style>
  <w:style w:type="character" w:styleId="SoggettocommentoCarattere" w:customStyle="1">
    <w:name w:val="Soggetto commento Carattere"/>
    <w:qFormat/>
    <w:rsid w:val="00ae28ad"/>
    <w:rPr>
      <w:rFonts w:eastAsia="Times New Roman"/>
      <w:b/>
      <w:bCs/>
      <w:lang w:eastAsia="en-US"/>
    </w:rPr>
  </w:style>
  <w:style w:type="character" w:styleId="provvnumcomma" w:customStyle="1">
    <w:name w:val="provv_numcomma"/>
    <w:basedOn w:val="DefaultParagraphFont"/>
    <w:qFormat/>
    <w:rsid w:val="00ae28ad"/>
    <w:rPr/>
  </w:style>
  <w:style w:type="character" w:styleId="anchorantimarker" w:customStyle="1">
    <w:name w:val="anchor_anti_marker"/>
    <w:qFormat/>
    <w:rsid w:val="00ae28ad"/>
    <w:rPr>
      <w:color w:val="000000"/>
    </w:rPr>
  </w:style>
  <w:style w:type="character" w:styleId="linkneltesto" w:customStyle="1">
    <w:name w:val="link_nel_testo"/>
    <w:qFormat/>
    <w:rsid w:val="00ae28ad"/>
    <w:rPr>
      <w:i/>
      <w:iCs/>
    </w:rPr>
  </w:style>
  <w:style w:type="character" w:styleId="CorpotestoCarattere1" w:customStyle="1">
    <w:name w:val="Corpo testo Carattere1"/>
    <w:qFormat/>
    <w:rsid w:val="00ae28ad"/>
    <w:rPr>
      <w:rFonts w:ascii="Times New Roman" w:hAnsi="Times New Roman" w:eastAsia="Times New Roman"/>
      <w:sz w:val="26"/>
    </w:rPr>
  </w:style>
  <w:style w:type="character" w:styleId="Rientrocorpodeltesto3Carattere" w:customStyle="1">
    <w:name w:val="Rientro corpo del testo 3 Carattere"/>
    <w:qFormat/>
    <w:rsid w:val="00ae28ad"/>
    <w:rPr>
      <w:rFonts w:eastAsia="Times New Roman"/>
      <w:sz w:val="16"/>
      <w:szCs w:val="16"/>
      <w:lang w:eastAsia="en-US"/>
    </w:rPr>
  </w:style>
  <w:style w:type="character" w:styleId="Corpodeltesto2Carattere" w:customStyle="1">
    <w:name w:val="Corpo del testo 2 Carattere"/>
    <w:qFormat/>
    <w:rsid w:val="00ae28ad"/>
    <w:rPr>
      <w:rFonts w:eastAsia="Times New Roman"/>
      <w:sz w:val="22"/>
      <w:szCs w:val="22"/>
      <w:lang w:eastAsia="en-US"/>
    </w:rPr>
  </w:style>
  <w:style w:type="character" w:styleId="noteapiCarattere" w:customStyle="1">
    <w:name w:val="note a piè Carattere"/>
    <w:qFormat/>
    <w:rsid w:val="00ae28ad"/>
    <w:rPr>
      <w:rFonts w:ascii="Times New Roman" w:hAnsi="Times New Roman" w:eastAsia="Times New Roman" w:cs="Times New Roman"/>
      <w:sz w:val="20"/>
      <w:szCs w:val="20"/>
      <w:lang w:val="x-none" w:eastAsia="it-IT"/>
    </w:rPr>
  </w:style>
  <w:style w:type="character" w:styleId="provvnumart" w:customStyle="1">
    <w:name w:val="provv_numart"/>
    <w:qFormat/>
    <w:rsid w:val="00ae28ad"/>
    <w:rPr>
      <w:b/>
      <w:bCs/>
    </w:rPr>
  </w:style>
  <w:style w:type="character" w:styleId="MappadocumentoCarattere" w:customStyle="1">
    <w:name w:val="Mappa documento Carattere"/>
    <w:qFormat/>
    <w:rsid w:val="00ae28ad"/>
    <w:rPr>
      <w:rFonts w:ascii="Tahoma" w:hAnsi="Tahoma" w:eastAsia="Times New Roman" w:cs="Tahoma"/>
      <w:sz w:val="16"/>
      <w:szCs w:val="16"/>
      <w:lang w:eastAsia="en-US"/>
    </w:rPr>
  </w:style>
  <w:style w:type="character" w:styleId="provvvigore" w:customStyle="1">
    <w:name w:val="provv_vigore"/>
    <w:qFormat/>
    <w:rsid w:val="00ae28ad"/>
    <w:rPr>
      <w:vanish w:val="false"/>
    </w:rPr>
  </w:style>
  <w:style w:type="character" w:styleId="riferimento1" w:customStyle="1">
    <w:name w:val="riferimento1"/>
    <w:qFormat/>
    <w:rsid w:val="00ae28ad"/>
    <w:rPr>
      <w:i/>
      <w:iCs/>
      <w:color w:val="058940"/>
    </w:rPr>
  </w:style>
  <w:style w:type="character" w:styleId="FollowedHyperlink">
    <w:name w:val="FollowedHyperlink"/>
    <w:basedOn w:val="DefaultParagraphFont"/>
    <w:uiPriority w:val="99"/>
    <w:semiHidden/>
    <w:unhideWhenUsed/>
    <w:rsid w:val="00ae28ad"/>
    <w:rPr>
      <w:color w:themeColor="followedHyperlink" w:val="96607D"/>
      <w:u w:val="single"/>
    </w:rPr>
  </w:style>
  <w:style w:type="character" w:styleId="Rientrocorpodeltesto2Carattere" w:customStyle="1">
    <w:name w:val="Rientro corpo del testo 2 Carattere"/>
    <w:qFormat/>
    <w:rsid w:val="00ae28ad"/>
    <w:rPr>
      <w:rFonts w:ascii="Times New Roman" w:hAnsi="Times New Roman" w:eastAsia="Times New Roman"/>
      <w:sz w:val="24"/>
      <w:szCs w:val="24"/>
    </w:rPr>
  </w:style>
  <w:style w:type="character" w:styleId="CorpotestoCarattere" w:customStyle="1">
    <w:name w:val="Corpo testo Carattere"/>
    <w:qFormat/>
    <w:rsid w:val="00ae28ad"/>
    <w:rPr>
      <w:rFonts w:ascii="Times New Roman" w:hAnsi="Times New Roman" w:eastAsia="Times New Roman" w:cs="Times New Roman"/>
      <w:sz w:val="26"/>
      <w:szCs w:val="24"/>
      <w:lang w:eastAsia="it-IT"/>
    </w:rPr>
  </w:style>
  <w:style w:type="character" w:styleId="PageNumber">
    <w:name w:val="page number"/>
    <w:qFormat/>
    <w:rsid w:val="00ae28ad"/>
    <w:rPr/>
  </w:style>
  <w:style w:type="character" w:styleId="RientrocorpodeltestoCarattere" w:customStyle="1">
    <w:name w:val="Rientro corpo del testo Carattere"/>
    <w:qFormat/>
    <w:rsid w:val="00ae28ad"/>
    <w:rPr>
      <w:rFonts w:ascii="Times New Roman" w:hAnsi="Times New Roman" w:eastAsia="Times New Roman"/>
      <w:b/>
      <w:bCs/>
      <w:i/>
      <w:iCs/>
    </w:rPr>
  </w:style>
  <w:style w:type="character" w:styleId="Corpodeltesto3Carattere" w:customStyle="1">
    <w:name w:val="Corpo del testo 3 Carattere"/>
    <w:qFormat/>
    <w:rsid w:val="00ae28ad"/>
    <w:rPr>
      <w:rFonts w:ascii="Times New Roman" w:hAnsi="Times New Roman" w:eastAsia="Times New Roman"/>
      <w:b/>
      <w:bCs/>
      <w:i/>
      <w:iCs/>
      <w:szCs w:val="24"/>
    </w:rPr>
  </w:style>
  <w:style w:type="character" w:styleId="CarattereCarattere2" w:customStyle="1">
    <w:name w:val="Carattere Carattere2"/>
    <w:qFormat/>
    <w:rsid w:val="00ae28ad"/>
    <w:rPr>
      <w:sz w:val="26"/>
      <w:szCs w:val="24"/>
      <w:lang w:val="it-IT" w:eastAsia="it-IT" w:bidi="ar-SA"/>
    </w:rPr>
  </w:style>
  <w:style w:type="character" w:styleId="st1" w:customStyle="1">
    <w:name w:val="st1"/>
    <w:qFormat/>
    <w:rsid w:val="00ae28ad"/>
    <w:rPr/>
  </w:style>
  <w:style w:type="character" w:styleId="TestonormaleCarattere" w:customStyle="1">
    <w:name w:val="Testo normale Carattere"/>
    <w:basedOn w:val="DefaultParagraphFont"/>
    <w:qFormat/>
    <w:rsid w:val="00ae28ad"/>
    <w:rPr>
      <w:rFonts w:ascii="Garamond" w:hAnsi="Garamond" w:eastAsia="Times New Roman" w:cs="Consolas"/>
      <w:sz w:val="24"/>
      <w:szCs w:val="21"/>
      <w:lang w:eastAsia="en-US"/>
    </w:rPr>
  </w:style>
  <w:style w:type="character" w:styleId="PlaceholderText">
    <w:name w:val="Placeholder Text"/>
    <w:basedOn w:val="DefaultParagraphFont"/>
    <w:qFormat/>
    <w:rsid w:val="00ae28ad"/>
    <w:rPr>
      <w:color w:val="808080"/>
    </w:rPr>
  </w:style>
  <w:style w:type="character" w:styleId="SommariodisciplinareCarattere" w:customStyle="1">
    <w:name w:val="Sommario disciplinare Carattere"/>
    <w:basedOn w:val="Titolo1Carattere"/>
    <w:qFormat/>
    <w:rsid w:val="00ae28ad"/>
    <w:rPr>
      <w:rFonts w:ascii="Garamond" w:hAnsi="Garamond" w:eastAsia="Times New Roman" w:cs="Calibri"/>
      <w:b/>
      <w:bCs/>
      <w:color w:themeColor="accent1" w:themeShade="bf" w:val="0F4761"/>
      <w:kern w:val="0"/>
      <w:sz w:val="22"/>
      <w:szCs w:val="24"/>
      <w:lang w:val="x-none" w:eastAsia="x-none"/>
      <w14:ligatures w14:val="none"/>
    </w:rPr>
  </w:style>
  <w:style w:type="character" w:styleId="apple-converted-space" w:customStyle="1">
    <w:name w:val="apple-converted-space"/>
    <w:basedOn w:val="DefaultParagraphFont"/>
    <w:qFormat/>
    <w:rsid w:val="00ae28ad"/>
    <w:rPr/>
  </w:style>
  <w:style w:type="character" w:styleId="Saltoaindice" w:customStyle="1">
    <w:name w:val="Salto a indice"/>
    <w:qFormat/>
    <w:rsid w:val="00ae28ad"/>
    <w:rPr/>
  </w:style>
  <w:style w:type="character" w:styleId="WW8Num27z0" w:customStyle="1">
    <w:name w:val="WW8Num27z0"/>
    <w:qFormat/>
    <w:rsid w:val="00ae28ad"/>
    <w:rPr>
      <w:rFonts w:ascii="Calibri" w:hAnsi="Calibri" w:cs="Calibri"/>
      <w:sz w:val="22"/>
      <w:szCs w:val="22"/>
    </w:rPr>
  </w:style>
  <w:style w:type="character" w:styleId="WW8Num27z1" w:customStyle="1">
    <w:name w:val="WW8Num27z1"/>
    <w:qFormat/>
    <w:rsid w:val="00ae28ad"/>
    <w:rPr/>
  </w:style>
  <w:style w:type="character" w:styleId="WW8Num27z2" w:customStyle="1">
    <w:name w:val="WW8Num27z2"/>
    <w:qFormat/>
    <w:rsid w:val="00ae28ad"/>
    <w:rPr/>
  </w:style>
  <w:style w:type="character" w:styleId="WW8Num27z3" w:customStyle="1">
    <w:name w:val="WW8Num27z3"/>
    <w:qFormat/>
    <w:rsid w:val="00ae28ad"/>
    <w:rPr/>
  </w:style>
  <w:style w:type="character" w:styleId="WW8Num27z4" w:customStyle="1">
    <w:name w:val="WW8Num27z4"/>
    <w:qFormat/>
    <w:rsid w:val="00ae28ad"/>
    <w:rPr/>
  </w:style>
  <w:style w:type="character" w:styleId="WW8Num27z5" w:customStyle="1">
    <w:name w:val="WW8Num27z5"/>
    <w:qFormat/>
    <w:rsid w:val="00ae28ad"/>
    <w:rPr/>
  </w:style>
  <w:style w:type="character" w:styleId="WW8Num27z6" w:customStyle="1">
    <w:name w:val="WW8Num27z6"/>
    <w:qFormat/>
    <w:rsid w:val="00ae28ad"/>
    <w:rPr/>
  </w:style>
  <w:style w:type="character" w:styleId="WW8Num27z7" w:customStyle="1">
    <w:name w:val="WW8Num27z7"/>
    <w:qFormat/>
    <w:rsid w:val="00ae28ad"/>
    <w:rPr/>
  </w:style>
  <w:style w:type="character" w:styleId="WW8Num27z8" w:customStyle="1">
    <w:name w:val="WW8Num27z8"/>
    <w:qFormat/>
    <w:rsid w:val="00ae28ad"/>
    <w:rPr/>
  </w:style>
  <w:style w:type="character" w:styleId="ParagrafoelencoCarattere" w:customStyle="1">
    <w:name w:val="Paragrafo elenco Carattere"/>
    <w:uiPriority w:val="34"/>
    <w:qFormat/>
    <w:rsid w:val="00ae28ad"/>
    <w:rPr/>
  </w:style>
  <w:style w:type="character" w:styleId="ANAC-TitoloSottoparagrafoCarattere" w:customStyle="1">
    <w:name w:val="ANAC - Titolo Sottoparagrafo Carattere"/>
    <w:qFormat/>
    <w:rsid w:val="00ae28ad"/>
    <w:rPr>
      <w:rFonts w:ascii="Calibri Light" w:hAnsi="Calibri Light" w:eastAsia="0"/>
      <w:color w:val="2F5496"/>
      <w:sz w:val="28"/>
      <w:szCs w:val="22"/>
    </w:rPr>
  </w:style>
  <w:style w:type="character" w:styleId="ANAC-TitoloParagrafoCarattere" w:customStyle="1">
    <w:name w:val="ANAC - Titolo Paragrafo Carattere"/>
    <w:qFormat/>
    <w:rsid w:val="00ae28ad"/>
    <w:rPr>
      <w:rFonts w:ascii="Gotham Light" w:hAnsi="Gotham Light" w:eastAsia="0"/>
      <w:color w:val="2770B7"/>
      <w:sz w:val="28"/>
    </w:rPr>
  </w:style>
  <w:style w:type="character" w:styleId="ANAC-TitoloCapitoloCarattere" w:customStyle="1">
    <w:name w:val="ANAC - Titolo Capitolo Carattere"/>
    <w:qFormat/>
    <w:rsid w:val="00ae28ad"/>
    <w:rPr>
      <w:rFonts w:ascii="Gotham Light" w:hAnsi="Gotham Light" w:eastAsia="0"/>
      <w:iCs/>
      <w:color w:val="2F5496"/>
      <w:sz w:val="36"/>
      <w:szCs w:val="40"/>
    </w:rPr>
  </w:style>
  <w:style w:type="character" w:styleId="ANAC-CapitoloCarattere" w:customStyle="1">
    <w:name w:val="ANAC - Capitolo Carattere"/>
    <w:qFormat/>
    <w:rsid w:val="00ae28ad"/>
    <w:rPr>
      <w:rFonts w:ascii="Calibri Light" w:hAnsi="Calibri Light" w:eastAsia="0"/>
      <w:color w:val="2F5496"/>
      <w:sz w:val="32"/>
      <w:szCs w:val="32"/>
    </w:rPr>
  </w:style>
  <w:style w:type="character" w:styleId="TitoloParagrafoChar" w:customStyle="1">
    <w:name w:val="Titolo Paragrafo Char"/>
    <w:qFormat/>
    <w:rsid w:val="00ae28ad"/>
    <w:rPr>
      <w:rFonts w:ascii="Calibri Light" w:hAnsi="Calibri Light" w:eastAsia="0"/>
      <w:color w:val="2F5496"/>
      <w:sz w:val="28"/>
    </w:rPr>
  </w:style>
  <w:style w:type="character" w:styleId="TitoloCapitoloChar" w:customStyle="1">
    <w:name w:val="Titolo Capitolo Char"/>
    <w:qFormat/>
    <w:rsid w:val="00ae28ad"/>
    <w:rPr>
      <w:rFonts w:ascii="Gotham Light" w:hAnsi="Gotham Light" w:eastAsia="0"/>
      <w:iCs/>
      <w:color w:val="2F5496"/>
      <w:sz w:val="36"/>
      <w:szCs w:val="40"/>
    </w:rPr>
  </w:style>
  <w:style w:type="character" w:styleId="NumeroCapitoloChar" w:customStyle="1">
    <w:name w:val="Numero Capitolo Char"/>
    <w:qFormat/>
    <w:rsid w:val="00ae28ad"/>
    <w:rPr>
      <w:rFonts w:ascii="Gotham Light" w:hAnsi="Gotham Light" w:eastAsia="0"/>
      <w:color w:val="2770B7"/>
      <w:sz w:val="48"/>
      <w:szCs w:val="36"/>
    </w:rPr>
  </w:style>
  <w:style w:type="character" w:styleId="TitoloParteChar" w:customStyle="1">
    <w:name w:val="Titolo Parte Char"/>
    <w:qFormat/>
    <w:rsid w:val="00ae28ad"/>
    <w:rPr>
      <w:rFonts w:ascii="Gotham Book" w:hAnsi="Gotham Book" w:eastAsia="Times New Roman (Corpo CS)"/>
      <w:caps/>
      <w:color w:val="FFFFFF"/>
      <w:sz w:val="40"/>
      <w:szCs w:val="40"/>
      <w:lang w:eastAsia="zh-CN"/>
    </w:rPr>
  </w:style>
  <w:style w:type="character" w:styleId="ParteNumeroChar" w:customStyle="1">
    <w:name w:val="Parte Numero Char"/>
    <w:qFormat/>
    <w:rsid w:val="00ae28ad"/>
    <w:rPr>
      <w:rFonts w:ascii="Gotham Medium" w:hAnsi="Gotham Medium" w:eastAsia="Times New Roman (Corpo CS)"/>
      <w:caps/>
      <w:color w:val="FFFFFF"/>
      <w:sz w:val="28"/>
      <w:szCs w:val="28"/>
    </w:rPr>
  </w:style>
  <w:style w:type="character" w:styleId="ParagrafobaseChar" w:customStyle="1">
    <w:name w:val="[Paragrafo base] Char"/>
    <w:qFormat/>
    <w:rsid w:val="00ae28ad"/>
    <w:rPr>
      <w:rFonts w:ascii="Minion Pro" w:hAnsi="Minion Pro" w:eastAsia="Minion Pro"/>
      <w:color w:val="000000"/>
    </w:rPr>
  </w:style>
  <w:style w:type="character" w:styleId="NessunaspaziaturaCarattere" w:customStyle="1">
    <w:name w:val="Nessuna spaziatura Carattere"/>
    <w:qFormat/>
    <w:rsid w:val="00ae28ad"/>
    <w:rPr>
      <w:rFonts w:eastAsia="0"/>
      <w:szCs w:val="22"/>
      <w:lang w:eastAsia="en-US"/>
    </w:rPr>
  </w:style>
  <w:style w:type="character" w:styleId="Caratteridinumerazione" w:customStyle="1">
    <w:name w:val="Caratteri di numerazione"/>
    <w:qFormat/>
    <w:rsid w:val="00ae28ad"/>
    <w:rPr/>
  </w:style>
  <w:style w:type="character" w:styleId="Menzionenonrisolta1" w:customStyle="1">
    <w:name w:val="Menzione non risolta1"/>
    <w:basedOn w:val="DefaultParagraphFont"/>
    <w:qFormat/>
    <w:rsid w:val="00ae28ad"/>
    <w:rPr>
      <w:color w:val="605E5C"/>
    </w:rPr>
  </w:style>
  <w:style w:type="character" w:styleId="Punti" w:customStyle="1">
    <w:name w:val="Punti"/>
    <w:qFormat/>
    <w:rsid w:val="00ae28ad"/>
    <w:rPr>
      <w:rFonts w:ascii="OpenSymbol" w:hAnsi="OpenSymbol" w:eastAsia="OpenSymbol" w:cs="OpenSymbol"/>
    </w:rPr>
  </w:style>
  <w:style w:type="character" w:styleId="CITE" w:customStyle="1">
    <w:name w:val="CITE"/>
    <w:qFormat/>
    <w:rsid w:val="00ae28ad"/>
    <w:rPr>
      <w:i/>
    </w:rPr>
  </w:style>
  <w:style w:type="character" w:styleId="CODE" w:customStyle="1">
    <w:name w:val="CODE"/>
    <w:qFormat/>
    <w:rsid w:val="00ae28ad"/>
    <w:rPr>
      <w:rFonts w:ascii="Courier New" w:hAnsi="Courier New"/>
      <w:sz w:val="20"/>
    </w:rPr>
  </w:style>
  <w:style w:type="character" w:styleId="Keyboard" w:customStyle="1">
    <w:name w:val="Keyboard"/>
    <w:qFormat/>
    <w:rsid w:val="00ae28ad"/>
    <w:rPr>
      <w:rFonts w:ascii="Courier New" w:hAnsi="Courier New"/>
      <w:b/>
      <w:sz w:val="20"/>
    </w:rPr>
  </w:style>
  <w:style w:type="character" w:styleId="Sample" w:customStyle="1">
    <w:name w:val="Sample"/>
    <w:qFormat/>
    <w:rsid w:val="00ae28ad"/>
    <w:rPr>
      <w:rFonts w:ascii="Courier New" w:hAnsi="Courier New"/>
    </w:rPr>
  </w:style>
  <w:style w:type="character" w:styleId="Typewriter" w:customStyle="1">
    <w:name w:val="Typewriter"/>
    <w:qFormat/>
    <w:rsid w:val="00ae28ad"/>
    <w:rPr>
      <w:rFonts w:ascii="Courier New" w:hAnsi="Courier New"/>
      <w:sz w:val="20"/>
    </w:rPr>
  </w:style>
  <w:style w:type="character" w:styleId="HTMLMarkup" w:customStyle="1">
    <w:name w:val="HTML Markup"/>
    <w:qFormat/>
    <w:rsid w:val="00ae28ad"/>
    <w:rPr>
      <w:vanish/>
      <w:color w:val="FF0000"/>
    </w:rPr>
  </w:style>
  <w:style w:type="character" w:styleId="Comment" w:customStyle="1">
    <w:name w:val="Comment"/>
    <w:qFormat/>
    <w:rsid w:val="00ae28ad"/>
    <w:rPr>
      <w:vanish/>
    </w:rPr>
  </w:style>
  <w:style w:type="character" w:styleId="CorpotestoCarattere2" w:customStyle="1">
    <w:name w:val="Corpo testo Carattere2"/>
    <w:basedOn w:val="DefaultParagraphFont"/>
    <w:qFormat/>
    <w:rsid w:val="00ae28ad"/>
    <w:rPr>
      <w:rFonts w:ascii="Times New Roman" w:hAnsi="Times New Roman" w:eastAsia="Times New Roman" w:cs="Times New Roman"/>
      <w:kern w:val="0"/>
      <w:sz w:val="26"/>
      <w:szCs w:val="20"/>
      <w:lang w:val="x-none" w:eastAsia="x-none"/>
      <w14:ligatures w14:val="none"/>
    </w:rPr>
  </w:style>
  <w:style w:type="character" w:styleId="TestofumettoCarattere1" w:customStyle="1">
    <w:name w:val="Testo fumetto Carattere1"/>
    <w:basedOn w:val="DefaultParagraphFont"/>
    <w:link w:val="BalloonText"/>
    <w:qFormat/>
    <w:rsid w:val="00ae28ad"/>
    <w:rPr>
      <w:rFonts w:ascii="Tahoma" w:hAnsi="Tahoma" w:eastAsia="Calibri" w:cs="Times New Roman"/>
      <w:kern w:val="0"/>
      <w:sz w:val="16"/>
      <w:szCs w:val="16"/>
      <w:lang w:val="x-none" w:eastAsia="x-none"/>
      <w14:ligatures w14:val="none"/>
    </w:rPr>
  </w:style>
  <w:style w:type="character" w:styleId="IntestazioneCarattere1" w:customStyle="1">
    <w:name w:val="Intestazione Carattere1"/>
    <w:basedOn w:val="DefaultParagraphFont"/>
    <w:qFormat/>
    <w:rsid w:val="00ae28ad"/>
    <w:rPr>
      <w:rFonts w:ascii="Garamond" w:hAnsi="Garamond" w:eastAsia="Times New Roman" w:cs="Times New Roman"/>
      <w:kern w:val="0"/>
      <w:sz w:val="20"/>
      <w:szCs w:val="20"/>
      <w:lang w:val="x-none" w:eastAsia="it-IT"/>
      <w14:ligatures w14:val="none"/>
    </w:rPr>
  </w:style>
  <w:style w:type="character" w:styleId="PidipaginaCarattere1" w:customStyle="1">
    <w:name w:val="Piè di pagina Carattere1"/>
    <w:basedOn w:val="DefaultParagraphFont"/>
    <w:qFormat/>
    <w:rsid w:val="00ae28ad"/>
    <w:rPr>
      <w:rFonts w:ascii="Garamond" w:hAnsi="Garamond" w:eastAsia="Times New Roman" w:cs="Times New Roman"/>
      <w:kern w:val="0"/>
      <w:sz w:val="20"/>
      <w:szCs w:val="20"/>
      <w:lang w:val="x-none" w:eastAsia="it-IT"/>
      <w14:ligatures w14:val="none"/>
    </w:rPr>
  </w:style>
  <w:style w:type="character" w:styleId="TestonotaapidipaginaCarattere1" w:customStyle="1">
    <w:name w:val="Testo nota a piè di pagina Carattere1"/>
    <w:basedOn w:val="DefaultParagraphFont"/>
    <w:qFormat/>
    <w:rsid w:val="00ae28ad"/>
    <w:rPr>
      <w:rFonts w:ascii="Garamond" w:hAnsi="Garamond" w:eastAsia="Times New Roman" w:cs="Times New Roman"/>
      <w:kern w:val="0"/>
      <w:sz w:val="20"/>
      <w:szCs w:val="20"/>
      <w:lang w:val="x-none" w:eastAsia="it-IT"/>
      <w14:ligatures w14:val="none"/>
    </w:rPr>
  </w:style>
  <w:style w:type="character" w:styleId="TestonotadichiusuraCarattere1" w:customStyle="1">
    <w:name w:val="Testo nota di chiusura Carattere1"/>
    <w:basedOn w:val="DefaultParagraphFont"/>
    <w:qFormat/>
    <w:rsid w:val="00ae28ad"/>
    <w:rPr>
      <w:rFonts w:ascii="Garamond" w:hAnsi="Garamond" w:eastAsia="Times New Roman" w:cs="Times New Roman"/>
      <w:kern w:val="0"/>
      <w:sz w:val="20"/>
      <w:szCs w:val="20"/>
      <w:lang w:val="x-none"/>
      <w14:ligatures w14:val="none"/>
    </w:rPr>
  </w:style>
  <w:style w:type="character" w:styleId="TestocommentoCarattere1" w:customStyle="1">
    <w:name w:val="Testo commento Carattere1"/>
    <w:basedOn w:val="DefaultParagraphFont"/>
    <w:qFormat/>
    <w:rsid w:val="00ae28ad"/>
    <w:rPr>
      <w:rFonts w:ascii="Garamond" w:hAnsi="Garamond" w:eastAsia="Times New Roman" w:cs="Times New Roman"/>
      <w:kern w:val="0"/>
      <w:sz w:val="20"/>
      <w:szCs w:val="20"/>
      <w:lang w:val="x-none"/>
      <w14:ligatures w14:val="none"/>
    </w:rPr>
  </w:style>
  <w:style w:type="character" w:styleId="SoggettocommentoCarattere1" w:customStyle="1">
    <w:name w:val="Soggetto commento Carattere1"/>
    <w:basedOn w:val="TestocommentoCarattere1"/>
    <w:link w:val="annotationsubject"/>
    <w:qFormat/>
    <w:rsid w:val="00ae28ad"/>
    <w:rPr>
      <w:rFonts w:ascii="Garamond" w:hAnsi="Garamond" w:eastAsia="Times New Roman" w:cs="Times New Roman"/>
      <w:b/>
      <w:bCs/>
      <w:kern w:val="0"/>
      <w:sz w:val="20"/>
      <w:szCs w:val="20"/>
      <w:lang w:val="x-none"/>
      <w14:ligatures w14:val="none"/>
    </w:rPr>
  </w:style>
  <w:style w:type="character" w:styleId="Rientrocorpodeltesto3Carattere1" w:customStyle="1">
    <w:name w:val="Rientro corpo del testo 3 Carattere1"/>
    <w:basedOn w:val="DefaultParagraphFont"/>
    <w:link w:val="BodyTextIndent3"/>
    <w:qFormat/>
    <w:rsid w:val="00ae28ad"/>
    <w:rPr>
      <w:rFonts w:ascii="Garamond" w:hAnsi="Garamond" w:eastAsia="Times New Roman" w:cs="Times New Roman"/>
      <w:kern w:val="0"/>
      <w:sz w:val="16"/>
      <w:szCs w:val="16"/>
      <w:lang w:val="x-none"/>
      <w14:ligatures w14:val="none"/>
    </w:rPr>
  </w:style>
  <w:style w:type="character" w:styleId="Corpodeltesto2Carattere1" w:customStyle="1">
    <w:name w:val="Corpo del testo 2 Carattere1"/>
    <w:basedOn w:val="DefaultParagraphFont"/>
    <w:link w:val="BodyText2"/>
    <w:qFormat/>
    <w:rsid w:val="00ae28ad"/>
    <w:rPr>
      <w:rFonts w:ascii="Garamond" w:hAnsi="Garamond" w:eastAsia="Times New Roman" w:cs="Times New Roman"/>
      <w:kern w:val="0"/>
      <w:szCs w:val="22"/>
      <w:lang w:val="x-none"/>
      <w14:ligatures w14:val="none"/>
    </w:rPr>
  </w:style>
  <w:style w:type="character" w:styleId="MappadocumentoCarattere1" w:customStyle="1">
    <w:name w:val="Mappa documento Carattere1"/>
    <w:basedOn w:val="DefaultParagraphFont"/>
    <w:link w:val="DocumentMap"/>
    <w:qFormat/>
    <w:rsid w:val="00ae28ad"/>
    <w:rPr>
      <w:rFonts w:ascii="Tahoma" w:hAnsi="Tahoma" w:eastAsia="Times New Roman" w:cs="Times New Roman"/>
      <w:kern w:val="0"/>
      <w:sz w:val="16"/>
      <w:szCs w:val="16"/>
      <w:lang w:val="x-none"/>
      <w14:ligatures w14:val="none"/>
    </w:rPr>
  </w:style>
  <w:style w:type="character" w:styleId="Rientrocorpodeltesto2Carattere1" w:customStyle="1">
    <w:name w:val="Rientro corpo del testo 2 Carattere1"/>
    <w:basedOn w:val="DefaultParagraphFont"/>
    <w:link w:val="BodyTextIndent2"/>
    <w:qFormat/>
    <w:rsid w:val="00ae28ad"/>
    <w:rPr>
      <w:rFonts w:ascii="Times New Roman" w:hAnsi="Times New Roman" w:eastAsia="Times New Roman" w:cs="Times New Roman"/>
      <w:kern w:val="0"/>
      <w:lang w:eastAsia="it-IT"/>
      <w14:ligatures w14:val="none"/>
    </w:rPr>
  </w:style>
  <w:style w:type="character" w:styleId="RientrocorpodeltestoCarattere1" w:customStyle="1">
    <w:name w:val="Rientro corpo del testo Carattere1"/>
    <w:basedOn w:val="DefaultParagraphFont"/>
    <w:qFormat/>
    <w:rsid w:val="00ae28ad"/>
    <w:rPr>
      <w:rFonts w:ascii="Times New Roman" w:hAnsi="Times New Roman" w:eastAsia="Times New Roman" w:cs="Times New Roman"/>
      <w:b/>
      <w:bCs/>
      <w:i/>
      <w:iCs/>
      <w:kern w:val="0"/>
      <w:sz w:val="20"/>
      <w:szCs w:val="20"/>
      <w:lang w:eastAsia="it-IT"/>
      <w14:ligatures w14:val="none"/>
    </w:rPr>
  </w:style>
  <w:style w:type="character" w:styleId="Corpodeltesto3Carattere1" w:customStyle="1">
    <w:name w:val="Corpo del testo 3 Carattere1"/>
    <w:basedOn w:val="DefaultParagraphFont"/>
    <w:link w:val="BodyText3"/>
    <w:qFormat/>
    <w:rsid w:val="00ae28ad"/>
    <w:rPr>
      <w:rFonts w:ascii="Times New Roman" w:hAnsi="Times New Roman" w:eastAsia="Times New Roman" w:cs="Times New Roman"/>
      <w:b/>
      <w:bCs/>
      <w:i/>
      <w:iCs/>
      <w:kern w:val="0"/>
      <w:sz w:val="20"/>
      <w:lang w:eastAsia="it-IT"/>
      <w14:ligatures w14:val="none"/>
    </w:rPr>
  </w:style>
  <w:style w:type="character" w:styleId="TestonormaleCarattere1" w:customStyle="1">
    <w:name w:val="Testo normale Carattere1"/>
    <w:basedOn w:val="DefaultParagraphFont"/>
    <w:link w:val="PlainText"/>
    <w:qFormat/>
    <w:rsid w:val="00ae28ad"/>
    <w:rPr>
      <w:rFonts w:ascii="Garamond" w:hAnsi="Garamond" w:eastAsia="Times New Roman" w:cs="Consolas"/>
      <w:kern w:val="0"/>
      <w:szCs w:val="21"/>
      <w14:ligatures w14:val="none"/>
    </w:rPr>
  </w:style>
  <w:style w:type="character" w:styleId="Menzionenonrisolta2" w:customStyle="1">
    <w:name w:val="Menzione non risolta2"/>
    <w:basedOn w:val="DefaultParagraphFont"/>
    <w:uiPriority w:val="99"/>
    <w:semiHidden/>
    <w:unhideWhenUsed/>
    <w:qFormat/>
    <w:rsid w:val="00ae28ad"/>
    <w:rPr>
      <w:color w:val="605E5C"/>
      <w:shd w:fill="E1DFDD" w:val="clear"/>
    </w:rPr>
  </w:style>
  <w:style w:type="character" w:styleId="Menzionenonrisolta3" w:customStyle="1">
    <w:name w:val="Menzione non risolta3"/>
    <w:basedOn w:val="DefaultParagraphFont"/>
    <w:uiPriority w:val="99"/>
    <w:semiHidden/>
    <w:unhideWhenUsed/>
    <w:qFormat/>
    <w:rsid w:val="00ae28ad"/>
    <w:rPr>
      <w:color w:val="605E5C"/>
      <w:shd w:fill="E1DFDD" w:val="clear"/>
    </w:rPr>
  </w:style>
  <w:style w:type="character" w:styleId="Menzionenonrisolta4" w:customStyle="1">
    <w:name w:val="Menzione non risolta4"/>
    <w:basedOn w:val="DefaultParagraphFont"/>
    <w:uiPriority w:val="99"/>
    <w:semiHidden/>
    <w:unhideWhenUsed/>
    <w:qFormat/>
    <w:rsid w:val="00ae28ad"/>
    <w:rPr>
      <w:color w:val="605E5C"/>
      <w:shd w:fill="E1DFDD" w:val="clear"/>
    </w:rPr>
  </w:style>
  <w:style w:type="character" w:styleId="Menzionenonrisolta5" w:customStyle="1">
    <w:name w:val="Menzione non risolta5"/>
    <w:basedOn w:val="DefaultParagraphFont"/>
    <w:uiPriority w:val="99"/>
    <w:semiHidden/>
    <w:unhideWhenUsed/>
    <w:qFormat/>
    <w:rsid w:val="00ae28ad"/>
    <w:rPr>
      <w:color w:val="605E5C"/>
      <w:shd w:fill="E1DFDD" w:val="clear"/>
    </w:rPr>
  </w:style>
  <w:style w:type="character" w:styleId="Menzionenonrisolta6" w:customStyle="1">
    <w:name w:val="Menzione non risolta6"/>
    <w:basedOn w:val="DefaultParagraphFont"/>
    <w:uiPriority w:val="99"/>
    <w:semiHidden/>
    <w:unhideWhenUsed/>
    <w:qFormat/>
    <w:rsid w:val="00ed690a"/>
    <w:rPr>
      <w:color w:val="605E5C"/>
      <w:shd w:fill="E1DFDD" w:val="clear"/>
    </w:rPr>
  </w:style>
  <w:style w:type="character" w:styleId="Menzionenonrisolta7" w:customStyle="1">
    <w:name w:val="Menzione non risolta7"/>
    <w:basedOn w:val="DefaultParagraphFont"/>
    <w:uiPriority w:val="99"/>
    <w:semiHidden/>
    <w:unhideWhenUsed/>
    <w:qFormat/>
    <w:rsid w:val="00351283"/>
    <w:rPr>
      <w:color w:val="605E5C"/>
      <w:shd w:fill="E1DFDD" w:val="clear"/>
    </w:rPr>
  </w:style>
  <w:style w:type="character" w:styleId="Menzionenonrisolta8" w:customStyle="1">
    <w:name w:val="Menzione non risolta8"/>
    <w:basedOn w:val="DefaultParagraphFont"/>
    <w:uiPriority w:val="99"/>
    <w:semiHidden/>
    <w:unhideWhenUsed/>
    <w:qFormat/>
    <w:rsid w:val="001f640f"/>
    <w:rPr>
      <w:color w:val="605E5C"/>
      <w:shd w:fill="E1DFDD" w:val="clear"/>
    </w:rPr>
  </w:style>
  <w:style w:type="character" w:styleId="UnresolvedMention">
    <w:name w:val="Unresolved Mention"/>
    <w:basedOn w:val="DefaultParagraphFont"/>
    <w:uiPriority w:val="99"/>
    <w:semiHidden/>
    <w:unhideWhenUsed/>
    <w:qFormat/>
    <w:rsid w:val="00b373ac"/>
    <w:rPr>
      <w:color w:val="605E5C"/>
      <w:shd w:fill="E1DFDD" w:val="clear"/>
    </w:rPr>
  </w:style>
  <w:style w:type="character" w:styleId="Collegamentoindice">
    <w:name w:val="Collegamento indice"/>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testoCarattere2"/>
    <w:rsid w:val="00ae28ad"/>
    <w:pPr>
      <w:widowControl w:val="false"/>
      <w:spacing w:lineRule="exact" w:line="259"/>
    </w:pPr>
    <w:rPr>
      <w:rFonts w:ascii="Times New Roman" w:hAnsi="Times New Roman"/>
      <w:sz w:val="26"/>
      <w:szCs w:val="20"/>
      <w:lang w:val="x-none" w:eastAsia="x-none"/>
    </w:rPr>
  </w:style>
  <w:style w:type="paragraph" w:styleId="List">
    <w:name w:val="List"/>
    <w:basedOn w:val="BodyText"/>
    <w:rsid w:val="00ae28ad"/>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Indice" w:customStyle="1">
    <w:name w:val="Indice"/>
    <w:basedOn w:val="Normal"/>
    <w:qFormat/>
    <w:rsid w:val="00ae28ad"/>
    <w:pPr>
      <w:suppressLineNumbers/>
    </w:pPr>
    <w:rPr>
      <w:rFonts w:cs="Lucida Sans"/>
    </w:rPr>
  </w:style>
  <w:style w:type="paragraph" w:styleId="caption1">
    <w:name w:val="caption1"/>
    <w:basedOn w:val="Normal"/>
    <w:next w:val="Normal"/>
    <w:qFormat/>
    <w:rsid w:val="00ae28ad"/>
    <w:pPr>
      <w:spacing w:before="120" w:after="0"/>
    </w:pPr>
    <w:rPr>
      <w:iCs/>
      <w:szCs w:val="18"/>
    </w:rPr>
  </w:style>
  <w:style w:type="paragraph" w:styleId="Title">
    <w:name w:val="Title"/>
    <w:basedOn w:val="Normal"/>
    <w:next w:val="Normal"/>
    <w:link w:val="TitoloCarattere"/>
    <w:qFormat/>
    <w:rsid w:val="00382f18"/>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qFormat/>
    <w:rsid w:val="00382f18"/>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382f18"/>
    <w:pPr>
      <w:spacing w:before="160" w:after="0"/>
      <w:jc w:val="center"/>
    </w:pPr>
    <w:rPr>
      <w:i/>
      <w:iCs/>
      <w:color w:themeColor="text1" w:themeTint="bf" w:val="404040"/>
    </w:rPr>
  </w:style>
  <w:style w:type="paragraph" w:styleId="ListParagraph">
    <w:name w:val="List Paragraph"/>
    <w:basedOn w:val="Normal"/>
    <w:uiPriority w:val="34"/>
    <w:qFormat/>
    <w:rsid w:val="00382f18"/>
    <w:pPr>
      <w:spacing w:before="0" w:after="0"/>
      <w:ind w:left="720"/>
      <w:contextualSpacing/>
    </w:pPr>
    <w:rPr/>
  </w:style>
  <w:style w:type="paragraph" w:styleId="IntenseQuote">
    <w:name w:val="Intense Quote"/>
    <w:basedOn w:val="Normal"/>
    <w:next w:val="Normal"/>
    <w:link w:val="CitazioneintensaCarattere"/>
    <w:uiPriority w:val="30"/>
    <w:qFormat/>
    <w:rsid w:val="00382f18"/>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Default" w:customStyle="1">
    <w:name w:val="Default"/>
    <w:qFormat/>
    <w:rsid w:val="00ae28ad"/>
    <w:pPr>
      <w:widowControl w:val="false"/>
      <w:suppressAutoHyphens w:val="true"/>
      <w:bidi w:val="0"/>
      <w:spacing w:lineRule="auto" w:line="276" w:before="0" w:after="0"/>
      <w:jc w:val="both"/>
    </w:pPr>
    <w:rPr>
      <w:rFonts w:ascii="Book-Antiqua,Bold" w:hAnsi="Book-Antiqua,Bold" w:eastAsia="Calibri" w:cs="Book-Antiqua,Bold"/>
      <w:color w:val="000000"/>
      <w:kern w:val="0"/>
      <w:sz w:val="24"/>
      <w:szCs w:val="24"/>
      <w:lang w:val="it-IT" w:eastAsia="it-IT" w:bidi="ar-SA"/>
      <w14:ligatures w14:val="none"/>
    </w:rPr>
  </w:style>
  <w:style w:type="paragraph" w:styleId="BalloonText">
    <w:name w:val="Balloon Text"/>
    <w:basedOn w:val="Normal"/>
    <w:link w:val="TestofumettoCarattere1"/>
    <w:qFormat/>
    <w:rsid w:val="00ae28ad"/>
    <w:pPr>
      <w:spacing w:lineRule="auto" w:line="240"/>
    </w:pPr>
    <w:rPr>
      <w:rFonts w:ascii="Tahoma" w:hAnsi="Tahoma" w:eastAsia="Calibri"/>
      <w:sz w:val="16"/>
      <w:szCs w:val="16"/>
      <w:lang w:val="x-none" w:eastAsia="x-none"/>
    </w:rPr>
  </w:style>
  <w:style w:type="paragraph" w:styleId="Paragrafoelenco1" w:customStyle="1">
    <w:name w:val="Paragrafo elenco1"/>
    <w:basedOn w:val="Normal"/>
    <w:qFormat/>
    <w:rsid w:val="00ae28ad"/>
    <w:pPr>
      <w:spacing w:lineRule="atLeast" w:line="240" w:before="280" w:after="280"/>
      <w:ind w:left="720"/>
      <w:contextualSpacing/>
    </w:pPr>
    <w:rPr>
      <w:rFonts w:eastAsia="Calibri"/>
      <w:lang w:eastAsia="it-IT"/>
    </w:rPr>
  </w:style>
  <w:style w:type="paragraph" w:styleId="Intestazioneepidipagina">
    <w:name w:val="Intestazione e piè di pagina"/>
    <w:basedOn w:val="Normal"/>
    <w:qFormat/>
    <w:pPr/>
    <w:rPr/>
  </w:style>
  <w:style w:type="paragraph" w:styleId="HeaderandFooter">
    <w:name w:val="Header and Footer"/>
    <w:basedOn w:val="Normal"/>
    <w:qFormat/>
    <w:pPr/>
    <w:rPr/>
  </w:style>
  <w:style w:type="paragraph" w:styleId="Header">
    <w:name w:val="header"/>
    <w:basedOn w:val="Normal"/>
    <w:link w:val="IntestazioneCarattere1"/>
    <w:rsid w:val="00ae28ad"/>
    <w:pPr>
      <w:tabs>
        <w:tab w:val="clear" w:pos="708"/>
        <w:tab w:val="center" w:pos="4819" w:leader="none"/>
        <w:tab w:val="right" w:pos="9638" w:leader="none"/>
      </w:tabs>
      <w:spacing w:lineRule="auto" w:line="240" w:before="280" w:after="280"/>
    </w:pPr>
    <w:rPr>
      <w:sz w:val="20"/>
      <w:szCs w:val="20"/>
      <w:lang w:val="x-none" w:eastAsia="it-IT"/>
    </w:rPr>
  </w:style>
  <w:style w:type="paragraph" w:styleId="Footer">
    <w:name w:val="footer"/>
    <w:basedOn w:val="Normal"/>
    <w:link w:val="PidipaginaCarattere1"/>
    <w:rsid w:val="00ae28ad"/>
    <w:pPr>
      <w:tabs>
        <w:tab w:val="clear" w:pos="708"/>
        <w:tab w:val="center" w:pos="4819" w:leader="none"/>
        <w:tab w:val="right" w:pos="9638" w:leader="none"/>
      </w:tabs>
      <w:spacing w:lineRule="auto" w:line="240" w:before="280" w:after="280"/>
    </w:pPr>
    <w:rPr>
      <w:sz w:val="20"/>
      <w:szCs w:val="20"/>
      <w:lang w:val="x-none" w:eastAsia="it-IT"/>
    </w:rPr>
  </w:style>
  <w:style w:type="paragraph" w:styleId="FootnoteText">
    <w:name w:val="footnote text"/>
    <w:basedOn w:val="Normal"/>
    <w:link w:val="TestonotaapidipaginaCarattere1"/>
    <w:rsid w:val="00ae28ad"/>
    <w:pPr>
      <w:spacing w:lineRule="auto" w:line="240" w:before="280" w:after="280"/>
    </w:pPr>
    <w:rPr>
      <w:sz w:val="20"/>
      <w:szCs w:val="20"/>
      <w:lang w:val="x-none" w:eastAsia="it-IT"/>
    </w:rPr>
  </w:style>
  <w:style w:type="paragraph" w:styleId="provvr0" w:customStyle="1">
    <w:name w:val="provv_r0"/>
    <w:basedOn w:val="Normal"/>
    <w:qFormat/>
    <w:rsid w:val="00ae28ad"/>
    <w:pPr>
      <w:spacing w:lineRule="auto" w:line="240" w:before="280" w:after="280"/>
    </w:pPr>
    <w:rPr>
      <w:rFonts w:ascii="Times New Roman" w:hAnsi="Times New Roman" w:eastAsia="Calibri"/>
      <w:szCs w:val="24"/>
      <w:lang w:eastAsia="it-IT"/>
    </w:rPr>
  </w:style>
  <w:style w:type="paragraph" w:styleId="popolo" w:customStyle="1">
    <w:name w:val="popolo"/>
    <w:basedOn w:val="Normal"/>
    <w:qFormat/>
    <w:rsid w:val="00ae28ad"/>
    <w:pPr>
      <w:spacing w:lineRule="auto" w:line="240" w:before="280" w:after="280"/>
    </w:pPr>
    <w:rPr>
      <w:rFonts w:eastAsia="Calibri"/>
      <w:sz w:val="30"/>
      <w:szCs w:val="30"/>
      <w:lang w:eastAsia="it-IT"/>
    </w:rPr>
  </w:style>
  <w:style w:type="paragraph" w:styleId="Stile1" w:customStyle="1">
    <w:name w:val="Stile1"/>
    <w:basedOn w:val="Heading1"/>
    <w:qFormat/>
    <w:rsid w:val="00ae28ad"/>
    <w:pPr>
      <w:spacing w:lineRule="atLeast" w:line="240" w:before="280" w:after="280"/>
      <w:jc w:val="center"/>
    </w:pPr>
    <w:rPr>
      <w:rFonts w:ascii="Times New Roman" w:hAnsi="Times New Roman" w:eastAsia="Calibri" w:cs="Times New Roman"/>
      <w:b/>
      <w:bCs/>
      <w:color w:themeColor="accent1" w:themeShade="bf" w:val="auto"/>
      <w:sz w:val="28"/>
      <w:szCs w:val="28"/>
      <w:lang w:val="x-none" w:eastAsia="it-IT"/>
    </w:rPr>
  </w:style>
  <w:style w:type="paragraph" w:styleId="TOC1">
    <w:name w:val="toc 1"/>
    <w:basedOn w:val="Normal"/>
    <w:next w:val="Normal"/>
    <w:autoRedefine/>
    <w:uiPriority w:val="39"/>
    <w:rsid w:val="00ae28ad"/>
    <w:pPr>
      <w:tabs>
        <w:tab w:val="clear" w:pos="708"/>
        <w:tab w:val="left" w:pos="284" w:leader="dot"/>
        <w:tab w:val="right" w:pos="9629" w:leader="dot"/>
      </w:tabs>
      <w:jc w:val="left"/>
    </w:pPr>
    <w:rPr>
      <w:bCs/>
      <w:sz w:val="20"/>
      <w:szCs w:val="20"/>
    </w:rPr>
  </w:style>
  <w:style w:type="paragraph" w:styleId="TOC2">
    <w:name w:val="toc 2"/>
    <w:basedOn w:val="Normal"/>
    <w:next w:val="TOC3"/>
    <w:autoRedefine/>
    <w:uiPriority w:val="39"/>
    <w:rsid w:val="00a61923"/>
    <w:pPr>
      <w:tabs>
        <w:tab w:val="clear" w:pos="708"/>
        <w:tab w:val="left" w:pos="440" w:leader="none"/>
        <w:tab w:val="right" w:pos="9629" w:leader="dot"/>
      </w:tabs>
      <w:spacing w:lineRule="auto" w:line="336"/>
      <w:ind w:hanging="442" w:left="442"/>
    </w:pPr>
    <w:rPr>
      <w:smallCaps/>
      <w:sz w:val="20"/>
      <w:szCs w:val="20"/>
    </w:rPr>
  </w:style>
  <w:style w:type="paragraph" w:styleId="Nessunaspaziatura1" w:customStyle="1">
    <w:name w:val="Nessuna spaziatura1"/>
    <w:qFormat/>
    <w:rsid w:val="00ae28ad"/>
    <w:pPr>
      <w:widowControl/>
      <w:suppressAutoHyphens w:val="true"/>
      <w:bidi w:val="0"/>
      <w:spacing w:lineRule="auto" w:line="276" w:before="0" w:after="0"/>
      <w:jc w:val="both"/>
    </w:pPr>
    <w:rPr>
      <w:rFonts w:ascii="Calibri" w:hAnsi="Calibri" w:eastAsia="Calibri" w:cs="Times New Roman"/>
      <w:color w:val="auto"/>
      <w:kern w:val="0"/>
      <w:sz w:val="22"/>
      <w:szCs w:val="22"/>
      <w:lang w:val="it-IT" w:eastAsia="en-US" w:bidi="ar-SA"/>
      <w14:ligatures w14:val="none"/>
    </w:rPr>
  </w:style>
  <w:style w:type="paragraph" w:styleId="NormalWeb">
    <w:name w:val="Normal (Web)"/>
    <w:basedOn w:val="Normal"/>
    <w:uiPriority w:val="99"/>
    <w:qFormat/>
    <w:rsid w:val="00ae28ad"/>
    <w:pPr>
      <w:spacing w:lineRule="atLeast" w:line="240" w:before="280" w:after="280"/>
    </w:pPr>
    <w:rPr>
      <w:rFonts w:ascii="Arial" w:hAnsi="Arial" w:eastAsia="Calibri" w:cs="Arial"/>
      <w:color w:val="2A2A2A"/>
      <w:sz w:val="18"/>
      <w:szCs w:val="18"/>
      <w:lang w:eastAsia="it-IT"/>
    </w:rPr>
  </w:style>
  <w:style w:type="paragraph" w:styleId="Titolosommario1" w:customStyle="1">
    <w:name w:val="Titolo sommario1"/>
    <w:basedOn w:val="Heading1"/>
    <w:next w:val="Normal"/>
    <w:qFormat/>
    <w:rsid w:val="00ae28ad"/>
    <w:pPr>
      <w:spacing w:before="280" w:after="280"/>
      <w:jc w:val="center"/>
    </w:pPr>
    <w:rPr>
      <w:rFonts w:ascii="Garamond" w:hAnsi="Garamond" w:eastAsia="Calibri" w:cs="Times New Roman"/>
      <w:b/>
      <w:bCs/>
      <w:color w:themeColor="accent1" w:themeShade="bf" w:val="auto"/>
      <w:sz w:val="28"/>
      <w:szCs w:val="28"/>
      <w:lang w:val="x-none" w:eastAsia="x-none"/>
    </w:rPr>
  </w:style>
  <w:style w:type="paragraph" w:styleId="EndnoteText">
    <w:name w:val="endnote text"/>
    <w:basedOn w:val="Normal"/>
    <w:link w:val="TestonotadichiusuraCarattere1"/>
    <w:rsid w:val="00ae28ad"/>
    <w:pPr/>
    <w:rPr>
      <w:sz w:val="20"/>
      <w:szCs w:val="20"/>
      <w:lang w:val="x-none"/>
    </w:rPr>
  </w:style>
  <w:style w:type="paragraph" w:styleId="provvr1" w:customStyle="1">
    <w:name w:val="provv_r1"/>
    <w:basedOn w:val="Normal"/>
    <w:qFormat/>
    <w:rsid w:val="00ae28ad"/>
    <w:pPr>
      <w:spacing w:lineRule="auto" w:line="240" w:before="280" w:after="280"/>
      <w:ind w:firstLine="400"/>
    </w:pPr>
    <w:rPr>
      <w:rFonts w:ascii="Times New Roman" w:hAnsi="Times New Roman"/>
      <w:szCs w:val="24"/>
      <w:lang w:eastAsia="it-IT"/>
    </w:rPr>
  </w:style>
  <w:style w:type="paragraph" w:styleId="CommentText">
    <w:name w:val="annotation text"/>
    <w:basedOn w:val="Normal"/>
    <w:link w:val="TestocommentoCarattere1"/>
    <w:uiPriority w:val="99"/>
    <w:qFormat/>
    <w:rsid w:val="00ae28ad"/>
    <w:pPr/>
    <w:rPr>
      <w:sz w:val="20"/>
      <w:szCs w:val="20"/>
      <w:lang w:val="x-none"/>
    </w:rPr>
  </w:style>
  <w:style w:type="paragraph" w:styleId="annotationsubject">
    <w:name w:val="annotation subject"/>
    <w:basedOn w:val="CommentText"/>
    <w:next w:val="CommentText"/>
    <w:link w:val="SoggettocommentoCarattere1"/>
    <w:qFormat/>
    <w:rsid w:val="00ae28ad"/>
    <w:pPr/>
    <w:rPr>
      <w:b/>
      <w:bCs/>
    </w:rPr>
  </w:style>
  <w:style w:type="paragraph" w:styleId="stile11" w:customStyle="1">
    <w:name w:val="stile11"/>
    <w:basedOn w:val="Normal"/>
    <w:qFormat/>
    <w:rsid w:val="00ae28ad"/>
    <w:pPr>
      <w:spacing w:lineRule="auto" w:line="240" w:before="280" w:after="280"/>
    </w:pPr>
    <w:rPr>
      <w:rFonts w:ascii="Times New Roman" w:hAnsi="Times New Roman"/>
      <w:szCs w:val="24"/>
      <w:lang w:eastAsia="it-IT"/>
    </w:rPr>
  </w:style>
  <w:style w:type="paragraph" w:styleId="bollo" w:customStyle="1">
    <w:name w:val="bollo"/>
    <w:basedOn w:val="Normal"/>
    <w:qFormat/>
    <w:rsid w:val="00ae28ad"/>
    <w:pPr>
      <w:spacing w:lineRule="atLeast" w:line="567"/>
    </w:pPr>
    <w:rPr>
      <w:rFonts w:ascii="Times New Roman" w:hAnsi="Times New Roman"/>
      <w:szCs w:val="20"/>
      <w:lang w:eastAsia="it-IT"/>
    </w:rPr>
  </w:style>
  <w:style w:type="paragraph" w:styleId="provvnota" w:customStyle="1">
    <w:name w:val="provv_nota"/>
    <w:basedOn w:val="Normal"/>
    <w:qFormat/>
    <w:rsid w:val="00ae28ad"/>
    <w:pPr>
      <w:spacing w:lineRule="auto" w:line="240" w:before="280" w:after="280"/>
    </w:pPr>
    <w:rPr>
      <w:rFonts w:ascii="Times New Roman" w:hAnsi="Times New Roman"/>
      <w:szCs w:val="24"/>
      <w:lang w:eastAsia="it-IT"/>
    </w:rPr>
  </w:style>
  <w:style w:type="paragraph" w:styleId="provvestremo" w:customStyle="1">
    <w:name w:val="provv_estremo"/>
    <w:basedOn w:val="Normal"/>
    <w:qFormat/>
    <w:rsid w:val="00ae28ad"/>
    <w:pPr>
      <w:spacing w:lineRule="auto" w:line="240" w:before="280" w:after="280"/>
    </w:pPr>
    <w:rPr>
      <w:rFonts w:ascii="Times New Roman" w:hAnsi="Times New Roman"/>
      <w:b/>
      <w:bCs/>
      <w:szCs w:val="24"/>
      <w:lang w:eastAsia="it-IT"/>
    </w:rPr>
  </w:style>
  <w:style w:type="paragraph" w:styleId="Paragrafoelenco11" w:customStyle="1">
    <w:name w:val="Paragrafo elenco11"/>
    <w:basedOn w:val="Normal"/>
    <w:qFormat/>
    <w:rsid w:val="00ae28ad"/>
    <w:pPr>
      <w:spacing w:lineRule="atLeast" w:line="240" w:before="280" w:after="280"/>
      <w:ind w:left="720"/>
      <w:contextualSpacing/>
    </w:pPr>
    <w:rPr>
      <w:rFonts w:eastAsia="Calibri"/>
      <w:lang w:eastAsia="it-IT"/>
    </w:rPr>
  </w:style>
  <w:style w:type="paragraph" w:styleId="Revision">
    <w:name w:val="Revision"/>
    <w:qFormat/>
    <w:rsid w:val="00ae28ad"/>
    <w:pPr>
      <w:widowControl/>
      <w:suppressAutoHyphens w:val="true"/>
      <w:bidi w:val="0"/>
      <w:spacing w:lineRule="auto" w:line="276" w:before="0" w:after="0"/>
      <w:jc w:val="both"/>
    </w:pPr>
    <w:rPr>
      <w:rFonts w:ascii="Calibri" w:hAnsi="Calibri" w:eastAsia="Times New Roman" w:cs="Times New Roman"/>
      <w:color w:val="auto"/>
      <w:kern w:val="0"/>
      <w:sz w:val="22"/>
      <w:szCs w:val="22"/>
      <w:lang w:val="it-IT" w:eastAsia="en-US" w:bidi="ar-SA"/>
      <w14:ligatures w14:val="none"/>
    </w:rPr>
  </w:style>
  <w:style w:type="paragraph" w:styleId="BodyTextIndent3">
    <w:name w:val="Body Text Indent 3"/>
    <w:basedOn w:val="Normal"/>
    <w:link w:val="Rientrocorpodeltesto3Carattere1"/>
    <w:qFormat/>
    <w:rsid w:val="00ae28ad"/>
    <w:pPr>
      <w:spacing w:before="0" w:after="120"/>
      <w:ind w:left="283"/>
    </w:pPr>
    <w:rPr>
      <w:sz w:val="16"/>
      <w:szCs w:val="16"/>
      <w:lang w:val="x-none"/>
    </w:rPr>
  </w:style>
  <w:style w:type="paragraph" w:styleId="Rub1" w:customStyle="1">
    <w:name w:val="Rub1"/>
    <w:basedOn w:val="Normal"/>
    <w:qFormat/>
    <w:rsid w:val="00ae28ad"/>
    <w:pPr>
      <w:tabs>
        <w:tab w:val="clear" w:pos="708"/>
        <w:tab w:val="left" w:pos="1276" w:leader="none"/>
      </w:tabs>
      <w:spacing w:lineRule="auto" w:line="240"/>
    </w:pPr>
    <w:rPr>
      <w:rFonts w:ascii="Times New Roman" w:hAnsi="Times New Roman"/>
      <w:b/>
      <w:smallCaps/>
      <w:sz w:val="20"/>
      <w:szCs w:val="20"/>
      <w:lang w:eastAsia="it-IT"/>
    </w:rPr>
  </w:style>
  <w:style w:type="paragraph" w:styleId="BodyText2">
    <w:name w:val="Body Text 2"/>
    <w:basedOn w:val="Normal"/>
    <w:link w:val="Corpodeltesto2Carattere1"/>
    <w:qFormat/>
    <w:rsid w:val="00ae28ad"/>
    <w:pPr>
      <w:spacing w:lineRule="auto" w:line="480" w:before="0" w:after="120"/>
    </w:pPr>
    <w:rPr>
      <w:lang w:val="x-none"/>
    </w:rPr>
  </w:style>
  <w:style w:type="paragraph" w:styleId="Rientrocorpodeltesto21" w:customStyle="1">
    <w:name w:val="Rientro corpo del testo 21"/>
    <w:basedOn w:val="Normal"/>
    <w:qFormat/>
    <w:rsid w:val="00ae28ad"/>
    <w:pPr>
      <w:spacing w:lineRule="auto" w:line="240"/>
      <w:ind w:left="360"/>
    </w:pPr>
    <w:rPr>
      <w:rFonts w:ascii="Times New Roman" w:hAnsi="Times New Roman"/>
      <w:szCs w:val="20"/>
      <w:lang w:eastAsia="it-IT"/>
    </w:rPr>
  </w:style>
  <w:style w:type="paragraph" w:styleId="noteapi" w:customStyle="1">
    <w:name w:val="note a piè"/>
    <w:basedOn w:val="FootnoteText"/>
    <w:qFormat/>
    <w:rsid w:val="00ae28ad"/>
    <w:pPr/>
    <w:rPr>
      <w:rFonts w:ascii="Times New Roman" w:hAnsi="Times New Roman"/>
    </w:rPr>
  </w:style>
  <w:style w:type="paragraph" w:styleId="DocumentMap">
    <w:name w:val="Document Map"/>
    <w:basedOn w:val="Normal"/>
    <w:link w:val="MappadocumentoCarattere1"/>
    <w:qFormat/>
    <w:rsid w:val="00ae28ad"/>
    <w:pPr/>
    <w:rPr>
      <w:rFonts w:ascii="Tahoma" w:hAnsi="Tahoma"/>
      <w:sz w:val="16"/>
      <w:szCs w:val="16"/>
      <w:lang w:val="x-none"/>
    </w:rPr>
  </w:style>
  <w:style w:type="paragraph" w:styleId="grassetto1" w:customStyle="1">
    <w:name w:val="grassetto1"/>
    <w:basedOn w:val="Normal"/>
    <w:qFormat/>
    <w:rsid w:val="00ae28ad"/>
    <w:pPr>
      <w:spacing w:lineRule="auto" w:line="240" w:before="0" w:after="24"/>
      <w:jc w:val="left"/>
    </w:pPr>
    <w:rPr>
      <w:rFonts w:ascii="Times New Roman" w:hAnsi="Times New Roman"/>
      <w:b/>
      <w:bCs/>
      <w:szCs w:val="24"/>
      <w:lang w:eastAsia="it-IT"/>
    </w:rPr>
  </w:style>
  <w:style w:type="paragraph" w:styleId="indexheading1">
    <w:name w:val="index heading1"/>
    <w:basedOn w:val="Titolo"/>
    <w:qFormat/>
    <w:pPr/>
    <w:rPr/>
  </w:style>
  <w:style w:type="paragraph" w:styleId="IndexHeading">
    <w:name w:val="index heading"/>
    <w:basedOn w:val="Titolo"/>
    <w:pPr/>
    <w:rPr/>
  </w:style>
  <w:style w:type="paragraph" w:styleId="TOCHeading">
    <w:name w:val="TOC Heading"/>
    <w:basedOn w:val="Heading1"/>
    <w:next w:val="Normal"/>
    <w:qFormat/>
    <w:rsid w:val="00ae28ad"/>
    <w:pPr>
      <w:spacing w:before="280" w:after="280"/>
    </w:pPr>
    <w:rPr>
      <w:rFonts w:ascii="Garamond" w:hAnsi="Garamond" w:eastAsia="Times New Roman" w:cs="Times New Roman"/>
      <w:b/>
      <w:bCs/>
      <w:color w:themeColor="accent1" w:themeShade="bf" w:val="auto"/>
      <w:sz w:val="28"/>
      <w:szCs w:val="28"/>
      <w:lang w:eastAsia="it-IT"/>
    </w:rPr>
  </w:style>
  <w:style w:type="paragraph" w:styleId="provvc" w:customStyle="1">
    <w:name w:val="provv_c"/>
    <w:basedOn w:val="Normal"/>
    <w:qFormat/>
    <w:rsid w:val="00ae28ad"/>
    <w:pPr>
      <w:spacing w:lineRule="auto" w:line="240" w:before="280" w:after="280"/>
      <w:jc w:val="center"/>
    </w:pPr>
    <w:rPr>
      <w:rFonts w:ascii="Times New Roman" w:hAnsi="Times New Roman"/>
      <w:szCs w:val="24"/>
      <w:lang w:eastAsia="it-IT"/>
    </w:rPr>
  </w:style>
  <w:style w:type="paragraph" w:styleId="TOC3">
    <w:name w:val="toc 3"/>
    <w:basedOn w:val="Normal"/>
    <w:next w:val="Normal"/>
    <w:autoRedefine/>
    <w:uiPriority w:val="39"/>
    <w:rsid w:val="00ae28ad"/>
    <w:pPr>
      <w:tabs>
        <w:tab w:val="clear" w:pos="708"/>
        <w:tab w:val="left" w:pos="1100" w:leader="none"/>
        <w:tab w:val="right" w:pos="9629" w:leader="dot"/>
      </w:tabs>
      <w:spacing w:lineRule="auto" w:line="240"/>
      <w:ind w:hanging="454" w:left="896"/>
      <w:jc w:val="left"/>
    </w:pPr>
    <w:rPr>
      <w:iCs/>
      <w:sz w:val="20"/>
      <w:szCs w:val="20"/>
    </w:rPr>
  </w:style>
  <w:style w:type="paragraph" w:styleId="Rientrocorpodeltesto211" w:customStyle="1">
    <w:name w:val="Rientro corpo del testo 211"/>
    <w:basedOn w:val="Normal"/>
    <w:qFormat/>
    <w:rsid w:val="00ae28ad"/>
    <w:pPr>
      <w:spacing w:lineRule="auto" w:line="240"/>
      <w:ind w:left="360"/>
    </w:pPr>
    <w:rPr>
      <w:rFonts w:ascii="Times New Roman" w:hAnsi="Times New Roman"/>
      <w:szCs w:val="20"/>
      <w:lang w:eastAsia="it-IT"/>
    </w:rPr>
  </w:style>
  <w:style w:type="paragraph" w:styleId="BodyTextIndent2">
    <w:name w:val="Body Text Indent 2"/>
    <w:basedOn w:val="Normal"/>
    <w:link w:val="Rientrocorpodeltesto2Carattere1"/>
    <w:qFormat/>
    <w:rsid w:val="00ae28ad"/>
    <w:pPr>
      <w:tabs>
        <w:tab w:val="clear" w:pos="708"/>
        <w:tab w:val="left" w:pos="1068" w:leader="none"/>
      </w:tabs>
      <w:spacing w:lineRule="auto" w:line="240"/>
      <w:ind w:left="720"/>
    </w:pPr>
    <w:rPr>
      <w:rFonts w:ascii="Times New Roman" w:hAnsi="Times New Roman"/>
      <w:szCs w:val="24"/>
      <w:lang w:eastAsia="it-IT"/>
    </w:rPr>
  </w:style>
  <w:style w:type="paragraph" w:styleId="sche3" w:customStyle="1">
    <w:name w:val="sche_3"/>
    <w:qFormat/>
    <w:rsid w:val="00ae28ad"/>
    <w:pPr>
      <w:widowControl w:val="false"/>
      <w:suppressAutoHyphens w:val="true"/>
      <w:bidi w:val="0"/>
      <w:spacing w:lineRule="auto" w:line="240" w:before="0" w:after="0"/>
      <w:jc w:val="both"/>
      <w:textAlignment w:val="baseline"/>
    </w:pPr>
    <w:rPr>
      <w:rFonts w:ascii="Times New Roman" w:hAnsi="Times New Roman" w:eastAsia="Times New Roman" w:cs="Times New Roman"/>
      <w:color w:val="auto"/>
      <w:kern w:val="0"/>
      <w:sz w:val="24"/>
      <w:szCs w:val="20"/>
      <w:lang w:val="en-US" w:eastAsia="it-IT" w:bidi="ar-SA"/>
      <w14:ligatures w14:val="none"/>
    </w:rPr>
  </w:style>
  <w:style w:type="paragraph" w:styleId="Text2" w:customStyle="1">
    <w:name w:val="Text 2"/>
    <w:basedOn w:val="Normal"/>
    <w:qFormat/>
    <w:rsid w:val="00ae28ad"/>
    <w:pPr>
      <w:tabs>
        <w:tab w:val="clear" w:pos="708"/>
        <w:tab w:val="left" w:pos="2161" w:leader="none"/>
      </w:tabs>
      <w:spacing w:lineRule="auto" w:line="240" w:before="0" w:after="240"/>
      <w:ind w:left="1077"/>
    </w:pPr>
    <w:rPr>
      <w:rFonts w:ascii="Times New Roman" w:hAnsi="Times New Roman"/>
      <w:szCs w:val="20"/>
      <w:lang w:eastAsia="it-IT"/>
    </w:rPr>
  </w:style>
  <w:style w:type="paragraph" w:styleId="BodyTextIndent">
    <w:name w:val="Body Text Indent"/>
    <w:basedOn w:val="Normal"/>
    <w:link w:val="RientrocorpodeltestoCarattere1"/>
    <w:rsid w:val="00ae28ad"/>
    <w:pPr>
      <w:tabs>
        <w:tab w:val="clear" w:pos="708"/>
        <w:tab w:val="left" w:pos="0" w:leader="none"/>
        <w:tab w:val="left" w:pos="1725" w:leader="none"/>
        <w:tab w:val="left" w:pos="8496" w:leader="none"/>
      </w:tabs>
      <w:suppressAutoHyphens w:val="true"/>
      <w:spacing w:lineRule="auto" w:line="240"/>
      <w:ind w:left="708"/>
    </w:pPr>
    <w:rPr>
      <w:rFonts w:ascii="Times New Roman" w:hAnsi="Times New Roman"/>
      <w:b/>
      <w:bCs/>
      <w:i/>
      <w:iCs/>
      <w:sz w:val="20"/>
      <w:szCs w:val="20"/>
      <w:lang w:eastAsia="it-IT"/>
    </w:rPr>
  </w:style>
  <w:style w:type="paragraph" w:styleId="BodyText3">
    <w:name w:val="Body Text 3"/>
    <w:basedOn w:val="Normal"/>
    <w:link w:val="Corpodeltesto3Carattere1"/>
    <w:qFormat/>
    <w:rsid w:val="00ae28ad"/>
    <w:pPr>
      <w:tabs>
        <w:tab w:val="clear" w:pos="708"/>
        <w:tab w:val="left" w:pos="0" w:leader="none"/>
        <w:tab w:val="left" w:pos="8496" w:leader="none"/>
      </w:tabs>
      <w:suppressAutoHyphens w:val="true"/>
      <w:spacing w:lineRule="auto" w:line="240" w:before="240" w:after="120"/>
    </w:pPr>
    <w:rPr>
      <w:rFonts w:ascii="Times New Roman" w:hAnsi="Times New Roman"/>
      <w:b/>
      <w:bCs/>
      <w:i/>
      <w:iCs/>
      <w:sz w:val="20"/>
      <w:szCs w:val="24"/>
      <w:lang w:eastAsia="it-IT"/>
    </w:rPr>
  </w:style>
  <w:style w:type="paragraph" w:styleId="Rub3" w:customStyle="1">
    <w:name w:val="Rub3"/>
    <w:basedOn w:val="Normal"/>
    <w:next w:val="Normal"/>
    <w:qFormat/>
    <w:rsid w:val="00ae28ad"/>
    <w:pPr>
      <w:tabs>
        <w:tab w:val="clear" w:pos="708"/>
        <w:tab w:val="left" w:pos="709" w:leader="none"/>
      </w:tabs>
      <w:spacing w:lineRule="auto" w:line="240"/>
    </w:pPr>
    <w:rPr>
      <w:rFonts w:ascii="Times New Roman" w:hAnsi="Times New Roman"/>
      <w:b/>
      <w:i/>
      <w:sz w:val="20"/>
      <w:szCs w:val="20"/>
      <w:lang w:eastAsia="it-IT"/>
    </w:rPr>
  </w:style>
  <w:style w:type="paragraph" w:styleId="Titoloparagrafobandotipo" w:customStyle="1">
    <w:name w:val="Titolo paragrafo bando tipo"/>
    <w:basedOn w:val="Subtitle"/>
    <w:autoRedefine/>
    <w:qFormat/>
    <w:rsid w:val="00ae28ad"/>
    <w:pPr>
      <w:keepNext w:val="true"/>
      <w:spacing w:lineRule="auto" w:line="240" w:before="300" w:after="120"/>
      <w:ind w:left="-142"/>
      <w:outlineLvl w:val="0"/>
    </w:pPr>
    <w:rPr>
      <w:rFonts w:ascii="Calibri" w:hAnsi="Calibri" w:eastAsia="Times New Roman" w:cs="Times New Roman"/>
      <w:b/>
      <w:i/>
      <w:color w:themeColor="text1" w:themeTint="a6" w:val="auto"/>
      <w:spacing w:val="0"/>
      <w:sz w:val="24"/>
      <w:szCs w:val="22"/>
      <w:lang w:eastAsia="it-IT"/>
    </w:rPr>
  </w:style>
  <w:style w:type="paragraph" w:styleId="avviso" w:customStyle="1">
    <w:name w:val="avviso"/>
    <w:basedOn w:val="ListParagraph"/>
    <w:qFormat/>
    <w:rsid w:val="00ae28ad"/>
    <w:pPr>
      <w:keepNext w:val="true"/>
      <w:spacing w:lineRule="auto" w:line="240" w:before="120" w:after="120"/>
      <w:ind w:left="0"/>
      <w:contextualSpacing w:val="false"/>
    </w:pPr>
    <w:rPr>
      <w:b/>
      <w:i/>
    </w:rPr>
  </w:style>
  <w:style w:type="paragraph" w:styleId="CM11" w:customStyle="1">
    <w:name w:val="CM1+1"/>
    <w:basedOn w:val="Default"/>
    <w:next w:val="Default"/>
    <w:qFormat/>
    <w:rsid w:val="00ae28ad"/>
    <w:pPr>
      <w:widowControl/>
      <w:spacing w:lineRule="auto" w:line="240"/>
      <w:jc w:val="left"/>
    </w:pPr>
    <w:rPr>
      <w:rFonts w:ascii="EUAlbertina" w:hAnsi="EUAlbertina" w:cs="Times New Roman"/>
      <w:color w:val="auto"/>
    </w:rPr>
  </w:style>
  <w:style w:type="paragraph" w:styleId="CM31" w:customStyle="1">
    <w:name w:val="CM3+1"/>
    <w:basedOn w:val="Default"/>
    <w:next w:val="Default"/>
    <w:qFormat/>
    <w:rsid w:val="00ae28ad"/>
    <w:pPr>
      <w:widowControl/>
      <w:spacing w:lineRule="auto" w:line="240"/>
      <w:jc w:val="left"/>
    </w:pPr>
    <w:rPr>
      <w:rFonts w:ascii="EUAlbertina" w:hAnsi="EUAlbertina" w:cs="Times New Roman"/>
      <w:color w:val="auto"/>
    </w:rPr>
  </w:style>
  <w:style w:type="paragraph" w:styleId="NoSpacing">
    <w:name w:val="No Spacing"/>
    <w:qFormat/>
    <w:rsid w:val="00ae28ad"/>
    <w:pPr>
      <w:widowControl/>
      <w:suppressAutoHyphens w:val="true"/>
      <w:bidi w:val="0"/>
      <w:spacing w:lineRule="auto" w:line="240" w:before="0" w:after="0"/>
      <w:jc w:val="both"/>
    </w:pPr>
    <w:rPr>
      <w:rFonts w:ascii="Calibri" w:hAnsi="Calibri" w:eastAsia="Times New Roman" w:cs="Times New Roman"/>
      <w:color w:val="auto"/>
      <w:kern w:val="0"/>
      <w:sz w:val="22"/>
      <w:szCs w:val="22"/>
      <w:lang w:val="it-IT" w:eastAsia="en-US" w:bidi="ar-SA"/>
      <w14:ligatures w14:val="none"/>
    </w:rPr>
  </w:style>
  <w:style w:type="paragraph" w:styleId="Sommariodisciplinare" w:customStyle="1">
    <w:name w:val="Sommario disciplinare"/>
    <w:basedOn w:val="TOC1"/>
    <w:next w:val="Heading2"/>
    <w:autoRedefine/>
    <w:qFormat/>
    <w:rsid w:val="00ae28ad"/>
    <w:pPr/>
    <w:rPr>
      <w:rFonts w:cs="Calibri"/>
      <w:szCs w:val="24"/>
      <w:lang w:eastAsia="it-IT"/>
    </w:rPr>
  </w:style>
  <w:style w:type="paragraph" w:styleId="TOC4">
    <w:name w:val="toc 4"/>
    <w:basedOn w:val="Normal"/>
    <w:next w:val="Normal"/>
    <w:autoRedefine/>
    <w:rsid w:val="00ae28ad"/>
    <w:pPr>
      <w:ind w:left="660"/>
      <w:jc w:val="left"/>
    </w:pPr>
    <w:rPr>
      <w:rFonts w:ascii="Calibri" w:hAnsi="Calibri"/>
      <w:sz w:val="18"/>
      <w:szCs w:val="18"/>
    </w:rPr>
  </w:style>
  <w:style w:type="paragraph" w:styleId="TOC5">
    <w:name w:val="toc 5"/>
    <w:basedOn w:val="Normal"/>
    <w:next w:val="Normal"/>
    <w:autoRedefine/>
    <w:rsid w:val="00ae28ad"/>
    <w:pPr>
      <w:ind w:left="880"/>
      <w:jc w:val="left"/>
    </w:pPr>
    <w:rPr>
      <w:rFonts w:ascii="Calibri" w:hAnsi="Calibri"/>
      <w:sz w:val="18"/>
      <w:szCs w:val="18"/>
    </w:rPr>
  </w:style>
  <w:style w:type="paragraph" w:styleId="TOC6">
    <w:name w:val="toc 6"/>
    <w:basedOn w:val="Normal"/>
    <w:next w:val="Normal"/>
    <w:autoRedefine/>
    <w:rsid w:val="00ae28ad"/>
    <w:pPr>
      <w:ind w:left="1100"/>
      <w:jc w:val="left"/>
    </w:pPr>
    <w:rPr>
      <w:rFonts w:ascii="Calibri" w:hAnsi="Calibri"/>
      <w:sz w:val="18"/>
      <w:szCs w:val="18"/>
    </w:rPr>
  </w:style>
  <w:style w:type="paragraph" w:styleId="TOC7">
    <w:name w:val="toc 7"/>
    <w:basedOn w:val="Normal"/>
    <w:next w:val="Normal"/>
    <w:autoRedefine/>
    <w:rsid w:val="00ae28ad"/>
    <w:pPr>
      <w:ind w:left="1320"/>
      <w:jc w:val="left"/>
    </w:pPr>
    <w:rPr>
      <w:rFonts w:ascii="Calibri" w:hAnsi="Calibri"/>
      <w:sz w:val="18"/>
      <w:szCs w:val="18"/>
    </w:rPr>
  </w:style>
  <w:style w:type="paragraph" w:styleId="TOC8">
    <w:name w:val="toc 8"/>
    <w:basedOn w:val="Normal"/>
    <w:next w:val="Normal"/>
    <w:autoRedefine/>
    <w:rsid w:val="00ae28ad"/>
    <w:pPr>
      <w:ind w:left="1540"/>
      <w:jc w:val="left"/>
    </w:pPr>
    <w:rPr>
      <w:rFonts w:ascii="Calibri" w:hAnsi="Calibri"/>
      <w:sz w:val="18"/>
      <w:szCs w:val="18"/>
    </w:rPr>
  </w:style>
  <w:style w:type="paragraph" w:styleId="TOC9">
    <w:name w:val="toc 9"/>
    <w:basedOn w:val="Normal"/>
    <w:next w:val="Normal"/>
    <w:autoRedefine/>
    <w:rsid w:val="00ae28ad"/>
    <w:pPr>
      <w:ind w:left="1760"/>
      <w:jc w:val="left"/>
    </w:pPr>
    <w:rPr>
      <w:rFonts w:ascii="Calibri" w:hAnsi="Calibri"/>
      <w:sz w:val="18"/>
      <w:szCs w:val="18"/>
    </w:rPr>
  </w:style>
  <w:style w:type="paragraph" w:styleId="PlainText">
    <w:name w:val="Plain Text"/>
    <w:basedOn w:val="Normal"/>
    <w:link w:val="TestonormaleCarattere1"/>
    <w:qFormat/>
    <w:rsid w:val="00ae28ad"/>
    <w:pPr>
      <w:jc w:val="left"/>
    </w:pPr>
    <w:rPr>
      <w:rFonts w:cs="Consolas"/>
      <w:szCs w:val="21"/>
    </w:rPr>
  </w:style>
  <w:style w:type="paragraph" w:styleId="usoboll1" w:customStyle="1">
    <w:name w:val="usoboll1"/>
    <w:basedOn w:val="Normal"/>
    <w:qFormat/>
    <w:rsid w:val="00ae28ad"/>
    <w:pPr>
      <w:widowControl w:val="false"/>
      <w:suppressAutoHyphens w:val="true"/>
      <w:spacing w:lineRule="atLeast" w:line="482"/>
    </w:pPr>
    <w:rPr>
      <w:rFonts w:ascii="Times New Roman" w:hAnsi="Times New Roman"/>
      <w:szCs w:val="20"/>
      <w:lang w:eastAsia="ar-SA"/>
    </w:rPr>
  </w:style>
  <w:style w:type="paragraph" w:styleId="ANCATABELLATITOLOBIANCO" w:customStyle="1">
    <w:name w:val="ANCA_TABELLA_TITOLO BIANCO"/>
    <w:basedOn w:val="Normal"/>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ind w:left="1560" w:right="142"/>
    </w:pPr>
    <w:rPr>
      <w:rFonts w:ascii="Gotham Book" w:hAnsi="Gotham Book" w:cs="Gotham Book"/>
      <w:color w:val="FFFFFF"/>
      <w:sz w:val="20"/>
      <w:szCs w:val="20"/>
    </w:rPr>
  </w:style>
  <w:style w:type="paragraph" w:styleId="ANACTABELLATESTOBIANCO" w:customStyle="1">
    <w:name w:val="ANAC_TABELLA_TESTO_BIANCO"/>
    <w:basedOn w:val="Normal"/>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ind w:left="1560" w:right="142"/>
    </w:pPr>
    <w:rPr>
      <w:rFonts w:ascii="Gotham Book" w:hAnsi="Gotham Book" w:cs="Gotham Book"/>
      <w:color w:val="FFFFFF"/>
      <w:sz w:val="20"/>
      <w:szCs w:val="20"/>
    </w:rPr>
  </w:style>
  <w:style w:type="paragraph" w:styleId="ANACDATA" w:customStyle="1">
    <w:name w:val="ANAC_DATA"/>
    <w:qFormat/>
    <w:rsid w:val="00ae28ad"/>
    <w:pPr>
      <w:keepNext w:val="true"/>
      <w:keepLines/>
      <w:widowControl/>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uppressAutoHyphens w:val="true"/>
      <w:bidi w:val="0"/>
      <w:spacing w:lineRule="exact" w:line="240" w:before="40" w:after="0"/>
      <w:ind w:left="1560" w:right="142"/>
      <w:jc w:val="left"/>
    </w:pPr>
    <w:rPr>
      <w:rFonts w:ascii="Gotham Light" w:hAnsi="Gotham Light" w:eastAsia="0" w:cs="Times New Roman"/>
      <w:iCs/>
      <w:color w:val="auto"/>
      <w:kern w:val="0"/>
      <w:sz w:val="24"/>
      <w:szCs w:val="20"/>
      <w:lang w:val="it-IT" w:eastAsia="ar-SA" w:bidi="ar-SA"/>
      <w14:ligatures w14:val="none"/>
    </w:rPr>
  </w:style>
  <w:style w:type="paragraph" w:styleId="ANAC-TitoloSottoparagrafo" w:customStyle="1">
    <w:name w:val="ANAC - Titolo Sottoparagrafo"/>
    <w:qFormat/>
    <w:rsid w:val="00ae28ad"/>
    <w:pPr>
      <w:keepNext w:val="true"/>
      <w:keepLines/>
      <w:widowControl/>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uppressAutoHyphens w:val="true"/>
      <w:bidi w:val="0"/>
      <w:spacing w:lineRule="exact" w:line="240" w:before="40" w:after="0"/>
      <w:ind w:left="-284"/>
      <w:jc w:val="left"/>
    </w:pPr>
    <w:rPr>
      <w:rFonts w:ascii="Calibri Light" w:hAnsi="Calibri Light" w:eastAsia="0" w:cs="Times New Roman"/>
      <w:color w:val="2F5496"/>
      <w:kern w:val="0"/>
      <w:sz w:val="24"/>
      <w:szCs w:val="22"/>
      <w:lang w:val="it-IT" w:eastAsia="ar-SA" w:bidi="ar-SA"/>
      <w14:ligatures w14:val="none"/>
    </w:rPr>
  </w:style>
  <w:style w:type="paragraph" w:styleId="ANAC-TitoloParagrafo" w:customStyle="1">
    <w:name w:val="ANAC - Titolo Paragrafo"/>
    <w:qFormat/>
    <w:rsid w:val="00ae28ad"/>
    <w:pPr>
      <w:keepNext w:val="true"/>
      <w:keepLines/>
      <w:widowControl/>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uppressAutoHyphens w:val="true"/>
      <w:bidi w:val="0"/>
      <w:spacing w:lineRule="exact" w:line="240" w:before="40" w:after="0"/>
      <w:ind w:left="1560" w:right="142"/>
      <w:jc w:val="left"/>
    </w:pPr>
    <w:rPr>
      <w:rFonts w:ascii="Gotham Light" w:hAnsi="Gotham Light" w:eastAsia="0" w:cs="Times New Roman"/>
      <w:color w:val="2770B7"/>
      <w:kern w:val="0"/>
      <w:sz w:val="28"/>
      <w:szCs w:val="20"/>
      <w:lang w:val="it-IT" w:eastAsia="ar-SA" w:bidi="ar-SA"/>
      <w14:ligatures w14:val="none"/>
    </w:rPr>
  </w:style>
  <w:style w:type="paragraph" w:styleId="ANAC-TitoloCapitolo" w:customStyle="1">
    <w:name w:val="ANAC - Titolo Capitolo"/>
    <w:qFormat/>
    <w:rsid w:val="00ae28ad"/>
    <w:pPr>
      <w:keepNext w:val="true"/>
      <w:keepLines/>
      <w:widowControl/>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uppressAutoHyphens w:val="true"/>
      <w:bidi w:val="0"/>
      <w:spacing w:lineRule="exact" w:line="240" w:before="40" w:after="0"/>
      <w:ind w:left="1560" w:right="142"/>
      <w:jc w:val="left"/>
    </w:pPr>
    <w:rPr>
      <w:rFonts w:ascii="Gotham Light" w:hAnsi="Gotham Light" w:eastAsia="0" w:cs="Times New Roman"/>
      <w:iCs/>
      <w:color w:val="auto"/>
      <w:kern w:val="0"/>
      <w:sz w:val="36"/>
      <w:szCs w:val="40"/>
      <w:lang w:val="it-IT" w:eastAsia="ar-SA" w:bidi="ar-SA"/>
      <w14:ligatures w14:val="none"/>
    </w:rPr>
  </w:style>
  <w:style w:type="paragraph" w:styleId="ANAC-Capitolo" w:customStyle="1">
    <w:name w:val="ANAC - Capitolo"/>
    <w:basedOn w:val="Heading1"/>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240" w:after="280"/>
      <w:ind w:left="1560" w:right="142"/>
      <w:jc w:val="center"/>
    </w:pPr>
    <w:rPr>
      <w:rFonts w:ascii="Calibri Light" w:hAnsi="Calibri Light" w:eastAsia="0" w:cs="Times New Roman"/>
      <w:b/>
      <w:bCs/>
      <w:color w:themeColor="accent1" w:themeShade="bf" w:val="2F5496"/>
      <w:sz w:val="32"/>
      <w:szCs w:val="32"/>
      <w:lang w:val="x-none" w:eastAsia="ar-SA"/>
    </w:rPr>
  </w:style>
  <w:style w:type="paragraph" w:styleId="TitoloParagrafo" w:customStyle="1">
    <w:name w:val="Titolo Paragrafo"/>
    <w:basedOn w:val="Heading5"/>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40" w:after="0"/>
      <w:ind w:left="1560" w:right="142"/>
    </w:pPr>
    <w:rPr>
      <w:rFonts w:ascii="Calibri Light" w:hAnsi="Calibri Light" w:eastAsia="0" w:cs="Times New Roman"/>
      <w:b/>
      <w:bCs/>
      <w:i/>
      <w:iCs/>
      <w:color w:themeColor="accent1" w:themeShade="bf" w:val="2F5496"/>
      <w:sz w:val="28"/>
      <w:szCs w:val="26"/>
      <w:lang w:val="x-none" w:eastAsia="ar-SA"/>
    </w:rPr>
  </w:style>
  <w:style w:type="paragraph" w:styleId="TitoloCapitolo" w:customStyle="1">
    <w:name w:val="Titolo Capitolo"/>
    <w:basedOn w:val="Heading4"/>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40" w:after="0"/>
      <w:ind w:left="1560" w:right="142"/>
    </w:pPr>
    <w:rPr>
      <w:rFonts w:ascii="Gotham Light" w:hAnsi="Gotham Light" w:eastAsia="0" w:cs="Times New Roman"/>
      <w:b/>
      <w:bCs/>
      <w:i w:val="false"/>
      <w:color w:themeColor="accent1" w:themeShade="bf" w:val="4F81BD"/>
      <w:sz w:val="36"/>
      <w:szCs w:val="40"/>
      <w:lang w:eastAsia="ar-SA"/>
    </w:rPr>
  </w:style>
  <w:style w:type="paragraph" w:styleId="NumeroCapitolo" w:customStyle="1">
    <w:name w:val="Numero Capitolo"/>
    <w:basedOn w:val="Heading3"/>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40" w:after="0"/>
      <w:ind w:left="1560" w:right="142"/>
    </w:pPr>
    <w:rPr>
      <w:rFonts w:ascii="Gotham Light" w:hAnsi="Gotham Light" w:eastAsia="0" w:cs="Times New Roman"/>
      <w:b/>
      <w:bCs/>
      <w:caps/>
      <w:color w:themeColor="accent1" w:themeShade="bf" w:val="2770B7"/>
      <w:sz w:val="48"/>
      <w:szCs w:val="36"/>
      <w:lang w:val="x-none" w:eastAsia="ar-SA"/>
    </w:rPr>
  </w:style>
  <w:style w:type="paragraph" w:styleId="TitoloParte" w:customStyle="1">
    <w:name w:val="Titolo Parte"/>
    <w:basedOn w:val="Heading2"/>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40" w:after="0"/>
      <w:ind w:hanging="357" w:left="1560" w:right="142"/>
      <w:jc w:val="right"/>
    </w:pPr>
    <w:rPr>
      <w:rFonts w:ascii="Gotham Book" w:hAnsi="Gotham Book" w:eastAsia="Times New Roman (Corpo CS)" w:cs="Times New Roman"/>
      <w:b/>
      <w:bCs/>
      <w:iCs/>
      <w:caps/>
      <w:color w:themeColor="accent1" w:themeShade="bf" w:val="FFFFFF"/>
      <w:sz w:val="40"/>
      <w:szCs w:val="40"/>
      <w:lang w:val="x-none" w:eastAsia="ar-SA"/>
    </w:rPr>
  </w:style>
  <w:style w:type="paragraph" w:styleId="ParteNumero" w:customStyle="1">
    <w:name w:val="Parte Numero"/>
    <w:basedOn w:val="Heading1"/>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40" w:before="240" w:after="280"/>
      <w:ind w:left="1560" w:right="142"/>
      <w:jc w:val="right"/>
    </w:pPr>
    <w:rPr>
      <w:rFonts w:ascii="Gotham Medium" w:hAnsi="Gotham Medium" w:eastAsia="Times New Roman (Corpo CS)" w:cs="Times New Roman"/>
      <w:b/>
      <w:bCs/>
      <w:caps/>
      <w:color w:themeColor="accent1" w:themeShade="bf" w:val="FFFFFF"/>
      <w:sz w:val="28"/>
      <w:szCs w:val="28"/>
      <w:lang w:val="x-none" w:eastAsia="ar-SA"/>
    </w:rPr>
  </w:style>
  <w:style w:type="paragraph" w:styleId="Paragrafobase" w:customStyle="1">
    <w:name w:val="[Paragrafo base]"/>
    <w:basedOn w:val="Normal"/>
    <w:qFormat/>
    <w:rsid w:val="00ae28ad"/>
    <w:pPr>
      <w:tabs>
        <w:tab w:val="left" w:pos="284" w:leader="none"/>
        <w:tab w:val="left" w:pos="567" w:leader="none"/>
        <w:tab w:val="left" w:pos="708" w:leader="none"/>
        <w:tab w:val="left" w:pos="851" w:leader="none"/>
        <w:tab w:val="left" w:pos="1134" w:leader="none"/>
        <w:tab w:val="left" w:pos="1418" w:leader="none"/>
        <w:tab w:val="left" w:pos="2124" w:leader="none"/>
        <w:tab w:val="right" w:pos="2268" w:leader="none"/>
        <w:tab w:val="left" w:pos="2835" w:leader="none"/>
        <w:tab w:val="left" w:pos="3540" w:leader="none"/>
        <w:tab w:val="left" w:pos="4248" w:leader="none"/>
        <w:tab w:val="left" w:pos="4956" w:leader="none"/>
        <w:tab w:val="left" w:pos="5664" w:leader="none"/>
        <w:tab w:val="left" w:pos="6265" w:leader="none"/>
        <w:tab w:val="right" w:pos="10348" w:leader="none"/>
      </w:tabs>
      <w:spacing w:lineRule="exact" w:line="288"/>
      <w:ind w:left="1560" w:right="142"/>
      <w:textAlignment w:val="center"/>
    </w:pPr>
    <w:rPr>
      <w:rFonts w:ascii="Minion Pro" w:hAnsi="Minion Pro" w:eastAsia="Minion Pro"/>
      <w:color w:val="000000"/>
      <w:lang w:eastAsia="ar-SA"/>
    </w:rPr>
  </w:style>
  <w:style w:type="paragraph" w:styleId="Contenutocornice" w:customStyle="1">
    <w:name w:val="Contenuto cornice"/>
    <w:basedOn w:val="Normal"/>
    <w:qFormat/>
    <w:rsid w:val="00ae28ad"/>
    <w:pPr/>
    <w:rPr/>
  </w:style>
  <w:style w:type="paragraph" w:styleId="Contenutotabella">
    <w:name w:val="Contenuto tabella"/>
    <w:basedOn w:val="Normal"/>
    <w:qFormat/>
    <w:pPr>
      <w:widowControl w:val="false"/>
      <w:suppressLineNumbers/>
    </w:pPr>
    <w:rPr/>
  </w:style>
  <w:style w:type="paragraph" w:styleId="Standard" w:customStyle="1">
    <w:name w:val="Standard"/>
    <w:qFormat/>
    <w:rsid w:val="00ae28ad"/>
    <w:pPr>
      <w:widowControl/>
      <w:suppressAutoHyphens w:val="true"/>
      <w:bidi w:val="0"/>
      <w:spacing w:lineRule="auto" w:line="259" w:before="0" w:after="160"/>
      <w:jc w:val="left"/>
      <w:textAlignment w:val="baseline"/>
    </w:pPr>
    <w:rPr>
      <w:rFonts w:ascii="Calibri" w:hAnsi="Calibri" w:eastAsia="Calibri" w:cs="Times New Roman"/>
      <w:color w:val="auto"/>
      <w:kern w:val="0"/>
      <w:sz w:val="24"/>
      <w:szCs w:val="20"/>
      <w:lang w:val="it-IT" w:eastAsia="en-US" w:bidi="ar-SA"/>
      <w14:ligatures w14:val="none"/>
    </w:rPr>
  </w:style>
  <w:style w:type="paragraph" w:styleId="Testopreformattato" w:customStyle="1">
    <w:name w:val="Testo preformattato"/>
    <w:basedOn w:val="Normal"/>
    <w:qFormat/>
    <w:rsid w:val="00ae28ad"/>
    <w:pPr/>
    <w:rPr>
      <w:rFonts w:ascii="Liberation Mono" w:hAnsi="Liberation Mono" w:eastAsia="Liberation Mono" w:cs="Liberation Mono"/>
      <w:sz w:val="20"/>
      <w:szCs w:val="20"/>
    </w:rPr>
  </w:style>
  <w:style w:type="paragraph" w:styleId="Testocitato" w:customStyle="1">
    <w:name w:val="Testo citato"/>
    <w:basedOn w:val="Normal"/>
    <w:qFormat/>
    <w:rsid w:val="00ae28ad"/>
    <w:pPr>
      <w:spacing w:before="0" w:after="283"/>
      <w:ind w:left="567" w:right="567"/>
    </w:pPr>
    <w:rPr/>
  </w:style>
  <w:style w:type="paragraph" w:styleId="DefinitionTerm" w:customStyle="1">
    <w:name w:val="Definition Term"/>
    <w:basedOn w:val="Normal"/>
    <w:qFormat/>
    <w:rsid w:val="00ae28ad"/>
    <w:pPr/>
    <w:rPr/>
  </w:style>
  <w:style w:type="paragraph" w:styleId="DefinitionList" w:customStyle="1">
    <w:name w:val="Definition List"/>
    <w:basedOn w:val="Normal"/>
    <w:qFormat/>
    <w:rsid w:val="00ae28ad"/>
    <w:pPr>
      <w:ind w:left="360"/>
    </w:pPr>
    <w:rPr/>
  </w:style>
  <w:style w:type="paragraph" w:styleId="H1" w:customStyle="1">
    <w:name w:val="H1"/>
    <w:basedOn w:val="Normal"/>
    <w:qFormat/>
    <w:rsid w:val="00ae28ad"/>
    <w:pPr>
      <w:keepNext w:val="true"/>
      <w:spacing w:before="100" w:after="100"/>
      <w:outlineLvl w:val="1"/>
    </w:pPr>
    <w:rPr>
      <w:b/>
      <w:kern w:val="2"/>
      <w:sz w:val="48"/>
    </w:rPr>
  </w:style>
  <w:style w:type="paragraph" w:styleId="H2" w:customStyle="1">
    <w:name w:val="H2"/>
    <w:basedOn w:val="Normal"/>
    <w:qFormat/>
    <w:rsid w:val="00ae28ad"/>
    <w:pPr>
      <w:keepNext w:val="true"/>
      <w:spacing w:before="100" w:after="100"/>
      <w:outlineLvl w:val="2"/>
    </w:pPr>
    <w:rPr>
      <w:b/>
      <w:sz w:val="36"/>
    </w:rPr>
  </w:style>
  <w:style w:type="paragraph" w:styleId="H3" w:customStyle="1">
    <w:name w:val="H3"/>
    <w:basedOn w:val="Normal"/>
    <w:qFormat/>
    <w:rsid w:val="00ae28ad"/>
    <w:pPr>
      <w:keepNext w:val="true"/>
      <w:spacing w:before="100" w:after="100"/>
      <w:outlineLvl w:val="3"/>
    </w:pPr>
    <w:rPr>
      <w:b/>
      <w:sz w:val="28"/>
    </w:rPr>
  </w:style>
  <w:style w:type="paragraph" w:styleId="H4" w:customStyle="1">
    <w:name w:val="H4"/>
    <w:basedOn w:val="Normal"/>
    <w:qFormat/>
    <w:rsid w:val="00ae28ad"/>
    <w:pPr>
      <w:keepNext w:val="true"/>
      <w:spacing w:before="100" w:after="100"/>
      <w:outlineLvl w:val="4"/>
    </w:pPr>
    <w:rPr>
      <w:b/>
    </w:rPr>
  </w:style>
  <w:style w:type="paragraph" w:styleId="H5" w:customStyle="1">
    <w:name w:val="H5"/>
    <w:basedOn w:val="Normal"/>
    <w:qFormat/>
    <w:rsid w:val="00ae28ad"/>
    <w:pPr>
      <w:keepNext w:val="true"/>
      <w:spacing w:before="100" w:after="100"/>
      <w:outlineLvl w:val="5"/>
    </w:pPr>
    <w:rPr>
      <w:b/>
      <w:sz w:val="20"/>
    </w:rPr>
  </w:style>
  <w:style w:type="paragraph" w:styleId="H6" w:customStyle="1">
    <w:name w:val="H6"/>
    <w:basedOn w:val="Normal"/>
    <w:qFormat/>
    <w:rsid w:val="00ae28ad"/>
    <w:pPr>
      <w:keepNext w:val="true"/>
      <w:spacing w:before="100" w:after="100"/>
      <w:outlineLvl w:val="6"/>
    </w:pPr>
    <w:rPr>
      <w:b/>
      <w:sz w:val="16"/>
    </w:rPr>
  </w:style>
  <w:style w:type="paragraph" w:styleId="Address" w:customStyle="1">
    <w:name w:val="Address"/>
    <w:basedOn w:val="Normal"/>
    <w:qFormat/>
    <w:rsid w:val="00ae28ad"/>
    <w:pPr/>
    <w:rPr>
      <w:i/>
    </w:rPr>
  </w:style>
  <w:style w:type="paragraph" w:styleId="Blockquote" w:customStyle="1">
    <w:name w:val="Blockquote"/>
    <w:basedOn w:val="Normal"/>
    <w:qFormat/>
    <w:rsid w:val="00ae28ad"/>
    <w:pPr>
      <w:spacing w:before="100" w:after="100"/>
      <w:ind w:left="360" w:right="360"/>
    </w:pPr>
    <w:rPr/>
  </w:style>
  <w:style w:type="paragraph" w:styleId="Preformatted" w:customStyle="1">
    <w:name w:val="Preformatted"/>
    <w:basedOn w:val="Normal"/>
    <w:qFormat/>
    <w:rsid w:val="00ae28ad"/>
    <w:pPr>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z-BottomofForm1" w:customStyle="1">
    <w:name w:val="z-Bottom of Form1"/>
    <w:qFormat/>
    <w:rsid w:val="00395774"/>
    <w:pPr>
      <w:widowControl/>
      <w:pBdr>
        <w:top w:val="double" w:sz="2" w:space="0" w:color="000000"/>
      </w:pBdr>
      <w:suppressAutoHyphens w:val="true"/>
      <w:bidi w:val="0"/>
      <w:spacing w:lineRule="auto" w:line="240" w:before="0" w:after="0"/>
      <w:jc w:val="center"/>
    </w:pPr>
    <w:rPr>
      <w:rFonts w:ascii="Arial" w:hAnsi="Arial" w:eastAsia="Arial" w:cs="Courier New"/>
      <w:vanish/>
      <w:color w:val="auto"/>
      <w:kern w:val="0"/>
      <w:sz w:val="16"/>
      <w:szCs w:val="24"/>
      <w:lang w:val="it-IT" w:eastAsia="it-IT" w:bidi="ar-SA"/>
      <w14:ligatures w14:val="none"/>
    </w:rPr>
  </w:style>
  <w:style w:type="paragraph" w:styleId="z-TopofForm1" w:customStyle="1">
    <w:name w:val="z-Top of Form1"/>
    <w:qFormat/>
    <w:rsid w:val="00395774"/>
    <w:pPr>
      <w:widowControl/>
      <w:pBdr>
        <w:bottom w:val="double" w:sz="2" w:space="0" w:color="000000"/>
      </w:pBdr>
      <w:suppressAutoHyphens w:val="true"/>
      <w:bidi w:val="0"/>
      <w:spacing w:lineRule="auto" w:line="240" w:before="0" w:after="0"/>
      <w:jc w:val="center"/>
    </w:pPr>
    <w:rPr>
      <w:rFonts w:ascii="Arial" w:hAnsi="Arial" w:eastAsia="Arial" w:cs="Courier New"/>
      <w:vanish/>
      <w:color w:val="auto"/>
      <w:kern w:val="0"/>
      <w:sz w:val="16"/>
      <w:szCs w:val="24"/>
      <w:lang w:val="it-IT" w:eastAsia="it-IT" w:bidi="ar-SA"/>
      <w14:ligatures w14:val="none"/>
    </w:rPr>
  </w:style>
  <w:style w:type="paragraph" w:styleId="Titolotabella">
    <w:name w:val="Titolo tabella"/>
    <w:basedOn w:val="Contenutotabella"/>
    <w:qFormat/>
    <w:pPr>
      <w:suppressLineNumbers/>
      <w:jc w:val="center"/>
    </w:pPr>
    <w:rPr>
      <w:b/>
      <w:bCs/>
    </w:rPr>
  </w:style>
  <w:style w:type="numbering" w:styleId="Nessunelenco" w:default="1">
    <w:name w:val="Nessun elenco"/>
    <w:uiPriority w:val="99"/>
    <w:semiHidden/>
    <w:unhideWhenUsed/>
    <w:qFormat/>
  </w:style>
  <w:style w:type="numbering" w:styleId="Nessunelenco1" w:customStyle="1">
    <w:name w:val="Nessun elenco1"/>
    <w:qFormat/>
    <w:rsid w:val="00ae28ad"/>
  </w:style>
  <w:style w:type="numbering" w:styleId="Stile2" w:customStyle="1">
    <w:name w:val="Stile2"/>
    <w:qFormat/>
    <w:rsid w:val="00ae28ad"/>
  </w:style>
  <w:style w:type="numbering" w:styleId="WW8Num27" w:customStyle="1">
    <w:name w:val="WW8Num27"/>
    <w:qFormat/>
    <w:rsid w:val="00ae28ad"/>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ae28ad"/>
    <w:pPr>
      <w:spacing w:after="0" w:line="240" w:lineRule="auto"/>
    </w:pPr>
    <w:rPr>
      <w:sz w:val="20"/>
      <w:szCs w:val="20"/>
      <w:lang w:eastAsia="it-I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gliatabellachiara">
    <w:name w:val="Grid Table Light"/>
    <w:basedOn w:val="Tabellanormale"/>
    <w:uiPriority w:val="40"/>
    <w:rsid w:val="00ae28ad"/>
    <w:pPr>
      <w:spacing w:after="0" w:line="240" w:lineRule="auto"/>
    </w:pPr>
    <w:rPr>
      <w:sz w:val="20"/>
      <w:szCs w:val="20"/>
      <w:lang w:eastAsia="it-IT"/>
    </w:r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intercent@regione.emilia-romagna.it" TargetMode="External"/><Relationship Id="rId3" Type="http://schemas.openxmlformats.org/officeDocument/2006/relationships/hyperlink" Target="https://www.anticorruzione.it/-/news.garanzie.finanziarie.18.07.2025" TargetMode="External"/><Relationship Id="rId4" Type="http://schemas.openxmlformats.org/officeDocument/2006/relationships/hyperlink" Target="https://www.anticorruzione.it/-/gestione-contributi-gara" TargetMode="External"/><Relationship Id="rId5" Type="http://schemas.openxmlformats.org/officeDocument/2006/relationships/hyperlink" Target="https://www.anticorruzione.it/-/portale-dei-pagamenti-di-anac"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8f0faae-7d3e-4260-bd2d-4ae4977d1014" xsi:nil="true"/>
    <lcf76f155ced4ddcb4097134ff3c332f xmlns="01fded2a-6ade-4626-9130-16bb9220f72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26F384D6CE452147B48DCB89CADB4180" ma:contentTypeVersion="19" ma:contentTypeDescription="Creare un nuovo documento." ma:contentTypeScope="" ma:versionID="6c39d3bd4abf94b9991be190498cebd9">
  <xsd:schema xmlns:xsd="http://www.w3.org/2001/XMLSchema" xmlns:xs="http://www.w3.org/2001/XMLSchema" xmlns:p="http://schemas.microsoft.com/office/2006/metadata/properties" xmlns:ns2="01fded2a-6ade-4626-9130-16bb9220f72f" xmlns:ns3="f8f0faae-7d3e-4260-bd2d-4ae4977d1014" targetNamespace="http://schemas.microsoft.com/office/2006/metadata/properties" ma:root="true" ma:fieldsID="a5328c2f24be5a9d9e300192648a9176" ns2:_="" ns3:_="">
    <xsd:import namespace="01fded2a-6ade-4626-9130-16bb9220f72f"/>
    <xsd:import namespace="f8f0faae-7d3e-4260-bd2d-4ae4977d10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ded2a-6ade-4626-9130-16bb9220f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2627e65f-4c78-48a8-87dd-1df669f52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f0faae-7d3e-4260-bd2d-4ae4977d1014"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f67a9c4c-e3dd-4482-8a92-83cfea12d742}" ma:internalName="TaxCatchAll" ma:showField="CatchAllData" ma:web="f8f0faae-7d3e-4260-bd2d-4ae4977d1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E2B6A1-64F8-4AC3-8CE9-1E5A64291F16}">
  <ds:schemaRefs>
    <ds:schemaRef ds:uri="http://schemas.microsoft.com/sharepoint/v3/contenttype/forms"/>
  </ds:schemaRefs>
</ds:datastoreItem>
</file>

<file path=customXml/itemProps2.xml><?xml version="1.0" encoding="utf-8"?>
<ds:datastoreItem xmlns:ds="http://schemas.openxmlformats.org/officeDocument/2006/customXml" ds:itemID="{D8D5618D-38FC-4630-B3DB-6CD8D884ABA5}">
  <ds:schemaRefs>
    <ds:schemaRef ds:uri="http://schemas.microsoft.com/office/2006/metadata/properties"/>
    <ds:schemaRef ds:uri="http://schemas.microsoft.com/office/infopath/2007/PartnerControls"/>
    <ds:schemaRef ds:uri="f8f0faae-7d3e-4260-bd2d-4ae4977d1014"/>
    <ds:schemaRef ds:uri="01fded2a-6ade-4626-9130-16bb9220f72f"/>
  </ds:schemaRefs>
</ds:datastoreItem>
</file>

<file path=customXml/itemProps3.xml><?xml version="1.0" encoding="utf-8"?>
<ds:datastoreItem xmlns:ds="http://schemas.openxmlformats.org/officeDocument/2006/customXml" ds:itemID="{12DAE73F-E1E6-4543-9BAE-9DB4C5A85B01}">
  <ds:schemaRefs>
    <ds:schemaRef ds:uri="http://schemas.openxmlformats.org/officeDocument/2006/bibliography"/>
  </ds:schemaRefs>
</ds:datastoreItem>
</file>

<file path=customXml/itemProps4.xml><?xml version="1.0" encoding="utf-8"?>
<ds:datastoreItem xmlns:ds="http://schemas.openxmlformats.org/officeDocument/2006/customXml" ds:itemID="{F31574EC-05DE-4F90-A424-0A79DCAB2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ded2a-6ade-4626-9130-16bb9220f72f"/>
    <ds:schemaRef ds:uri="f8f0faae-7d3e-4260-bd2d-4ae4977d1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380</TotalTime>
  <Application>LibreOffice/26.2.5.2$Windows_X86_64 LibreOffice_project/cd7284b4cbbfeb507e630c1aac019f4157393acb</Application>
  <AppVersion>15.0000</AppVersion>
  <Pages>35</Pages>
  <Words>16851</Words>
  <Characters>101357</Characters>
  <CharactersWithSpaces>117829</CharactersWithSpaces>
  <Paragraphs>792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2025-11-27T13:26:00Z</dcterms:created>
  <dc:creator>Zucchelli Elisabetta</dc:creator>
  <dc:description/>
  <dc:language>it-IT</dc:language>
  <cp:lastModifiedBy/>
  <cp:lastPrinted>2025-09-29T09:24:00Z</cp:lastPrinted>
  <dcterms:modified xsi:type="dcterms:W3CDTF">2026-09-18T10:57:08Z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0x01010026F384D6CE452147B48DCB89CADB4180</vt:lpwstr>
  </property>
  <property fmtid="{D5CDD505-2E9C-101B-9397-08002B2CF9AE}" pid="3" name="MediaServiceImageTags">
    <vt:lpwstr/>
  </property>
</Properties>
</file>