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60" w:after="60"/>
        <w:jc w:val="center"/>
        <w:rPr>
          <w:rFonts w:ascii="Titillium" w:hAnsi="Titillium"/>
          <w:b/>
          <w:sz w:val="36"/>
          <w:szCs w:val="36"/>
          <w:lang w:eastAsia="it-IT"/>
        </w:rPr>
      </w:pPr>
      <w:r>
        <w:rPr>
          <w:rFonts w:ascii="Titillium" w:hAnsi="Titillium"/>
          <w:b/>
          <w:sz w:val="36"/>
          <w:szCs w:val="36"/>
          <w:lang w:eastAsia="it-IT"/>
        </w:rPr>
      </w:r>
    </w:p>
    <w:p>
      <w:pPr>
        <w:pStyle w:val="Normal"/>
        <w:widowControl w:val="false"/>
        <w:spacing w:before="60" w:after="60"/>
        <w:jc w:val="center"/>
        <w:rPr>
          <w:rFonts w:ascii="Titillium" w:hAnsi="Titillium"/>
          <w:b/>
          <w:sz w:val="36"/>
          <w:szCs w:val="36"/>
          <w:lang w:eastAsia="it-IT"/>
        </w:rPr>
      </w:pPr>
      <w:r>
        <w:rPr>
          <w:rFonts w:ascii="Titillium" w:hAnsi="Titillium"/>
          <w:b/>
          <w:sz w:val="36"/>
          <w:szCs w:val="36"/>
          <w:lang w:eastAsia="it-IT"/>
        </w:rPr>
      </w:r>
    </w:p>
    <w:p>
      <w:pPr>
        <w:pStyle w:val="Normal"/>
        <w:widowControl w:val="false"/>
        <w:spacing w:lineRule="atLeast" w:line="23"/>
        <w:ind w:left="567"/>
        <w:jc w:val="center"/>
        <w:rPr>
          <w:rFonts w:ascii="Titillium" w:hAnsi="Titillium"/>
          <w:b/>
          <w:szCs w:val="24"/>
          <w:lang w:eastAsia="it-IT"/>
        </w:rPr>
      </w:pPr>
      <w:r>
        <w:rPr>
          <w:rFonts w:ascii="Titillium" w:hAnsi="Titillium"/>
          <w:b/>
          <w:szCs w:val="24"/>
          <w:lang w:eastAsia="it-IT"/>
        </w:rPr>
        <w:t>Disciplinare di gara</w:t>
      </w:r>
    </w:p>
    <w:p>
      <w:pPr>
        <w:pStyle w:val="Normal"/>
        <w:widowControl w:val="false"/>
        <w:spacing w:lineRule="atLeast" w:line="23"/>
        <w:ind w:left="567"/>
        <w:rPr>
          <w:rFonts w:ascii="Titillium" w:hAnsi="Titillium"/>
          <w:b/>
          <w:szCs w:val="24"/>
          <w:lang w:eastAsia="it-IT"/>
        </w:rPr>
      </w:pPr>
      <w:r>
        <w:rPr>
          <w:rFonts w:ascii="Titillium" w:hAnsi="Titillium"/>
          <w:b/>
          <w:szCs w:val="24"/>
          <w:lang w:eastAsia="it-IT"/>
        </w:rPr>
      </w:r>
    </w:p>
    <w:p>
      <w:pPr>
        <w:pStyle w:val="Normal"/>
        <w:widowControl w:val="false"/>
        <w:spacing w:lineRule="atLeast" w:line="23"/>
        <w:ind w:left="567"/>
        <w:rPr>
          <w:rFonts w:ascii="Titillium" w:hAnsi="Titillium"/>
          <w:b/>
          <w:szCs w:val="24"/>
          <w:lang w:eastAsia="it-IT"/>
        </w:rPr>
      </w:pPr>
      <w:r>
        <w:rPr>
          <w:rFonts w:ascii="Titillium" w:hAnsi="Titillium"/>
          <w:b/>
          <w:szCs w:val="24"/>
          <w:lang w:eastAsia="it-IT"/>
        </w:rPr>
      </w:r>
    </w:p>
    <w:p>
      <w:pPr>
        <w:pStyle w:val="Normal"/>
        <w:widowControl w:val="false"/>
        <w:spacing w:lineRule="atLeast" w:line="23"/>
        <w:ind w:left="567"/>
        <w:rPr>
          <w:rFonts w:ascii="Titillium" w:hAnsi="Titillium"/>
          <w:b/>
          <w:szCs w:val="24"/>
          <w:lang w:eastAsia="it-IT"/>
        </w:rPr>
      </w:pPr>
      <w:r>
        <w:rPr>
          <w:rFonts w:ascii="Titillium" w:hAnsi="Titillium"/>
          <w:b/>
          <w:szCs w:val="24"/>
          <w:lang w:eastAsia="it-IT"/>
        </w:rPr>
      </w:r>
    </w:p>
    <w:p>
      <w:pPr>
        <w:pStyle w:val="Normal"/>
        <w:widowControl w:val="false"/>
        <w:spacing w:lineRule="atLeast" w:line="23"/>
        <w:ind w:left="567"/>
        <w:rPr>
          <w:rFonts w:ascii="Titillium" w:hAnsi="Titillium"/>
          <w:b/>
          <w:szCs w:val="24"/>
          <w:lang w:eastAsia="it-IT"/>
        </w:rPr>
      </w:pPr>
      <w:r>
        <w:rPr>
          <w:rFonts w:ascii="Titillium" w:hAnsi="Titillium"/>
          <w:b/>
          <w:szCs w:val="24"/>
          <w:lang w:eastAsia="it-IT"/>
        </w:rPr>
        <w:t>PROCEDURA APERTA PER IL SERVIZIO DI NOLEGGIO MACCHINE PER L’EROGAZIONE DELLE COLAZIONI NEI REPARTI NON DI DEGENZA (Dialisi, Day H, Day S,) PER L’AZIENDA USL DI BOLOGNA</w:t>
      </w:r>
    </w:p>
    <w:p>
      <w:pPr>
        <w:pStyle w:val="Normal"/>
        <w:widowControl w:val="false"/>
        <w:spacing w:lineRule="atLeast" w:line="23"/>
        <w:ind w:left="567"/>
        <w:rPr>
          <w:rFonts w:ascii="Titillium" w:hAnsi="Titillium"/>
          <w:b/>
          <w:szCs w:val="24"/>
          <w:lang w:eastAsia="it-IT"/>
        </w:rPr>
      </w:pPr>
      <w:r>
        <w:rPr>
          <w:rFonts w:ascii="Titillium" w:hAnsi="Titillium"/>
          <w:b/>
          <w:szCs w:val="24"/>
          <w:lang w:eastAsia="it-IT"/>
        </w:rPr>
      </w:r>
    </w:p>
    <w:p>
      <w:pPr>
        <w:pStyle w:val="Normal"/>
        <w:widowControl w:val="false"/>
        <w:spacing w:before="60" w:after="60"/>
        <w:ind w:left="567"/>
        <w:rPr>
          <w:rFonts w:ascii="Arial" w:hAnsi="Arial" w:cs="Arial"/>
          <w:b/>
          <w:i/>
          <w:sz w:val="22"/>
        </w:rPr>
      </w:pPr>
      <w:r>
        <w:rPr>
          <w:rFonts w:cs="Arial" w:ascii="Arial" w:hAnsi="Arial"/>
          <w:b/>
          <w:i/>
          <w:sz w:val="22"/>
        </w:rPr>
      </w:r>
    </w:p>
    <w:p>
      <w:pPr>
        <w:pStyle w:val="Normal"/>
        <w:widowControl w:val="false"/>
        <w:spacing w:before="60" w:after="60"/>
        <w:ind w:left="567"/>
        <w:rPr>
          <w:rFonts w:ascii="Arial" w:hAnsi="Arial" w:cs="Arial"/>
          <w:b/>
          <w:i/>
          <w:sz w:val="20"/>
          <w:szCs w:val="20"/>
        </w:rPr>
      </w:pPr>
      <w:r>
        <w:rPr>
          <w:rFonts w:cs="Arial" w:ascii="Arial" w:hAnsi="Arial"/>
          <w:b/>
          <w:i/>
          <w:sz w:val="20"/>
          <w:szCs w:val="20"/>
        </w:rPr>
        <w:t xml:space="preserve">Il presente documento è stato redatto in conformità al Bando-tipo n. 1/2023 aggiornato al decreto legislativo 31 dicembre 2024 n. 209 </w:t>
      </w:r>
      <w:r>
        <w:rPr>
          <w:rFonts w:cs="Calibri" w:ascii="Calibri" w:hAnsi="Calibri"/>
          <w:b/>
          <w:i/>
          <w:sz w:val="22"/>
          <w:szCs w:val="20"/>
          <w:lang w:eastAsia="it-IT"/>
        </w:rPr>
        <w:t xml:space="preserve">e al parere del Consiglio di Stato </w:t>
      </w:r>
      <w:r>
        <w:rPr>
          <w:rFonts w:cs="Calibri" w:ascii="Calibri" w:hAnsi="Calibri"/>
          <w:b/>
          <w:bCs/>
          <w:i/>
          <w:sz w:val="22"/>
          <w:szCs w:val="20"/>
          <w:lang w:eastAsia="it-IT"/>
        </w:rPr>
        <w:t>n. 61 del 13/01/2026. A</w:t>
      </w:r>
      <w:r>
        <w:rPr>
          <w:rFonts w:cs="Arial" w:ascii="Arial" w:hAnsi="Arial"/>
          <w:b/>
          <w:i/>
          <w:sz w:val="20"/>
          <w:szCs w:val="20"/>
        </w:rPr>
        <w:t xml:space="preserve">pprovato dal Consiglio dell’Autorità Nazionale Anticorruzione con delibera n. 365 del 16 settembre 2025 </w:t>
      </w:r>
      <w:r>
        <w:rPr>
          <w:rFonts w:cs="Calibri" w:ascii="Calibri" w:hAnsi="Calibri"/>
          <w:b/>
          <w:i/>
          <w:sz w:val="22"/>
          <w:szCs w:val="20"/>
          <w:lang w:eastAsia="it-IT"/>
        </w:rPr>
        <w:t>e modificato con delibera n. 148 del 1° aprile 2026</w:t>
      </w:r>
      <w:r>
        <w:rPr>
          <w:rFonts w:cs="Arial" w:ascii="Arial" w:hAnsi="Arial"/>
          <w:b/>
          <w:i/>
          <w:sz w:val="20"/>
          <w:szCs w:val="20"/>
        </w:rPr>
        <w:t>.</w:t>
      </w:r>
    </w:p>
    <w:p>
      <w:pPr>
        <w:pStyle w:val="Normal"/>
        <w:widowControl w:val="false"/>
        <w:spacing w:before="60" w:after="60"/>
        <w:jc w:val="left"/>
        <w:rPr>
          <w:rFonts w:ascii="Titillium" w:hAnsi="Titillium"/>
          <w:b/>
          <w:w w:val="66"/>
          <w:szCs w:val="24"/>
          <w:lang w:eastAsia="it-IT"/>
        </w:rPr>
      </w:pPr>
      <w:r>
        <w:rPr>
          <w:rFonts w:ascii="Titillium" w:hAnsi="Titillium"/>
          <w:sz w:val="18"/>
          <w:szCs w:val="18"/>
          <w:lang w:eastAsia="it-IT"/>
        </w:rPr>
        <w:t xml:space="preserve"> </w:t>
      </w:r>
      <w:r>
        <w:br w:type="page"/>
      </w:r>
    </w:p>
    <w:p>
      <w:pPr>
        <w:pStyle w:val="Normal"/>
        <w:spacing w:lineRule="auto" w:line="240" w:before="0" w:after="0"/>
        <w:jc w:val="left"/>
        <w:rPr>
          <w:rFonts w:ascii="Titillium" w:hAnsi="Titillium"/>
          <w:b/>
          <w:w w:val="66"/>
          <w:szCs w:val="24"/>
          <w:lang w:eastAsia="it-IT"/>
        </w:rPr>
      </w:pPr>
      <w:r>
        <w:rPr>
          <w:rFonts w:ascii="Titillium" w:hAnsi="Titillium"/>
          <w:b/>
          <w:w w:val="66"/>
          <w:szCs w:val="24"/>
          <w:lang w:eastAsia="it-IT"/>
        </w:rPr>
      </w:r>
    </w:p>
    <w:sdt>
      <w:sdtPr>
        <w:docPartObj>
          <w:docPartGallery w:val="Table of Contents"/>
          <w:docPartUnique w:val="true"/>
        </w:docPartObj>
      </w:sdtPr>
      <w:sdtContent>
        <w:p>
          <w:pPr>
            <w:pStyle w:val="TOC1"/>
            <w:rPr>
              <w:rFonts w:ascii="Titillium" w:hAnsi="Titillium" w:eastAsia="DejaVu Sans" w:cs="DejaVu Sans" w:cstheme="minorBidi" w:eastAsiaTheme="minorEastAsia"/>
              <w:bCs w:val="false"/>
              <w:kern w:val="2"/>
              <w:sz w:val="24"/>
              <w:szCs w:val="24"/>
              <w:lang w:eastAsia="it-IT"/>
              <w14:ligatures w14:val="standardContextual"/>
            </w:rPr>
          </w:pPr>
          <w:r>
            <w:fldChar w:fldCharType="begin"/>
          </w:r>
          <w:r>
            <w:rPr>
              <w:rStyle w:val="Collegamentoindice"/>
              <w:rFonts w:ascii="Titillium" w:hAnsi="Titillium"/>
              <w:b/>
              <w:sz w:val="18"/>
              <w:szCs w:val="18"/>
            </w:rPr>
            <w:instrText xml:space="preserve"> TOC \o "1-3" \h</w:instrText>
          </w:r>
          <w:r>
            <w:rPr>
              <w:rStyle w:val="Collegamentoindice"/>
              <w:rFonts w:ascii="Titillium" w:hAnsi="Titillium"/>
              <w:b/>
              <w:sz w:val="18"/>
              <w:szCs w:val="18"/>
            </w:rPr>
            <w:fldChar w:fldCharType="separate"/>
          </w:r>
          <w:hyperlink w:anchor="_Toc207275715">
            <w:r>
              <w:rPr>
                <w:rStyle w:val="Collegamentoindice"/>
                <w:rFonts w:ascii="Titillium" w:hAnsi="Titillium"/>
                <w:b/>
                <w:sz w:val="18"/>
                <w:szCs w:val="18"/>
              </w:rPr>
              <w:t>AMBITO DI APPLICAZIONE E ISTRUZIONI PER LA COMPILAZIONE</w:t>
            </w:r>
            <w:r>
              <w:rPr>
                <w:rStyle w:val="Collegamentoindice"/>
                <w:rFonts w:ascii="Titillium" w:hAnsi="Titillium"/>
              </w:rPr>
              <w:tab/>
            </w:r>
            <w:r>
              <w:rPr>
                <w:webHidden/>
              </w:rPr>
              <w:fldChar w:fldCharType="begin"/>
            </w:r>
            <w:r>
              <w:rPr>
                <w:webHidden/>
              </w:rPr>
              <w:instrText xml:space="preserve">PAGEREF _Toc207275715 \h</w:instrText>
            </w:r>
            <w:r>
              <w:rPr>
                <w:webHidden/>
              </w:rPr>
              <w:fldChar w:fldCharType="separate"/>
            </w:r>
            <w:r>
              <w:rPr>
                <w:rStyle w:val="Collegamentoindice"/>
                <w:rFonts w:ascii="Titillium" w:hAnsi="Titillium"/>
                <w:vanish w:val="false"/>
              </w:rPr>
              <w:t>4</w:t>
            </w:r>
            <w:r>
              <w:rPr>
                <w:webHidden/>
              </w:rPr>
              <w:fldChar w:fldCharType="end"/>
            </w:r>
          </w:hyperlink>
        </w:p>
        <w:p>
          <w:pPr>
            <w:pStyle w:val="TOC1"/>
            <w:rPr>
              <w:rFonts w:ascii="Titillium" w:hAnsi="Titillium" w:eastAsia="DejaVu Sans" w:cs="DejaVu Sans" w:cstheme="minorBidi" w:eastAsiaTheme="minorEastAsia"/>
              <w:bCs w:val="false"/>
              <w:kern w:val="2"/>
              <w:sz w:val="24"/>
              <w:szCs w:val="24"/>
              <w:lang w:eastAsia="it-IT"/>
              <w14:ligatures w14:val="standardContextual"/>
            </w:rPr>
          </w:pPr>
          <w:hyperlink w:anchor="_Toc207275716">
            <w:r>
              <w:rPr>
                <w:webHidden/>
              </w:rPr>
              <w:fldChar w:fldCharType="begin"/>
            </w:r>
            <w:r>
              <w:rPr>
                <w:webHidden/>
              </w:rPr>
              <w:instrText xml:space="preserve">PAGEREF _Toc207275716 \h</w:instrText>
            </w:r>
            <w:r>
              <w:rPr>
                <w:webHidden/>
              </w:rPr>
              <w:fldChar w:fldCharType="separate"/>
            </w:r>
            <w:r>
              <w:rPr>
                <w:rStyle w:val="Collegamentoindice"/>
                <w:rFonts w:ascii="Titillium" w:hAnsi="Titillium"/>
              </w:rPr>
              <w:t>DISCIPLINARE DI GARA</w:t>
              <w:tab/>
              <w:t>6</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17">
            <w:r>
              <w:rPr>
                <w:webHidden/>
              </w:rPr>
              <w:fldChar w:fldCharType="begin"/>
            </w:r>
            <w:r>
              <w:rPr>
                <w:webHidden/>
              </w:rPr>
              <w:instrText xml:space="preserve">PAGEREF _Toc207275717 \h</w:instrText>
            </w:r>
            <w:r>
              <w:rPr>
                <w:webHidden/>
              </w:rPr>
              <w:fldChar w:fldCharType="separate"/>
            </w:r>
            <w:r>
              <w:rPr>
                <w:rStyle w:val="Collegamentoindice"/>
                <w:rFonts w:ascii="Titillium" w:hAnsi="Titillium"/>
              </w:rPr>
              <w:t>PREMESSE</w:t>
              <w:tab/>
              <w:t>6</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18">
            <w:r>
              <w:rPr>
                <w:rStyle w:val="Collegamentoindice"/>
                <w:rFonts w:ascii="Titillium" w:hAnsi="Titillium"/>
                <w:b/>
                <w:caps/>
              </w:rPr>
              <w:t>1.</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PIATTAFORMA</w:t>
              <w:tab/>
            </w:r>
            <w:r>
              <w:rPr>
                <w:webHidden/>
              </w:rPr>
              <w:fldChar w:fldCharType="begin"/>
            </w:r>
            <w:r>
              <w:rPr>
                <w:webHidden/>
              </w:rPr>
              <w:instrText xml:space="preserve">PAGEREF _Toc207275718 \h</w:instrText>
            </w:r>
            <w:r>
              <w:rPr>
                <w:webHidden/>
              </w:rPr>
              <w:fldChar w:fldCharType="separate"/>
            </w:r>
            <w:r>
              <w:rPr>
                <w:rStyle w:val="Collegamentoindice"/>
                <w:rFonts w:ascii="Titillium" w:hAnsi="Titillium"/>
                <w:vanish w:val="false"/>
              </w:rPr>
              <w:t>7</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19">
            <w:r>
              <w:rPr>
                <w:rStyle w:val="Collegamentoindice"/>
                <w:rFonts w:ascii="Titillium" w:hAnsi="Titillium"/>
                <w:caps/>
              </w:rPr>
              <w:t>1.1.</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LA PIATTAFORMA DI APPROVVIGIONAMENTO DIGITALE (PAD)</w:t>
              <w:tab/>
            </w:r>
            <w:r>
              <w:rPr>
                <w:webHidden/>
              </w:rPr>
              <w:fldChar w:fldCharType="begin"/>
            </w:r>
            <w:r>
              <w:rPr>
                <w:webHidden/>
              </w:rPr>
              <w:instrText xml:space="preserve">PAGEREF _Toc207275719 \h</w:instrText>
            </w:r>
            <w:r>
              <w:rPr>
                <w:webHidden/>
              </w:rPr>
              <w:fldChar w:fldCharType="separate"/>
            </w:r>
            <w:r>
              <w:rPr>
                <w:rStyle w:val="Collegamentoindice"/>
                <w:rFonts w:ascii="Titillium" w:hAnsi="Titillium"/>
                <w:vanish w:val="false"/>
              </w:rPr>
              <w:t>7</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20">
            <w:r>
              <w:rPr>
                <w:rStyle w:val="Collegamentoindice"/>
                <w:rFonts w:ascii="Titillium" w:hAnsi="Titillium"/>
                <w:caps/>
              </w:rPr>
              <w:t>1.2.</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DOTAZIONI TECNICHE</w:t>
              <w:tab/>
            </w:r>
            <w:r>
              <w:rPr>
                <w:webHidden/>
              </w:rPr>
              <w:fldChar w:fldCharType="begin"/>
            </w:r>
            <w:r>
              <w:rPr>
                <w:webHidden/>
              </w:rPr>
              <w:instrText xml:space="preserve">PAGEREF _Toc207275720 \h</w:instrText>
            </w:r>
            <w:r>
              <w:rPr>
                <w:webHidden/>
              </w:rPr>
              <w:fldChar w:fldCharType="separate"/>
            </w:r>
            <w:r>
              <w:rPr>
                <w:rStyle w:val="Collegamentoindice"/>
                <w:rFonts w:ascii="Titillium" w:hAnsi="Titillium"/>
                <w:vanish w:val="false"/>
              </w:rPr>
              <w:t>8</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21">
            <w:r>
              <w:rPr>
                <w:rStyle w:val="Collegamentoindice"/>
                <w:rFonts w:ascii="Titillium" w:hAnsi="Titillium"/>
                <w:caps/>
              </w:rPr>
              <w:t>1.3.</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IDENTIFICAZIONE</w:t>
              <w:tab/>
            </w:r>
            <w:r>
              <w:rPr>
                <w:webHidden/>
              </w:rPr>
              <w:fldChar w:fldCharType="begin"/>
            </w:r>
            <w:r>
              <w:rPr>
                <w:webHidden/>
              </w:rPr>
              <w:instrText xml:space="preserve">PAGEREF _Toc207275721 \h</w:instrText>
            </w:r>
            <w:r>
              <w:rPr>
                <w:webHidden/>
              </w:rPr>
              <w:fldChar w:fldCharType="separate"/>
            </w:r>
            <w:r>
              <w:rPr>
                <w:rStyle w:val="Collegamentoindice"/>
                <w:rFonts w:ascii="Titillium" w:hAnsi="Titillium"/>
                <w:vanish w:val="false"/>
              </w:rPr>
              <w:t>8</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22">
            <w:r>
              <w:rPr>
                <w:rStyle w:val="Collegamentoindice"/>
                <w:rFonts w:ascii="Titillium" w:hAnsi="Titillium"/>
                <w:b/>
                <w:caps/>
              </w:rPr>
              <w:t>2.</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DOCUMENTAZIONE DI GARA, CHIARIMENTI E COMUNICAZIONI</w:t>
              <w:tab/>
            </w:r>
            <w:r>
              <w:rPr>
                <w:webHidden/>
              </w:rPr>
              <w:fldChar w:fldCharType="begin"/>
            </w:r>
            <w:r>
              <w:rPr>
                <w:webHidden/>
              </w:rPr>
              <w:instrText xml:space="preserve">PAGEREF _Toc207275722 \h</w:instrText>
            </w:r>
            <w:r>
              <w:rPr>
                <w:webHidden/>
              </w:rPr>
              <w:fldChar w:fldCharType="separate"/>
            </w:r>
            <w:r>
              <w:rPr>
                <w:rStyle w:val="Collegamentoindice"/>
                <w:rFonts w:ascii="Titillium" w:hAnsi="Titillium"/>
                <w:vanish w:val="false"/>
              </w:rPr>
              <w:t>9</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23">
            <w:r>
              <w:rPr>
                <w:rStyle w:val="Collegamentoindice"/>
                <w:rFonts w:ascii="Titillium" w:hAnsi="Titillium"/>
              </w:rPr>
              <w:t>2.1.</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DOCUMENTI DI GARA</w:t>
              <w:tab/>
            </w:r>
            <w:r>
              <w:rPr>
                <w:webHidden/>
              </w:rPr>
              <w:fldChar w:fldCharType="begin"/>
            </w:r>
            <w:r>
              <w:rPr>
                <w:webHidden/>
              </w:rPr>
              <w:instrText xml:space="preserve">PAGEREF _Toc207275723 \h</w:instrText>
            </w:r>
            <w:r>
              <w:rPr>
                <w:webHidden/>
              </w:rPr>
              <w:fldChar w:fldCharType="separate"/>
            </w:r>
            <w:r>
              <w:rPr>
                <w:rStyle w:val="Collegamentoindice"/>
                <w:rFonts w:ascii="Titillium" w:hAnsi="Titillium"/>
                <w:vanish w:val="false"/>
              </w:rPr>
              <w:t>9</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24">
            <w:r>
              <w:rPr>
                <w:rStyle w:val="Collegamentoindice"/>
                <w:rFonts w:ascii="Titillium" w:hAnsi="Titillium"/>
              </w:rPr>
              <w:t>2.2.</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CHIARIMENTI</w:t>
              <w:tab/>
            </w:r>
            <w:r>
              <w:rPr>
                <w:webHidden/>
              </w:rPr>
              <w:fldChar w:fldCharType="begin"/>
            </w:r>
            <w:r>
              <w:rPr>
                <w:webHidden/>
              </w:rPr>
              <w:instrText xml:space="preserve">PAGEREF _Toc207275724 \h</w:instrText>
            </w:r>
            <w:r>
              <w:rPr>
                <w:webHidden/>
              </w:rPr>
              <w:fldChar w:fldCharType="separate"/>
            </w:r>
            <w:r>
              <w:rPr>
                <w:rStyle w:val="Collegamentoindice"/>
                <w:rFonts w:ascii="Titillium" w:hAnsi="Titillium"/>
                <w:vanish w:val="false"/>
              </w:rPr>
              <w:t>9</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25">
            <w:r>
              <w:rPr>
                <w:rStyle w:val="Collegamentoindice"/>
                <w:rFonts w:ascii="Titillium" w:hAnsi="Titillium"/>
                <w:caps/>
              </w:rPr>
              <w:t>2.3.</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COMUNICAZIONI</w:t>
              <w:tab/>
            </w:r>
            <w:r>
              <w:rPr>
                <w:webHidden/>
              </w:rPr>
              <w:fldChar w:fldCharType="begin"/>
            </w:r>
            <w:r>
              <w:rPr>
                <w:webHidden/>
              </w:rPr>
              <w:instrText xml:space="preserve">PAGEREF _Toc207275725 \h</w:instrText>
            </w:r>
            <w:r>
              <w:rPr>
                <w:webHidden/>
              </w:rPr>
              <w:fldChar w:fldCharType="separate"/>
            </w:r>
            <w:r>
              <w:rPr>
                <w:rStyle w:val="Collegamentoindice"/>
                <w:rFonts w:ascii="Titillium" w:hAnsi="Titillium"/>
                <w:vanish w:val="false"/>
              </w:rPr>
              <w:t>10</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26">
            <w:r>
              <w:rPr>
                <w:rStyle w:val="Collegamentoindice"/>
                <w:rFonts w:ascii="Titillium" w:hAnsi="Titillium"/>
                <w:b/>
              </w:rPr>
              <w:t>3.</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OGGETTO DELL’APPALTO, IMPORTO E SUDDIVISIONE IN LOTTI</w:t>
              <w:tab/>
            </w:r>
            <w:r>
              <w:rPr>
                <w:webHidden/>
              </w:rPr>
              <w:fldChar w:fldCharType="begin"/>
            </w:r>
            <w:r>
              <w:rPr>
                <w:webHidden/>
              </w:rPr>
              <w:instrText xml:space="preserve">PAGEREF _Toc207275726 \h</w:instrText>
            </w:r>
            <w:r>
              <w:rPr>
                <w:webHidden/>
              </w:rPr>
              <w:fldChar w:fldCharType="separate"/>
            </w:r>
            <w:r>
              <w:rPr>
                <w:rStyle w:val="Collegamentoindice"/>
                <w:rFonts w:ascii="Titillium" w:hAnsi="Titillium"/>
                <w:vanish w:val="false"/>
              </w:rPr>
              <w:t>10</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27">
            <w:r>
              <w:rPr>
                <w:rStyle w:val="Collegamentoindice"/>
                <w:rFonts w:ascii="Titillium" w:hAnsi="Titillium"/>
              </w:rPr>
              <w:t>3.1.</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DURATA</w:t>
              <w:tab/>
            </w:r>
            <w:r>
              <w:rPr>
                <w:webHidden/>
              </w:rPr>
              <w:fldChar w:fldCharType="begin"/>
            </w:r>
            <w:r>
              <w:rPr>
                <w:webHidden/>
              </w:rPr>
              <w:instrText xml:space="preserve">PAGEREF _Toc207275727 \h</w:instrText>
            </w:r>
            <w:r>
              <w:rPr>
                <w:webHidden/>
              </w:rPr>
              <w:fldChar w:fldCharType="separate"/>
            </w:r>
            <w:r>
              <w:rPr>
                <w:rStyle w:val="Collegamentoindice"/>
                <w:rFonts w:ascii="Titillium" w:hAnsi="Titillium"/>
                <w:vanish w:val="false"/>
              </w:rPr>
              <w:t>13</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28">
            <w:r>
              <w:rPr>
                <w:rStyle w:val="Collegamentoindice"/>
                <w:rFonts w:ascii="Titillium" w:hAnsi="Titillium"/>
                <w:b/>
                <w:bCs/>
              </w:rPr>
              <w:t>3.2.</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REVISIONE PREZZI</w:t>
              <w:tab/>
            </w:r>
            <w:r>
              <w:rPr>
                <w:webHidden/>
              </w:rPr>
              <w:fldChar w:fldCharType="begin"/>
            </w:r>
            <w:r>
              <w:rPr>
                <w:webHidden/>
              </w:rPr>
              <w:instrText xml:space="preserve">PAGEREF _Toc207275728 \h</w:instrText>
            </w:r>
            <w:r>
              <w:rPr>
                <w:webHidden/>
              </w:rPr>
              <w:fldChar w:fldCharType="separate"/>
            </w:r>
            <w:r>
              <w:rPr>
                <w:rStyle w:val="Collegamentoindice"/>
                <w:rFonts w:ascii="Titillium" w:hAnsi="Titillium"/>
                <w:vanish w:val="false"/>
              </w:rPr>
              <w:t>13</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29">
            <w:r>
              <w:rPr>
                <w:rStyle w:val="Collegamentoindice"/>
                <w:rFonts w:ascii="Titillium" w:hAnsi="Titillium"/>
              </w:rPr>
              <w:t>3.3.</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MODIFICA DEL CONTRATTO IN FASE DI ESECUZIONE</w:t>
              <w:tab/>
            </w:r>
            <w:r>
              <w:rPr>
                <w:webHidden/>
              </w:rPr>
              <w:fldChar w:fldCharType="begin"/>
            </w:r>
            <w:r>
              <w:rPr>
                <w:webHidden/>
              </w:rPr>
              <w:instrText xml:space="preserve">PAGEREF _Toc207275729 \h</w:instrText>
            </w:r>
            <w:r>
              <w:rPr>
                <w:webHidden/>
              </w:rPr>
              <w:fldChar w:fldCharType="separate"/>
            </w:r>
            <w:r>
              <w:rPr>
                <w:rStyle w:val="Collegamentoindice"/>
                <w:rFonts w:ascii="Titillium" w:hAnsi="Titillium"/>
                <w:vanish w:val="false"/>
              </w:rPr>
              <w:t>14</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30">
            <w:r>
              <w:rPr>
                <w:rStyle w:val="Collegamentoindice"/>
                <w:rFonts w:ascii="Titillium" w:hAnsi="Titillium"/>
                <w:b/>
                <w:iCs/>
              </w:rPr>
              <w:t>4.</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SOGGETTI AMMESSI IN FORMA SINGOLA E ASSOCIATA E CONDIZIONI DI PARTECIPAZIONE</w:t>
              <w:tab/>
            </w:r>
            <w:r>
              <w:rPr>
                <w:webHidden/>
              </w:rPr>
              <w:fldChar w:fldCharType="begin"/>
            </w:r>
            <w:r>
              <w:rPr>
                <w:webHidden/>
              </w:rPr>
              <w:instrText xml:space="preserve">PAGEREF _Toc207275730 \h</w:instrText>
            </w:r>
            <w:r>
              <w:rPr>
                <w:webHidden/>
              </w:rPr>
              <w:fldChar w:fldCharType="separate"/>
            </w:r>
            <w:r>
              <w:rPr>
                <w:rStyle w:val="Collegamentoindice"/>
                <w:rFonts w:ascii="Titillium" w:hAnsi="Titillium"/>
                <w:vanish w:val="false"/>
              </w:rPr>
              <w:t>15</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31">
            <w:r>
              <w:rPr>
                <w:rStyle w:val="Collegamentoindice"/>
                <w:rFonts w:ascii="Titillium" w:hAnsi="Titillium"/>
                <w:b/>
              </w:rPr>
              <w:t>5.</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REQUISITI DI ORDINE GENERALE E ALTRE CAUSE DI ESCLUSIONE</w:t>
              <w:tab/>
            </w:r>
            <w:r>
              <w:rPr>
                <w:webHidden/>
              </w:rPr>
              <w:fldChar w:fldCharType="begin"/>
            </w:r>
            <w:r>
              <w:rPr>
                <w:webHidden/>
              </w:rPr>
              <w:instrText xml:space="preserve">PAGEREF _Toc207275731 \h</w:instrText>
            </w:r>
            <w:r>
              <w:rPr>
                <w:webHidden/>
              </w:rPr>
              <w:fldChar w:fldCharType="separate"/>
            </w:r>
            <w:r>
              <w:rPr>
                <w:rStyle w:val="Collegamentoindice"/>
                <w:rFonts w:ascii="Titillium" w:hAnsi="Titillium"/>
                <w:vanish w:val="false"/>
              </w:rPr>
              <w:t>17</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32">
            <w:r>
              <w:rPr>
                <w:rStyle w:val="Collegamentoindice"/>
                <w:rFonts w:ascii="Titillium" w:hAnsi="Titillium"/>
                <w:b/>
              </w:rPr>
              <w:t>6.</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REQUISITI DI ORDINE SPECIALE E MEZZI DI PROVA</w:t>
              <w:tab/>
            </w:r>
            <w:r>
              <w:rPr>
                <w:webHidden/>
              </w:rPr>
              <w:fldChar w:fldCharType="begin"/>
            </w:r>
            <w:r>
              <w:rPr>
                <w:webHidden/>
              </w:rPr>
              <w:instrText xml:space="preserve">PAGEREF _Toc207275732 \h</w:instrText>
            </w:r>
            <w:r>
              <w:rPr>
                <w:webHidden/>
              </w:rPr>
              <w:fldChar w:fldCharType="separate"/>
            </w:r>
            <w:r>
              <w:rPr>
                <w:rStyle w:val="Collegamentoindice"/>
                <w:rFonts w:ascii="Titillium" w:hAnsi="Titillium"/>
                <w:vanish w:val="false"/>
              </w:rPr>
              <w:t>18</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33">
            <w:r>
              <w:rPr>
                <w:rStyle w:val="Collegamentoindice"/>
                <w:rFonts w:ascii="Titillium" w:hAnsi="Titillium"/>
              </w:rPr>
              <w:t>6.1.</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REQUISITI DI IDONEITÀ PROFESSIONALE</w:t>
              <w:tab/>
            </w:r>
            <w:r>
              <w:rPr>
                <w:webHidden/>
              </w:rPr>
              <w:fldChar w:fldCharType="begin"/>
            </w:r>
            <w:r>
              <w:rPr>
                <w:webHidden/>
              </w:rPr>
              <w:instrText xml:space="preserve">PAGEREF _Toc207275733 \h</w:instrText>
            </w:r>
            <w:r>
              <w:rPr>
                <w:webHidden/>
              </w:rPr>
              <w:fldChar w:fldCharType="separate"/>
            </w:r>
            <w:r>
              <w:rPr>
                <w:rStyle w:val="Collegamentoindice"/>
                <w:rFonts w:ascii="Titillium" w:hAnsi="Titillium"/>
                <w:vanish w:val="false"/>
              </w:rPr>
              <w:t>18</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34">
            <w:r>
              <w:rPr>
                <w:rStyle w:val="Collegamentoindice"/>
                <w:rFonts w:ascii="Titillium" w:hAnsi="Titillium"/>
              </w:rPr>
              <w:t>6.2.</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REQUISITI DI CAPACITÀ ECONOMICA E FINANZIARIA</w:t>
              <w:tab/>
            </w:r>
            <w:r>
              <w:rPr>
                <w:webHidden/>
              </w:rPr>
              <w:fldChar w:fldCharType="begin"/>
            </w:r>
            <w:r>
              <w:rPr>
                <w:webHidden/>
              </w:rPr>
              <w:instrText xml:space="preserve">PAGEREF _Toc207275734 \h</w:instrText>
            </w:r>
            <w:r>
              <w:rPr>
                <w:webHidden/>
              </w:rPr>
              <w:fldChar w:fldCharType="separate"/>
            </w:r>
            <w:r>
              <w:rPr>
                <w:rStyle w:val="Collegamentoindice"/>
                <w:rFonts w:ascii="Titillium" w:hAnsi="Titillium"/>
                <w:vanish w:val="false"/>
              </w:rPr>
              <w:t>19</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35">
            <w:r>
              <w:rPr>
                <w:rStyle w:val="Collegamentoindice"/>
                <w:rFonts w:ascii="Titillium" w:hAnsi="Titillium"/>
              </w:rPr>
              <w:t>6.3.</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REQUISITI DI CAPACITÀ TECNICA E PROFESSIONALE</w:t>
              <w:tab/>
            </w:r>
            <w:r>
              <w:rPr>
                <w:webHidden/>
              </w:rPr>
              <w:fldChar w:fldCharType="begin"/>
            </w:r>
            <w:r>
              <w:rPr>
                <w:webHidden/>
              </w:rPr>
              <w:instrText xml:space="preserve">PAGEREF _Toc207275735 \h</w:instrText>
            </w:r>
            <w:r>
              <w:rPr>
                <w:webHidden/>
              </w:rPr>
              <w:fldChar w:fldCharType="separate"/>
            </w:r>
            <w:r>
              <w:rPr>
                <w:rStyle w:val="Collegamentoindice"/>
                <w:rFonts w:ascii="Titillium" w:hAnsi="Titillium"/>
                <w:vanish w:val="false"/>
              </w:rPr>
              <w:t>19</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36">
            <w:r>
              <w:rPr>
                <w:rStyle w:val="Collegamentoindice"/>
                <w:rFonts w:ascii="Titillium" w:hAnsi="Titillium"/>
                <w:caps/>
              </w:rPr>
              <w:t>6.4.</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INDICAZIONI SUI REQUISITI SPECIALI NEI RAGGRUPPAMENTI TEMPORANEI, CONSORZI ORDINARI, AGGREGAZIONI DI IMPRESE DI RETE, GEIE</w:t>
              <w:tab/>
            </w:r>
            <w:r>
              <w:rPr>
                <w:webHidden/>
              </w:rPr>
              <w:fldChar w:fldCharType="begin"/>
            </w:r>
            <w:r>
              <w:rPr>
                <w:webHidden/>
              </w:rPr>
              <w:instrText xml:space="preserve">PAGEREF _Toc207275736 \h</w:instrText>
            </w:r>
            <w:r>
              <w:rPr>
                <w:webHidden/>
              </w:rPr>
              <w:fldChar w:fldCharType="separate"/>
            </w:r>
            <w:r>
              <w:rPr>
                <w:rStyle w:val="Collegamentoindice"/>
                <w:rFonts w:ascii="Titillium" w:hAnsi="Titillium"/>
                <w:vanish w:val="false"/>
              </w:rPr>
              <w:t>20</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37">
            <w:r>
              <w:rPr>
                <w:rStyle w:val="Collegamentoindice"/>
                <w:rFonts w:ascii="Titillium" w:hAnsi="Titillium"/>
                <w:caps/>
              </w:rPr>
              <w:t>6.5.</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INDICAZIONI SUI REQUISITI SPECIALI NEI CONSORZI DI COOPERATIVE, CONSORZI DI IMPRESE ARTIGIANE, CONSORZI STABILI</w:t>
              <w:tab/>
            </w:r>
            <w:r>
              <w:rPr>
                <w:webHidden/>
              </w:rPr>
              <w:fldChar w:fldCharType="begin"/>
            </w:r>
            <w:r>
              <w:rPr>
                <w:webHidden/>
              </w:rPr>
              <w:instrText xml:space="preserve">PAGEREF _Toc207275737 \h</w:instrText>
            </w:r>
            <w:r>
              <w:rPr>
                <w:webHidden/>
              </w:rPr>
              <w:fldChar w:fldCharType="separate"/>
            </w:r>
            <w:r>
              <w:rPr>
                <w:rStyle w:val="Collegamentoindice"/>
                <w:rFonts w:ascii="Titillium" w:hAnsi="Titillium"/>
                <w:vanish w:val="false"/>
              </w:rPr>
              <w:t>21</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38">
            <w:r>
              <w:rPr>
                <w:rStyle w:val="Collegamentoindice"/>
                <w:rFonts w:ascii="Titillium" w:hAnsi="Titillium"/>
                <w:b/>
              </w:rPr>
              <w:t>7.</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AVVALIMENTO</w:t>
              <w:tab/>
            </w:r>
            <w:r>
              <w:rPr>
                <w:webHidden/>
              </w:rPr>
              <w:fldChar w:fldCharType="begin"/>
            </w:r>
            <w:r>
              <w:rPr>
                <w:webHidden/>
              </w:rPr>
              <w:instrText xml:space="preserve">PAGEREF _Toc207275738 \h</w:instrText>
            </w:r>
            <w:r>
              <w:rPr>
                <w:webHidden/>
              </w:rPr>
              <w:fldChar w:fldCharType="separate"/>
            </w:r>
            <w:r>
              <w:rPr>
                <w:rStyle w:val="Collegamentoindice"/>
                <w:rFonts w:ascii="Titillium" w:hAnsi="Titillium"/>
                <w:vanish w:val="false"/>
              </w:rPr>
              <w:t>21</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39">
            <w:r>
              <w:rPr>
                <w:rStyle w:val="Collegamentoindice"/>
                <w:rFonts w:ascii="Titillium" w:hAnsi="Titillium"/>
                <w:b/>
              </w:rPr>
              <w:t>8.</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SUBAPPALTO</w:t>
              <w:tab/>
            </w:r>
            <w:r>
              <w:rPr>
                <w:webHidden/>
              </w:rPr>
              <w:fldChar w:fldCharType="begin"/>
            </w:r>
            <w:r>
              <w:rPr>
                <w:webHidden/>
              </w:rPr>
              <w:instrText xml:space="preserve">PAGEREF _Toc207275739 \h</w:instrText>
            </w:r>
            <w:r>
              <w:rPr>
                <w:webHidden/>
              </w:rPr>
              <w:fldChar w:fldCharType="separate"/>
            </w:r>
            <w:r>
              <w:rPr>
                <w:rStyle w:val="Collegamentoindice"/>
                <w:rFonts w:ascii="Titillium" w:hAnsi="Titillium"/>
                <w:vanish w:val="false"/>
              </w:rPr>
              <w:t>22</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40">
            <w:r>
              <w:rPr>
                <w:rStyle w:val="Collegamentoindice"/>
                <w:rFonts w:cs="Calibri" w:ascii="Titillium" w:hAnsi="Titillium"/>
                <w:b/>
              </w:rPr>
              <w:t>9.</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REQUISITI DI PARTECIPAZIONE E/O CONDIZIONI DI ESECUZIONE</w:t>
              <w:tab/>
            </w:r>
            <w:r>
              <w:rPr>
                <w:webHidden/>
              </w:rPr>
              <w:fldChar w:fldCharType="begin"/>
            </w:r>
            <w:r>
              <w:rPr>
                <w:webHidden/>
              </w:rPr>
              <w:instrText xml:space="preserve">PAGEREF _Toc207275740 \h</w:instrText>
            </w:r>
            <w:r>
              <w:rPr>
                <w:webHidden/>
              </w:rPr>
              <w:fldChar w:fldCharType="separate"/>
            </w:r>
            <w:r>
              <w:rPr>
                <w:rStyle w:val="Collegamentoindice"/>
                <w:rFonts w:ascii="Titillium" w:hAnsi="Titillium"/>
                <w:vanish w:val="false"/>
              </w:rPr>
              <w:t>23</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41">
            <w:r>
              <w:rPr>
                <w:rStyle w:val="Collegamentoindice"/>
                <w:rFonts w:ascii="Titillium" w:hAnsi="Titillium"/>
              </w:rPr>
              <w:t>9.1.</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SOVVENZIONI ESTERE DISTORSIVE</w:t>
              <w:tab/>
            </w:r>
            <w:r>
              <w:rPr>
                <w:webHidden/>
              </w:rPr>
              <w:fldChar w:fldCharType="begin"/>
            </w:r>
            <w:r>
              <w:rPr>
                <w:webHidden/>
              </w:rPr>
              <w:instrText xml:space="preserve">PAGEREF _Toc207275741 \h</w:instrText>
            </w:r>
            <w:r>
              <w:rPr>
                <w:webHidden/>
              </w:rPr>
              <w:fldChar w:fldCharType="separate"/>
            </w:r>
            <w:r>
              <w:rPr>
                <w:rStyle w:val="Collegamentoindice"/>
                <w:rFonts w:ascii="Titillium" w:hAnsi="Titillium"/>
                <w:vanish w:val="false"/>
              </w:rPr>
              <w:t>25</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42">
            <w:r>
              <w:rPr>
                <w:rStyle w:val="Collegamentoindice"/>
                <w:rFonts w:ascii="Titillium" w:hAnsi="Titillium"/>
                <w:b/>
              </w:rPr>
              <w:t>10.</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GARANZIA PROVVISORIA</w:t>
              <w:tab/>
            </w:r>
            <w:r>
              <w:rPr>
                <w:webHidden/>
              </w:rPr>
              <w:fldChar w:fldCharType="begin"/>
            </w:r>
            <w:r>
              <w:rPr>
                <w:webHidden/>
              </w:rPr>
              <w:instrText xml:space="preserve">PAGEREF _Toc207275742 \h</w:instrText>
            </w:r>
            <w:r>
              <w:rPr>
                <w:webHidden/>
              </w:rPr>
              <w:fldChar w:fldCharType="separate"/>
            </w:r>
            <w:r>
              <w:rPr>
                <w:rStyle w:val="Collegamentoindice"/>
                <w:rFonts w:ascii="Titillium" w:hAnsi="Titillium"/>
                <w:vanish w:val="false"/>
              </w:rPr>
              <w:t>26</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43">
            <w:r>
              <w:rPr>
                <w:rStyle w:val="Collegamentoindice"/>
                <w:rFonts w:ascii="Titillium" w:hAnsi="Titillium"/>
                <w:b/>
              </w:rPr>
              <w:t>11.</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SOPRALLUOGO [Facoltativo]</w:t>
              <w:tab/>
            </w:r>
            <w:r>
              <w:rPr>
                <w:webHidden/>
              </w:rPr>
              <w:fldChar w:fldCharType="begin"/>
            </w:r>
            <w:r>
              <w:rPr>
                <w:webHidden/>
              </w:rPr>
              <w:instrText xml:space="preserve">PAGEREF _Toc207275743 \h</w:instrText>
            </w:r>
            <w:r>
              <w:rPr>
                <w:webHidden/>
              </w:rPr>
              <w:fldChar w:fldCharType="separate"/>
            </w:r>
            <w:r>
              <w:rPr>
                <w:rStyle w:val="Collegamentoindice"/>
                <w:rFonts w:ascii="Titillium" w:hAnsi="Titillium"/>
                <w:vanish w:val="false"/>
              </w:rPr>
              <w:t>28</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44">
            <w:r>
              <w:rPr>
                <w:rStyle w:val="Collegamentoindice"/>
                <w:rFonts w:ascii="Titillium" w:hAnsi="Titillium"/>
                <w:b/>
              </w:rPr>
              <w:t>12.</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PAGAMENTO DEL CONTRIBUTO A FAVORE DELL’</w:t>
            </w:r>
            <w:r>
              <w:rPr>
                <w:rStyle w:val="Collegamentoindice"/>
                <w:rFonts w:cs="Calibri" w:ascii="Titillium" w:hAnsi="Titillium"/>
              </w:rPr>
              <w:t>ANAC</w:t>
            </w:r>
            <w:r>
              <w:rPr>
                <w:rStyle w:val="Collegamentoindice"/>
                <w:rFonts w:ascii="Titillium" w:hAnsi="Titillium"/>
              </w:rPr>
              <w:tab/>
            </w:r>
            <w:r>
              <w:rPr>
                <w:webHidden/>
              </w:rPr>
              <w:fldChar w:fldCharType="begin"/>
            </w:r>
            <w:r>
              <w:rPr>
                <w:webHidden/>
              </w:rPr>
              <w:instrText xml:space="preserve">PAGEREF _Toc207275744 \h</w:instrText>
            </w:r>
            <w:r>
              <w:rPr>
                <w:webHidden/>
              </w:rPr>
              <w:fldChar w:fldCharType="separate"/>
            </w:r>
            <w:r>
              <w:rPr>
                <w:rStyle w:val="Collegamentoindice"/>
                <w:rFonts w:ascii="Titillium" w:hAnsi="Titillium"/>
                <w:vanish w:val="false"/>
              </w:rPr>
              <w:t>29</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45">
            <w:r>
              <w:rPr>
                <w:rStyle w:val="Collegamentoindice"/>
                <w:rFonts w:ascii="Titillium" w:hAnsi="Titillium"/>
                <w:b/>
              </w:rPr>
              <w:t>13.</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MODALITÀ DI PRESENTAZIONE DELL’OFFERTA E SOTTOSCRIZIONE DEI DOCUMENTI DI GARA</w:t>
              <w:tab/>
            </w:r>
            <w:r>
              <w:rPr>
                <w:webHidden/>
              </w:rPr>
              <w:fldChar w:fldCharType="begin"/>
            </w:r>
            <w:r>
              <w:rPr>
                <w:webHidden/>
              </w:rPr>
              <w:instrText xml:space="preserve">PAGEREF _Toc207275745 \h</w:instrText>
            </w:r>
            <w:r>
              <w:rPr>
                <w:webHidden/>
              </w:rPr>
              <w:fldChar w:fldCharType="separate"/>
            </w:r>
            <w:r>
              <w:rPr>
                <w:rStyle w:val="Collegamentoindice"/>
                <w:rFonts w:ascii="Titillium" w:hAnsi="Titillium"/>
                <w:vanish w:val="false"/>
              </w:rPr>
              <w:t>29</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46">
            <w:r>
              <w:rPr>
                <w:rStyle w:val="Collegamentoindice"/>
                <w:rFonts w:ascii="Titillium" w:hAnsi="Titillium"/>
              </w:rPr>
              <w:t>13.1.</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REGOLE PER LA PRESENTAZIONE DELL’OFFERTA</w:t>
              <w:tab/>
            </w:r>
            <w:r>
              <w:rPr>
                <w:webHidden/>
              </w:rPr>
              <w:fldChar w:fldCharType="begin"/>
            </w:r>
            <w:r>
              <w:rPr>
                <w:webHidden/>
              </w:rPr>
              <w:instrText xml:space="preserve">PAGEREF _Toc207275746 \h</w:instrText>
            </w:r>
            <w:r>
              <w:rPr>
                <w:webHidden/>
              </w:rPr>
              <w:fldChar w:fldCharType="separate"/>
            </w:r>
            <w:r>
              <w:rPr>
                <w:rStyle w:val="Collegamentoindice"/>
                <w:rFonts w:ascii="Titillium" w:hAnsi="Titillium"/>
                <w:vanish w:val="false"/>
              </w:rPr>
              <w:t>30</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47">
            <w:r>
              <w:rPr>
                <w:rStyle w:val="Collegamentoindice"/>
                <w:rFonts w:ascii="Titillium" w:hAnsi="Titillium"/>
                <w:b/>
              </w:rPr>
              <w:t>14.</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SOCCORSO ISTRUTTORIO</w:t>
              <w:tab/>
            </w:r>
            <w:r>
              <w:rPr>
                <w:webHidden/>
              </w:rPr>
              <w:fldChar w:fldCharType="begin"/>
            </w:r>
            <w:r>
              <w:rPr>
                <w:webHidden/>
              </w:rPr>
              <w:instrText xml:space="preserve">PAGEREF _Toc207275747 \h</w:instrText>
            </w:r>
            <w:r>
              <w:rPr>
                <w:webHidden/>
              </w:rPr>
              <w:fldChar w:fldCharType="separate"/>
            </w:r>
            <w:r>
              <w:rPr>
                <w:rStyle w:val="Collegamentoindice"/>
                <w:rFonts w:ascii="Titillium" w:hAnsi="Titillium"/>
                <w:vanish w:val="false"/>
              </w:rPr>
              <w:t>31</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48">
            <w:r>
              <w:rPr>
                <w:rStyle w:val="Collegamentoindice"/>
                <w:rFonts w:ascii="Titillium" w:hAnsi="Titillium"/>
                <w:b/>
              </w:rPr>
              <w:t>15.</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DOMANDA DI PARTECIPAZIONE E DOCUMENTAZIONE AMMINISTRATIVA</w:t>
              <w:tab/>
            </w:r>
            <w:r>
              <w:rPr>
                <w:webHidden/>
              </w:rPr>
              <w:fldChar w:fldCharType="begin"/>
            </w:r>
            <w:r>
              <w:rPr>
                <w:webHidden/>
              </w:rPr>
              <w:instrText xml:space="preserve">PAGEREF _Toc207275748 \h</w:instrText>
            </w:r>
            <w:r>
              <w:rPr>
                <w:webHidden/>
              </w:rPr>
              <w:fldChar w:fldCharType="separate"/>
            </w:r>
            <w:r>
              <w:rPr>
                <w:rStyle w:val="Collegamentoindice"/>
                <w:rFonts w:ascii="Titillium" w:hAnsi="Titillium"/>
                <w:vanish w:val="false"/>
              </w:rPr>
              <w:t>32</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49">
            <w:r>
              <w:rPr>
                <w:rStyle w:val="Collegamentoindice"/>
                <w:rFonts w:ascii="Titillium" w:hAnsi="Titillium"/>
              </w:rPr>
              <w:t>15.1.</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DOMANDA DI PARTECIPAZIONE ED EVENTUALE PROCURA</w:t>
              <w:tab/>
            </w:r>
            <w:r>
              <w:rPr>
                <w:webHidden/>
              </w:rPr>
              <w:fldChar w:fldCharType="begin"/>
            </w:r>
            <w:r>
              <w:rPr>
                <w:webHidden/>
              </w:rPr>
              <w:instrText xml:space="preserve">PAGEREF _Toc207275749 \h</w:instrText>
            </w:r>
            <w:r>
              <w:rPr>
                <w:webHidden/>
              </w:rPr>
              <w:fldChar w:fldCharType="separate"/>
            </w:r>
            <w:r>
              <w:rPr>
                <w:rStyle w:val="Collegamentoindice"/>
                <w:rFonts w:ascii="Titillium" w:hAnsi="Titillium"/>
                <w:vanish w:val="false"/>
              </w:rPr>
              <w:t>33</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50">
            <w:r>
              <w:rPr>
                <w:rStyle w:val="Collegamentoindice"/>
                <w:rFonts w:ascii="Titillium" w:hAnsi="Titillium"/>
              </w:rPr>
              <w:t>15.2.</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DICHIARAZIONI DA RENDERE A CURA DEGLI OPERATORI ECONOMICI AMMESSI AL CONCORDATO PREVENTIVO CON CONTINUITÀ AZIENDALE DI CUI ALL’ARTICOLO 372 del DECRETO LEGISLATIVO 12 GENNAIO 2019, n. 14</w:t>
              <w:tab/>
            </w:r>
            <w:r>
              <w:rPr>
                <w:webHidden/>
              </w:rPr>
              <w:fldChar w:fldCharType="begin"/>
            </w:r>
            <w:r>
              <w:rPr>
                <w:webHidden/>
              </w:rPr>
              <w:instrText xml:space="preserve">PAGEREF _Toc207275750 \h</w:instrText>
            </w:r>
            <w:r>
              <w:rPr>
                <w:webHidden/>
              </w:rPr>
              <w:fldChar w:fldCharType="separate"/>
            </w:r>
            <w:r>
              <w:rPr>
                <w:rStyle w:val="Collegamentoindice"/>
                <w:rFonts w:ascii="Titillium" w:hAnsi="Titillium"/>
                <w:vanish w:val="false"/>
              </w:rPr>
              <w:t>34</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51">
            <w:r>
              <w:rPr>
                <w:rStyle w:val="Collegamentoindice"/>
                <w:rFonts w:ascii="Titillium" w:hAnsi="Titillium"/>
              </w:rPr>
              <w:t>15.3.</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DICHIARAZIONI DA RENDERE NEL DGUE</w:t>
              <w:tab/>
            </w:r>
            <w:r>
              <w:rPr>
                <w:webHidden/>
              </w:rPr>
              <w:fldChar w:fldCharType="begin"/>
            </w:r>
            <w:r>
              <w:rPr>
                <w:webHidden/>
              </w:rPr>
              <w:instrText xml:space="preserve">PAGEREF _Toc207275751 \h</w:instrText>
            </w:r>
            <w:r>
              <w:rPr>
                <w:webHidden/>
              </w:rPr>
              <w:fldChar w:fldCharType="separate"/>
            </w:r>
            <w:r>
              <w:rPr>
                <w:rStyle w:val="Collegamentoindice"/>
                <w:rFonts w:ascii="Titillium" w:hAnsi="Titillium"/>
                <w:vanish w:val="false"/>
              </w:rPr>
              <w:t>34</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52">
            <w:r>
              <w:rPr>
                <w:rStyle w:val="Collegamentoindice"/>
                <w:rFonts w:ascii="Titillium" w:hAnsi="Titillium"/>
              </w:rPr>
              <w:t>15.4.</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DOCUMENTAZIONE IN CASO DI AVVALIMENTO</w:t>
              <w:tab/>
            </w:r>
            <w:r>
              <w:rPr>
                <w:webHidden/>
              </w:rPr>
              <w:fldChar w:fldCharType="begin"/>
            </w:r>
            <w:r>
              <w:rPr>
                <w:webHidden/>
              </w:rPr>
              <w:instrText xml:space="preserve">PAGEREF _Toc207275752 \h</w:instrText>
            </w:r>
            <w:r>
              <w:rPr>
                <w:webHidden/>
              </w:rPr>
              <w:fldChar w:fldCharType="separate"/>
            </w:r>
            <w:r>
              <w:rPr>
                <w:rStyle w:val="Collegamentoindice"/>
                <w:rFonts w:ascii="Titillium" w:hAnsi="Titillium"/>
                <w:vanish w:val="false"/>
              </w:rPr>
              <w:t>35</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53">
            <w:r>
              <w:rPr>
                <w:rStyle w:val="Collegamentoindice"/>
                <w:rFonts w:ascii="Titillium" w:hAnsi="Titillium"/>
              </w:rPr>
              <w:t>15.5.</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DOCUMENTAZIONE ULTERIORE PER I SOGGETTI ASSOCIATI</w:t>
              <w:tab/>
            </w:r>
            <w:r>
              <w:rPr>
                <w:webHidden/>
              </w:rPr>
              <w:fldChar w:fldCharType="begin"/>
            </w:r>
            <w:r>
              <w:rPr>
                <w:webHidden/>
              </w:rPr>
              <w:instrText xml:space="preserve">PAGEREF _Toc207275753 \h</w:instrText>
            </w:r>
            <w:r>
              <w:rPr>
                <w:webHidden/>
              </w:rPr>
              <w:fldChar w:fldCharType="separate"/>
            </w:r>
            <w:r>
              <w:rPr>
                <w:rStyle w:val="Collegamentoindice"/>
                <w:rFonts w:ascii="Titillium" w:hAnsi="Titillium"/>
                <w:vanish w:val="false"/>
              </w:rPr>
              <w:t>35</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54">
            <w:r>
              <w:rPr>
                <w:rStyle w:val="Collegamentoindice"/>
                <w:rFonts w:ascii="Titillium" w:hAnsi="Titillium"/>
                <w:b/>
              </w:rPr>
              <w:t>16.</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OFFERTA TECNICA</w:t>
              <w:tab/>
            </w:r>
            <w:r>
              <w:rPr>
                <w:webHidden/>
              </w:rPr>
              <w:fldChar w:fldCharType="begin"/>
            </w:r>
            <w:r>
              <w:rPr>
                <w:webHidden/>
              </w:rPr>
              <w:instrText xml:space="preserve">PAGEREF _Toc207275754 \h</w:instrText>
            </w:r>
            <w:r>
              <w:rPr>
                <w:webHidden/>
              </w:rPr>
              <w:fldChar w:fldCharType="separate"/>
            </w:r>
            <w:r>
              <w:rPr>
                <w:rStyle w:val="Collegamentoindice"/>
                <w:rFonts w:ascii="Titillium" w:hAnsi="Titillium"/>
                <w:vanish w:val="false"/>
              </w:rPr>
              <w:t>37</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55">
            <w:r>
              <w:rPr>
                <w:rStyle w:val="Collegamentoindice"/>
                <w:rFonts w:ascii="Titillium" w:hAnsi="Titillium"/>
                <w:b/>
              </w:rPr>
              <w:t>17.</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OFFERTA ECONOMICA</w:t>
              <w:tab/>
            </w:r>
            <w:r>
              <w:rPr>
                <w:webHidden/>
              </w:rPr>
              <w:fldChar w:fldCharType="begin"/>
            </w:r>
            <w:r>
              <w:rPr>
                <w:webHidden/>
              </w:rPr>
              <w:instrText xml:space="preserve">PAGEREF _Toc207275755 \h</w:instrText>
            </w:r>
            <w:r>
              <w:rPr>
                <w:webHidden/>
              </w:rPr>
              <w:fldChar w:fldCharType="separate"/>
            </w:r>
            <w:r>
              <w:rPr>
                <w:rStyle w:val="Collegamentoindice"/>
                <w:rFonts w:ascii="Titillium" w:hAnsi="Titillium"/>
                <w:vanish w:val="false"/>
              </w:rPr>
              <w:t>38</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56">
            <w:r>
              <w:rPr>
                <w:rStyle w:val="Collegamentoindice"/>
                <w:rFonts w:ascii="Titillium" w:hAnsi="Titillium"/>
                <w:b/>
              </w:rPr>
              <w:t>18.</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CRITERIO DI AGGIUDICAZIONE</w:t>
              <w:tab/>
            </w:r>
            <w:r>
              <w:rPr>
                <w:webHidden/>
              </w:rPr>
              <w:fldChar w:fldCharType="begin"/>
            </w:r>
            <w:r>
              <w:rPr>
                <w:webHidden/>
              </w:rPr>
              <w:instrText xml:space="preserve">PAGEREF _Toc207275756 \h</w:instrText>
            </w:r>
            <w:r>
              <w:rPr>
                <w:webHidden/>
              </w:rPr>
              <w:fldChar w:fldCharType="separate"/>
            </w:r>
            <w:r>
              <w:rPr>
                <w:rStyle w:val="Collegamentoindice"/>
                <w:rFonts w:ascii="Titillium" w:hAnsi="Titillium"/>
                <w:vanish w:val="false"/>
              </w:rPr>
              <w:t>39</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57">
            <w:r>
              <w:rPr>
                <w:rStyle w:val="Collegamentoindice"/>
                <w:rFonts w:ascii="Titillium" w:hAnsi="Titillium"/>
              </w:rPr>
              <w:t>18.1.</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CRITERI DI VALUTAZIONE DELL’OFFERTA TECNICA</w:t>
              <w:tab/>
            </w:r>
            <w:r>
              <w:rPr>
                <w:webHidden/>
              </w:rPr>
              <w:fldChar w:fldCharType="begin"/>
            </w:r>
            <w:r>
              <w:rPr>
                <w:webHidden/>
              </w:rPr>
              <w:instrText xml:space="preserve">PAGEREF _Toc207275757 \h</w:instrText>
            </w:r>
            <w:r>
              <w:rPr>
                <w:webHidden/>
              </w:rPr>
              <w:fldChar w:fldCharType="separate"/>
            </w:r>
            <w:r>
              <w:rPr>
                <w:rStyle w:val="Collegamentoindice"/>
                <w:rFonts w:ascii="Titillium" w:hAnsi="Titillium"/>
                <w:vanish w:val="false"/>
              </w:rPr>
              <w:t>40</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58">
            <w:r>
              <w:rPr>
                <w:rStyle w:val="Collegamentoindice"/>
                <w:rFonts w:ascii="Titillium" w:hAnsi="Titillium"/>
              </w:rPr>
              <w:t>18.2.</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METODO DI ATTRIBUZIONE DEL COEFFICIENTE PER IL CALCOLO DEL PUNTEGGIO DELL’OFFERTA TECNICA</w:t>
              <w:tab/>
            </w:r>
            <w:r>
              <w:rPr>
                <w:webHidden/>
              </w:rPr>
              <w:fldChar w:fldCharType="begin"/>
            </w:r>
            <w:r>
              <w:rPr>
                <w:webHidden/>
              </w:rPr>
              <w:instrText xml:space="preserve">PAGEREF _Toc207275758 \h</w:instrText>
            </w:r>
            <w:r>
              <w:rPr>
                <w:webHidden/>
              </w:rPr>
              <w:fldChar w:fldCharType="separate"/>
            </w:r>
            <w:r>
              <w:rPr>
                <w:rStyle w:val="Collegamentoindice"/>
                <w:rFonts w:ascii="Titillium" w:hAnsi="Titillium"/>
                <w:vanish w:val="false"/>
              </w:rPr>
              <w:t>41</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59">
            <w:r>
              <w:rPr>
                <w:rStyle w:val="Collegamentoindice"/>
                <w:rFonts w:ascii="Titillium" w:hAnsi="Titillium"/>
              </w:rPr>
              <w:t>18.3.</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METODO DI ATTRIBUZIONE DEL COEFFICIENTE PER IL CALCOLO DEL PUNTEGGIO DELL’OFFERTA ECONOMICA</w:t>
              <w:tab/>
            </w:r>
            <w:r>
              <w:rPr>
                <w:webHidden/>
              </w:rPr>
              <w:fldChar w:fldCharType="begin"/>
            </w:r>
            <w:r>
              <w:rPr>
                <w:webHidden/>
              </w:rPr>
              <w:instrText xml:space="preserve">PAGEREF _Toc207275759 \h</w:instrText>
            </w:r>
            <w:r>
              <w:rPr>
                <w:webHidden/>
              </w:rPr>
              <w:fldChar w:fldCharType="separate"/>
            </w:r>
            <w:r>
              <w:rPr>
                <w:rStyle w:val="Collegamentoindice"/>
                <w:rFonts w:ascii="Titillium" w:hAnsi="Titillium"/>
                <w:vanish w:val="false"/>
              </w:rPr>
              <w:t>41</w:t>
            </w:r>
            <w:r>
              <w:rPr>
                <w:webHidden/>
              </w:rPr>
              <w:fldChar w:fldCharType="end"/>
            </w:r>
          </w:hyperlink>
        </w:p>
        <w:p>
          <w:pPr>
            <w:pStyle w:val="TOC3"/>
            <w:rPr>
              <w:rFonts w:ascii="Titillium" w:hAnsi="Titillium" w:eastAsia="DejaVu Sans" w:cs="DejaVu Sans" w:cstheme="minorBidi" w:eastAsiaTheme="minorEastAsia"/>
              <w:iCs w:val="false"/>
              <w:kern w:val="2"/>
              <w:sz w:val="24"/>
              <w:szCs w:val="24"/>
              <w:lang w:eastAsia="it-IT"/>
              <w14:ligatures w14:val="standardContextual"/>
            </w:rPr>
          </w:pPr>
          <w:hyperlink w:anchor="_Toc207275760">
            <w:r>
              <w:rPr>
                <w:rStyle w:val="Collegamentoindice"/>
                <w:rFonts w:ascii="Titillium" w:hAnsi="Titillium"/>
              </w:rPr>
              <w:t>18.4.</w:t>
            </w:r>
            <w:r>
              <w:rPr>
                <w:rStyle w:val="Collegamentoindice"/>
                <w:rFonts w:eastAsia="DejaVu Sans" w:cs="DejaVu Sans" w:ascii="Titillium" w:hAnsi="Titillium" w:cstheme="minorBidi" w:eastAsiaTheme="minorEastAsia"/>
                <w:iCs w:val="false"/>
                <w:kern w:val="2"/>
                <w:sz w:val="24"/>
                <w:szCs w:val="24"/>
                <w:lang w:eastAsia="it-IT"/>
                <w14:ligatures w14:val="standardContextual"/>
              </w:rPr>
              <w:tab/>
            </w:r>
            <w:r>
              <w:rPr>
                <w:rStyle w:val="Collegamentoindice"/>
                <w:rFonts w:ascii="Titillium" w:hAnsi="Titillium"/>
              </w:rPr>
              <w:t>METODO DI CALCOLO DEI PUNTEGGI</w:t>
              <w:tab/>
            </w:r>
            <w:r>
              <w:rPr>
                <w:webHidden/>
              </w:rPr>
              <w:fldChar w:fldCharType="begin"/>
            </w:r>
            <w:r>
              <w:rPr>
                <w:webHidden/>
              </w:rPr>
              <w:instrText xml:space="preserve">PAGEREF _Toc207275760 \h</w:instrText>
            </w:r>
            <w:r>
              <w:rPr>
                <w:webHidden/>
              </w:rPr>
              <w:fldChar w:fldCharType="separate"/>
            </w:r>
            <w:r>
              <w:rPr>
                <w:rStyle w:val="Collegamentoindice"/>
                <w:rFonts w:ascii="Titillium" w:hAnsi="Titillium"/>
                <w:vanish w:val="false"/>
              </w:rPr>
              <w:t>43</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61">
            <w:r>
              <w:rPr>
                <w:rStyle w:val="Collegamentoindice"/>
                <w:rFonts w:ascii="Titillium" w:hAnsi="Titillium"/>
                <w:b/>
              </w:rPr>
              <w:t>19.</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COMMISSIONE GIUDICATRICE</w:t>
              <w:tab/>
            </w:r>
            <w:r>
              <w:rPr>
                <w:webHidden/>
              </w:rPr>
              <w:fldChar w:fldCharType="begin"/>
            </w:r>
            <w:r>
              <w:rPr>
                <w:webHidden/>
              </w:rPr>
              <w:instrText xml:space="preserve">PAGEREF _Toc207275761 \h</w:instrText>
            </w:r>
            <w:r>
              <w:rPr>
                <w:webHidden/>
              </w:rPr>
              <w:fldChar w:fldCharType="separate"/>
            </w:r>
            <w:r>
              <w:rPr>
                <w:rStyle w:val="Collegamentoindice"/>
                <w:rFonts w:ascii="Titillium" w:hAnsi="Titillium"/>
                <w:vanish w:val="false"/>
              </w:rPr>
              <w:t>43</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62">
            <w:r>
              <w:rPr>
                <w:rStyle w:val="Collegamentoindice"/>
                <w:rFonts w:ascii="Titillium" w:hAnsi="Titillium"/>
                <w:b/>
              </w:rPr>
              <w:t>20.</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SVOLGIMENTO DELLE OPERAZIONI DI GARA</w:t>
              <w:tab/>
            </w:r>
            <w:r>
              <w:rPr>
                <w:webHidden/>
              </w:rPr>
              <w:fldChar w:fldCharType="begin"/>
            </w:r>
            <w:r>
              <w:rPr>
                <w:webHidden/>
              </w:rPr>
              <w:instrText xml:space="preserve">PAGEREF _Toc207275762 \h</w:instrText>
            </w:r>
            <w:r>
              <w:rPr>
                <w:webHidden/>
              </w:rPr>
              <w:fldChar w:fldCharType="separate"/>
            </w:r>
            <w:r>
              <w:rPr>
                <w:rStyle w:val="Collegamentoindice"/>
                <w:rFonts w:ascii="Titillium" w:hAnsi="Titillium"/>
                <w:vanish w:val="false"/>
              </w:rPr>
              <w:t>44</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63">
            <w:r>
              <w:rPr>
                <w:rStyle w:val="Collegamentoindice"/>
                <w:rFonts w:ascii="Titillium" w:hAnsi="Titillium"/>
                <w:b/>
              </w:rPr>
              <w:t>21.</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VERIFICA DOCUMENTAZIONE AMMINISTRATIVA</w:t>
              <w:tab/>
            </w:r>
            <w:r>
              <w:rPr>
                <w:webHidden/>
              </w:rPr>
              <w:fldChar w:fldCharType="begin"/>
            </w:r>
            <w:r>
              <w:rPr>
                <w:webHidden/>
              </w:rPr>
              <w:instrText xml:space="preserve">PAGEREF _Toc207275763 \h</w:instrText>
            </w:r>
            <w:r>
              <w:rPr>
                <w:webHidden/>
              </w:rPr>
              <w:fldChar w:fldCharType="separate"/>
            </w:r>
            <w:r>
              <w:rPr>
                <w:rStyle w:val="Collegamentoindice"/>
                <w:rFonts w:ascii="Titillium" w:hAnsi="Titillium"/>
                <w:vanish w:val="false"/>
              </w:rPr>
              <w:t>44</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64">
            <w:r>
              <w:rPr>
                <w:rStyle w:val="Collegamentoindice"/>
                <w:rFonts w:ascii="Titillium" w:hAnsi="Titillium"/>
                <w:b/>
              </w:rPr>
              <w:t>22.</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VALUTAZIONE DELLE OFFERTE TECNICHE ED ECONOMICHE.</w:t>
              <w:tab/>
            </w:r>
            <w:r>
              <w:rPr>
                <w:webHidden/>
              </w:rPr>
              <w:fldChar w:fldCharType="begin"/>
            </w:r>
            <w:r>
              <w:rPr>
                <w:webHidden/>
              </w:rPr>
              <w:instrText xml:space="preserve">PAGEREF _Toc207275764 \h</w:instrText>
            </w:r>
            <w:r>
              <w:rPr>
                <w:webHidden/>
              </w:rPr>
              <w:fldChar w:fldCharType="separate"/>
            </w:r>
            <w:r>
              <w:rPr>
                <w:rStyle w:val="Collegamentoindice"/>
                <w:rFonts w:ascii="Titillium" w:hAnsi="Titillium"/>
                <w:vanish w:val="false"/>
              </w:rPr>
              <w:t>45</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65">
            <w:r>
              <w:rPr>
                <w:rStyle w:val="Collegamentoindice"/>
                <w:rFonts w:ascii="Titillium" w:hAnsi="Titillium"/>
                <w:b/>
              </w:rPr>
              <w:t>23.</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VERIFICA DI ANOMALIA DELLE OFFERTE</w:t>
              <w:tab/>
            </w:r>
            <w:r>
              <w:rPr>
                <w:webHidden/>
              </w:rPr>
              <w:fldChar w:fldCharType="begin"/>
            </w:r>
            <w:r>
              <w:rPr>
                <w:webHidden/>
              </w:rPr>
              <w:instrText xml:space="preserve">PAGEREF _Toc207275765 \h</w:instrText>
            </w:r>
            <w:r>
              <w:rPr>
                <w:webHidden/>
              </w:rPr>
              <w:fldChar w:fldCharType="separate"/>
            </w:r>
            <w:r>
              <w:rPr>
                <w:rStyle w:val="Collegamentoindice"/>
                <w:rFonts w:ascii="Titillium" w:hAnsi="Titillium"/>
                <w:vanish w:val="false"/>
              </w:rPr>
              <w:t>46</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66">
            <w:r>
              <w:rPr>
                <w:rStyle w:val="Collegamentoindice"/>
                <w:rFonts w:ascii="Titillium" w:hAnsi="Titillium"/>
                <w:b/>
              </w:rPr>
              <w:t>24.</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eastAsia="SimSun" w:ascii="Titillium" w:hAnsi="Titillium"/>
              </w:rPr>
              <w:t>VERIFICA DELLA DOCUMENTAZIONE AMMINISTRATIVA</w:t>
            </w:r>
            <w:r>
              <w:rPr>
                <w:rStyle w:val="Collegamentoindice"/>
                <w:rFonts w:ascii="Titillium" w:hAnsi="Titillium"/>
              </w:rPr>
              <w:tab/>
            </w:r>
            <w:r>
              <w:rPr>
                <w:webHidden/>
              </w:rPr>
              <w:fldChar w:fldCharType="begin"/>
            </w:r>
            <w:r>
              <w:rPr>
                <w:webHidden/>
              </w:rPr>
              <w:instrText xml:space="preserve">PAGEREF _Toc207275766 \h</w:instrText>
            </w:r>
            <w:r>
              <w:rPr>
                <w:webHidden/>
              </w:rPr>
              <w:fldChar w:fldCharType="separate"/>
            </w:r>
            <w:r>
              <w:rPr>
                <w:rStyle w:val="Collegamentoindice"/>
                <w:rFonts w:ascii="Titillium" w:hAnsi="Titillium"/>
                <w:vanish w:val="false"/>
              </w:rPr>
              <w:t>47</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67">
            <w:r>
              <w:rPr>
                <w:rStyle w:val="Collegamentoindice"/>
                <w:rFonts w:ascii="Titillium" w:hAnsi="Titillium"/>
                <w:b/>
              </w:rPr>
              <w:t>25.</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AGGIUDICAZIONE DELL’APPALTO E STIPULA DEL CONTRATTO</w:t>
              <w:tab/>
            </w:r>
            <w:r>
              <w:rPr>
                <w:webHidden/>
              </w:rPr>
              <w:fldChar w:fldCharType="begin"/>
            </w:r>
            <w:r>
              <w:rPr>
                <w:webHidden/>
              </w:rPr>
              <w:instrText xml:space="preserve">PAGEREF _Toc207275767 \h</w:instrText>
            </w:r>
            <w:r>
              <w:rPr>
                <w:webHidden/>
              </w:rPr>
              <w:fldChar w:fldCharType="separate"/>
            </w:r>
            <w:r>
              <w:rPr>
                <w:rStyle w:val="Collegamentoindice"/>
                <w:rFonts w:ascii="Titillium" w:hAnsi="Titillium"/>
                <w:vanish w:val="false"/>
              </w:rPr>
              <w:t>47</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68">
            <w:r>
              <w:rPr>
                <w:rStyle w:val="Collegamentoindice"/>
                <w:rFonts w:ascii="Titillium" w:hAnsi="Titillium"/>
                <w:b/>
              </w:rPr>
              <w:t>26.</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OBBLIGHI RELATIVI ALLA TRACCIABILITÀ DEI FLUSSI FINANZIARI</w:t>
              <w:tab/>
            </w:r>
            <w:r>
              <w:rPr>
                <w:webHidden/>
              </w:rPr>
              <w:fldChar w:fldCharType="begin"/>
            </w:r>
            <w:r>
              <w:rPr>
                <w:webHidden/>
              </w:rPr>
              <w:instrText xml:space="preserve">PAGEREF _Toc207275768 \h</w:instrText>
            </w:r>
            <w:r>
              <w:rPr>
                <w:webHidden/>
              </w:rPr>
              <w:fldChar w:fldCharType="separate"/>
            </w:r>
            <w:r>
              <w:rPr>
                <w:rStyle w:val="Collegamentoindice"/>
                <w:rFonts w:ascii="Titillium" w:hAnsi="Titillium"/>
                <w:vanish w:val="false"/>
              </w:rPr>
              <w:t>49</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69">
            <w:r>
              <w:rPr>
                <w:rStyle w:val="Collegamentoindice"/>
                <w:rFonts w:ascii="Titillium" w:hAnsi="Titillium"/>
                <w:b/>
              </w:rPr>
              <w:t>27.</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CODICE DI COMPORTAMENTO</w:t>
              <w:tab/>
            </w:r>
            <w:r>
              <w:rPr>
                <w:webHidden/>
              </w:rPr>
              <w:fldChar w:fldCharType="begin"/>
            </w:r>
            <w:r>
              <w:rPr>
                <w:webHidden/>
              </w:rPr>
              <w:instrText xml:space="preserve">PAGEREF _Toc207275769 \h</w:instrText>
            </w:r>
            <w:r>
              <w:rPr>
                <w:webHidden/>
              </w:rPr>
              <w:fldChar w:fldCharType="separate"/>
            </w:r>
            <w:r>
              <w:rPr>
                <w:rStyle w:val="Collegamentoindice"/>
                <w:rFonts w:ascii="Titillium" w:hAnsi="Titillium"/>
                <w:vanish w:val="false"/>
              </w:rPr>
              <w:t>50</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70">
            <w:r>
              <w:rPr>
                <w:rStyle w:val="Collegamentoindice"/>
                <w:rFonts w:ascii="Titillium" w:hAnsi="Titillium"/>
                <w:b/>
              </w:rPr>
              <w:t>28.</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ACCESSO AGLI ATTI</w:t>
              <w:tab/>
            </w:r>
            <w:r>
              <w:rPr>
                <w:webHidden/>
              </w:rPr>
              <w:fldChar w:fldCharType="begin"/>
            </w:r>
            <w:r>
              <w:rPr>
                <w:webHidden/>
              </w:rPr>
              <w:instrText xml:space="preserve">PAGEREF _Toc207275770 \h</w:instrText>
            </w:r>
            <w:r>
              <w:rPr>
                <w:webHidden/>
              </w:rPr>
              <w:fldChar w:fldCharType="separate"/>
            </w:r>
            <w:r>
              <w:rPr>
                <w:rStyle w:val="Collegamentoindice"/>
                <w:rFonts w:ascii="Titillium" w:hAnsi="Titillium"/>
                <w:vanish w:val="false"/>
              </w:rPr>
              <w:t>50</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71">
            <w:r>
              <w:rPr>
                <w:rStyle w:val="Collegamentoindice"/>
                <w:rFonts w:ascii="Titillium" w:hAnsi="Titillium"/>
                <w:b/>
              </w:rPr>
              <w:t>29.</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DEFINIZIONE DELLE CONTROVERSIE</w:t>
              <w:tab/>
            </w:r>
            <w:r>
              <w:rPr>
                <w:webHidden/>
              </w:rPr>
              <w:fldChar w:fldCharType="begin"/>
            </w:r>
            <w:r>
              <w:rPr>
                <w:webHidden/>
              </w:rPr>
              <w:instrText xml:space="preserve">PAGEREF _Toc207275771 \h</w:instrText>
            </w:r>
            <w:r>
              <w:rPr>
                <w:webHidden/>
              </w:rPr>
              <w:fldChar w:fldCharType="separate"/>
            </w:r>
            <w:r>
              <w:rPr>
                <w:rStyle w:val="Collegamentoindice"/>
                <w:rFonts w:ascii="Titillium" w:hAnsi="Titillium"/>
                <w:vanish w:val="false"/>
              </w:rPr>
              <w:t>50</w:t>
            </w:r>
            <w:r>
              <w:rPr>
                <w:webHidden/>
              </w:rPr>
              <w:fldChar w:fldCharType="end"/>
            </w:r>
          </w:hyperlink>
        </w:p>
        <w:p>
          <w:pPr>
            <w:pStyle w:val="TOC2"/>
            <w:rPr>
              <w:rFonts w:ascii="Titillium" w:hAnsi="Titillium" w:eastAsia="DejaVu Sans" w:cs="DejaVu Sans" w:cstheme="minorBidi" w:eastAsiaTheme="minorEastAsia"/>
              <w:caps w:val="false"/>
              <w:smallCaps w:val="false"/>
              <w:kern w:val="2"/>
              <w:sz w:val="24"/>
              <w:szCs w:val="24"/>
              <w:lang w:eastAsia="it-IT"/>
              <w14:ligatures w14:val="standardContextual"/>
            </w:rPr>
          </w:pPr>
          <w:hyperlink w:anchor="_Toc207275772">
            <w:r>
              <w:rPr>
                <w:rStyle w:val="Collegamentoindice"/>
                <w:rFonts w:ascii="Titillium" w:hAnsi="Titillium"/>
                <w:b/>
              </w:rPr>
              <w:t>30.</w:t>
            </w:r>
            <w:r>
              <w:rPr>
                <w:rStyle w:val="Collegamentoindice"/>
                <w:rFonts w:eastAsia="DejaVu Sans" w:cs="DejaVu Sans" w:ascii="Titillium" w:hAnsi="Titillium" w:cstheme="minorBidi" w:eastAsiaTheme="minorEastAsia"/>
                <w:caps w:val="false"/>
                <w:smallCaps w:val="false"/>
                <w:kern w:val="2"/>
                <w:sz w:val="24"/>
                <w:szCs w:val="24"/>
                <w:lang w:eastAsia="it-IT"/>
                <w14:ligatures w14:val="standardContextual"/>
              </w:rPr>
              <w:tab/>
            </w:r>
            <w:r>
              <w:rPr>
                <w:rStyle w:val="Collegamentoindice"/>
                <w:rFonts w:ascii="Titillium" w:hAnsi="Titillium"/>
              </w:rPr>
              <w:t>TRATTAMENTO DEI DATI PERSONALI</w:t>
              <w:tab/>
            </w:r>
            <w:r>
              <w:rPr>
                <w:webHidden/>
              </w:rPr>
              <w:fldChar w:fldCharType="begin"/>
            </w:r>
            <w:r>
              <w:rPr>
                <w:webHidden/>
              </w:rPr>
              <w:instrText xml:space="preserve">PAGEREF _Toc207275772 \h</w:instrText>
            </w:r>
            <w:r>
              <w:rPr>
                <w:webHidden/>
              </w:rPr>
              <w:fldChar w:fldCharType="separate"/>
            </w:r>
            <w:r>
              <w:rPr>
                <w:rStyle w:val="Collegamentoindice"/>
                <w:rFonts w:ascii="Titillium" w:hAnsi="Titillium"/>
                <w:vanish w:val="false"/>
              </w:rPr>
              <w:t>51</w:t>
            </w:r>
            <w:r>
              <w:rPr>
                <w:webHidden/>
              </w:rPr>
              <w:fldChar w:fldCharType="end"/>
            </w:r>
          </w:hyperlink>
          <w:r>
            <w:rPr>
              <w:rStyle w:val="Collegamentoindice"/>
              <w:rFonts w:ascii="Titillium" w:hAnsi="Titillium"/>
              <w:vanish w:val="false"/>
            </w:rPr>
            <w:fldChar w:fldCharType="end"/>
          </w:r>
        </w:p>
      </w:sdtContent>
    </w:sdt>
    <w:p>
      <w:pPr>
        <w:pStyle w:val="TOC2"/>
        <w:rPr>
          <w:rFonts w:ascii="Arial" w:hAnsi="Arial" w:eastAsia="DejaVu Sans" w:cs="DejaVu Sans" w:asciiTheme="minorHAnsi" w:cstheme="minorBidi" w:eastAsiaTheme="minorEastAsia" w:hAnsiTheme="minorHAnsi"/>
          <w:sz w:val="22"/>
          <w:szCs w:val="22"/>
          <w:lang w:eastAsia="it-IT"/>
        </w:rPr>
      </w:pPr>
      <w:r>
        <w:rPr>
          <w:rFonts w:eastAsia="DejaVu Sans" w:cs="DejaVu Sans" w:cstheme="minorBidi" w:eastAsiaTheme="minorEastAsia" w:ascii="Arial" w:hAnsi="Arial"/>
          <w:sz w:val="22"/>
          <w:szCs w:val="22"/>
          <w:lang w:eastAsia="it-IT"/>
        </w:rPr>
      </w:r>
    </w:p>
    <w:p>
      <w:pPr>
        <w:pStyle w:val="TOC1"/>
        <w:rPr/>
      </w:pPr>
      <w:r>
        <w:rPr/>
      </w:r>
    </w:p>
    <w:p>
      <w:pPr>
        <w:pStyle w:val="TOC2"/>
        <w:rPr>
          <w:lang w:eastAsia="it-IT"/>
        </w:rPr>
      </w:pPr>
      <w:r>
        <w:rPr>
          <w:lang w:eastAsia="it-IT"/>
        </w:rPr>
      </w:r>
    </w:p>
    <w:p>
      <w:pPr>
        <w:pStyle w:val="TOC2"/>
        <w:rPr>
          <w:lang w:eastAsia="it-IT"/>
        </w:rPr>
      </w:pPr>
      <w:r>
        <w:rPr>
          <w:lang w:eastAsia="it-IT"/>
        </w:rPr>
      </w:r>
    </w:p>
    <w:p>
      <w:pPr>
        <w:pStyle w:val="TOC2"/>
        <w:rPr>
          <w:lang w:eastAsia="it-IT"/>
        </w:rPr>
      </w:pPr>
      <w:r>
        <w:rPr>
          <w:lang w:eastAsia="it-IT"/>
        </w:rPr>
      </w:r>
    </w:p>
    <w:p>
      <w:pPr>
        <w:pStyle w:val="TOC2"/>
        <w:rPr>
          <w:lang w:eastAsia="it-IT"/>
        </w:rPr>
      </w:pPr>
      <w:r>
        <w:rPr>
          <w:lang w:eastAsia="it-IT"/>
        </w:rPr>
      </w:r>
    </w:p>
    <w:p>
      <w:pPr>
        <w:pStyle w:val="TOC2"/>
        <w:rPr>
          <w:lang w:eastAsia="it-IT"/>
        </w:rPr>
      </w:pPr>
      <w:r>
        <w:rPr>
          <w:lang w:eastAsia="it-IT"/>
        </w:rPr>
      </w:r>
    </w:p>
    <w:p>
      <w:pPr>
        <w:pStyle w:val="Normal"/>
        <w:widowControl w:val="false"/>
        <w:spacing w:before="60" w:after="60"/>
        <w:rPr>
          <w:rFonts w:ascii="Titillium" w:hAnsi="Titillium" w:cs="Calibri"/>
          <w:szCs w:val="24"/>
          <w:lang w:eastAsia="it-IT"/>
        </w:rPr>
      </w:pPr>
      <w:r>
        <w:rPr>
          <w:rFonts w:cs="Calibri" w:ascii="Titillium" w:hAnsi="Titillium"/>
          <w:szCs w:val="24"/>
          <w:lang w:eastAsia="it-IT"/>
        </w:rPr>
      </w:r>
      <w:r>
        <w:br w:type="page"/>
      </w:r>
    </w:p>
    <w:p>
      <w:pPr>
        <w:pStyle w:val="Heading2"/>
        <w:spacing w:before="0" w:after="80"/>
        <w:rPr/>
      </w:pPr>
      <w:r>
        <w:rPr/>
        <w:t>RICHIAMATE</w:t>
      </w:r>
    </w:p>
    <w:p>
      <w:pPr>
        <w:pStyle w:val="CommentText"/>
        <w:numPr>
          <w:ilvl w:val="0"/>
          <w:numId w:val="40"/>
        </w:numPr>
        <w:spacing w:before="60" w:after="60"/>
        <w:rPr>
          <w:rFonts w:ascii="Titillium" w:hAnsi="Titillium" w:cs="Calibri"/>
          <w:bCs/>
          <w:iCs/>
          <w:sz w:val="18"/>
          <w:szCs w:val="18"/>
          <w:lang w:val="it-IT" w:eastAsia="it-IT"/>
        </w:rPr>
      </w:pPr>
      <w:r>
        <w:rPr>
          <w:rFonts w:cs="Calibri" w:ascii="Titillium" w:hAnsi="Titillium"/>
          <w:bCs/>
          <w:iCs/>
          <w:sz w:val="18"/>
          <w:szCs w:val="18"/>
          <w:lang w:val="it-IT" w:eastAsia="it-IT"/>
        </w:rPr>
        <w:t>La delibera n.115 del 13.06.2011 di unificazione di servizi amministrativi in ambito metropolitano con la quale è stato istituito il Servizio Acquisti Metropolitano;</w:t>
      </w:r>
    </w:p>
    <w:p>
      <w:pPr>
        <w:pStyle w:val="CommentText"/>
        <w:numPr>
          <w:ilvl w:val="0"/>
          <w:numId w:val="40"/>
        </w:numPr>
        <w:spacing w:before="60" w:after="60"/>
        <w:rPr>
          <w:rFonts w:ascii="Titillium" w:hAnsi="Titillium" w:cs="Calibri"/>
          <w:bCs/>
          <w:iCs/>
          <w:sz w:val="18"/>
          <w:szCs w:val="18"/>
          <w:lang w:val="it-IT" w:eastAsia="it-IT"/>
        </w:rPr>
      </w:pPr>
      <w:r>
        <w:rPr>
          <w:rFonts w:cs="Calibri" w:ascii="Titillium" w:hAnsi="Titillium"/>
          <w:bCs/>
          <w:iCs/>
          <w:sz w:val="18"/>
          <w:szCs w:val="18"/>
          <w:lang w:val="it-IT" w:eastAsia="it-IT"/>
        </w:rPr>
        <w:t>Le delibere n. 268 del 29.06.2022 dell’Azienda USL di Bologna, n.204 del 29.06.2022 dell’IRCCS Azienda Ospedaliero-Universitaria di Bologna Policlinico di Sant’Orsola, n.193 del 30.06.2022 dell’IRCCS – Istituto Ortopedico Rizzoli, n.149 del 29.06.2022 dell’Azienda USL di Imola, n.129 del 29.06.2022 dell’Azienda Ospedaliero Universitaria di Ferrara, n.179 del 01.07.2022 dell’Azienda USL di Ferrara con le quali è stato costituito il Servizio Acquisti di Area Vasta Emilia Centrale (SAAV) ed è stata contestualmente approvata la convenzione attuativa per lo svolgimento delle relative funzioni unificate con decorrenza dal 1 luglio 2022;</w:t>
      </w:r>
    </w:p>
    <w:p>
      <w:pPr>
        <w:pStyle w:val="CommentText"/>
        <w:numPr>
          <w:ilvl w:val="0"/>
          <w:numId w:val="40"/>
        </w:numPr>
        <w:spacing w:before="60" w:after="60"/>
        <w:rPr>
          <w:rFonts w:ascii="Titillium" w:hAnsi="Titillium" w:cs="Calibri"/>
          <w:bCs/>
          <w:iCs/>
          <w:sz w:val="18"/>
          <w:szCs w:val="18"/>
          <w:lang w:val="it-IT" w:eastAsia="it-IT"/>
        </w:rPr>
      </w:pPr>
      <w:r>
        <w:rPr>
          <w:rFonts w:cs="Calibri" w:ascii="Titillium" w:hAnsi="Titillium"/>
          <w:bCs/>
          <w:iCs/>
          <w:sz w:val="18"/>
          <w:szCs w:val="18"/>
          <w:lang w:val="it-IT" w:eastAsia="it-IT"/>
        </w:rPr>
        <w:t>che con le sopra citate delibere sono state altresì individuate le funzioni delegate al SAAV e quelle di competenza esclusiva delle Aziende deleganti;</w:t>
      </w:r>
    </w:p>
    <w:p>
      <w:pPr>
        <w:pStyle w:val="CommentText"/>
        <w:numPr>
          <w:ilvl w:val="0"/>
          <w:numId w:val="40"/>
        </w:numPr>
        <w:spacing w:before="60" w:after="60"/>
        <w:rPr>
          <w:rFonts w:ascii="Titillium" w:hAnsi="Titillium" w:cs="Calibri"/>
          <w:bCs/>
          <w:iCs/>
          <w:sz w:val="18"/>
          <w:szCs w:val="18"/>
          <w:lang w:val="it-IT" w:eastAsia="it-IT"/>
        </w:rPr>
      </w:pPr>
      <w:r>
        <w:rPr>
          <w:rFonts w:cs="Calibri" w:ascii="Titillium" w:hAnsi="Titillium"/>
          <w:bCs/>
          <w:iCs/>
          <w:sz w:val="18"/>
          <w:szCs w:val="18"/>
          <w:lang w:val="it-IT" w:eastAsia="it-IT"/>
        </w:rPr>
        <w:t>la delibera n.404 del 08.11.2022 di conferimento dell'incarico dirigenziale di Direttore del SAAV;</w:t>
      </w:r>
    </w:p>
    <w:p>
      <w:pPr>
        <w:pStyle w:val="CommentText"/>
        <w:numPr>
          <w:ilvl w:val="0"/>
          <w:numId w:val="40"/>
        </w:numPr>
        <w:spacing w:before="60" w:after="60"/>
        <w:rPr>
          <w:rFonts w:ascii="Titillium" w:hAnsi="Titillium" w:cs="Calibri"/>
          <w:bCs/>
          <w:iCs/>
          <w:sz w:val="18"/>
          <w:szCs w:val="18"/>
          <w:lang w:val="it-IT" w:eastAsia="it-IT"/>
        </w:rPr>
      </w:pPr>
      <w:r>
        <w:rPr>
          <w:rFonts w:cs="Calibri" w:ascii="Titillium" w:hAnsi="Titillium"/>
          <w:bCs/>
          <w:iCs/>
          <w:sz w:val="18"/>
          <w:szCs w:val="18"/>
          <w:lang w:val="it-IT" w:eastAsia="it-IT"/>
        </w:rPr>
        <w:t>la delibera di recepimento della convenzione attuativa n.62 del 12.02.2024 delle funzioni unificate del Servizio Acquisti di Area Vasta dell’Area Vasta Emilia Centrale;</w:t>
      </w:r>
    </w:p>
    <w:p>
      <w:pPr>
        <w:pStyle w:val="Heading2"/>
        <w:spacing w:before="0" w:after="80"/>
        <w:rPr>
          <w:rFonts w:eastAsia="Times New Roman" w:cs="Calibri"/>
          <w:bCs/>
          <w:iCs/>
          <w:color w:val="auto"/>
          <w:sz w:val="18"/>
          <w:szCs w:val="18"/>
        </w:rPr>
      </w:pPr>
      <w:bookmarkStart w:id="0" w:name="_Toc207275717"/>
      <w:bookmarkStart w:id="1" w:name="_Toc482102001"/>
      <w:bookmarkStart w:id="2" w:name="_Toc482102096"/>
      <w:bookmarkStart w:id="3" w:name="_Toc493500867"/>
      <w:bookmarkStart w:id="4" w:name="_Toc494358965"/>
      <w:bookmarkStart w:id="5" w:name="_Toc494359014"/>
      <w:bookmarkStart w:id="6" w:name="_Toc497484932"/>
      <w:bookmarkStart w:id="7" w:name="_Toc497728130"/>
      <w:bookmarkStart w:id="8" w:name="_Toc497831524"/>
      <w:bookmarkStart w:id="9" w:name="_Toc498419716"/>
      <w:bookmarkStart w:id="10" w:name="_Toc493500868"/>
      <w:bookmarkStart w:id="11" w:name="_Toc494358966"/>
      <w:bookmarkStart w:id="12" w:name="_Toc494359015"/>
      <w:bookmarkStart w:id="13" w:name="_Toc497484933"/>
      <w:bookmarkStart w:id="14" w:name="_Toc497728131"/>
      <w:bookmarkStart w:id="15" w:name="_Toc497831525"/>
      <w:bookmarkStart w:id="16" w:name="_Toc498419717"/>
      <w:bookmarkStart w:id="17" w:name="_Toc374025745"/>
      <w:bookmarkStart w:id="18" w:name="_Toc374025834"/>
      <w:bookmarkStart w:id="19" w:name="_Toc374025928"/>
      <w:bookmarkStart w:id="20" w:name="_Toc374025981"/>
      <w:bookmarkStart w:id="21" w:name="_Toc374026426"/>
      <w:bookmarkStart w:id="22" w:name="_Toc482101429"/>
      <w:bookmarkStart w:id="23" w:name="_Toc482101544"/>
      <w:bookmarkStart w:id="24" w:name="_Toc482101719"/>
      <w:bookmarkStart w:id="25" w:name="_Toc482101812"/>
      <w:bookmarkStart w:id="26" w:name="_Toc48210190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t>PREMESSE</w:t>
      </w:r>
      <w:bookmarkEnd w:id="0"/>
    </w:p>
    <w:p>
      <w:pPr>
        <w:pStyle w:val="Normal"/>
        <w:spacing w:before="60" w:after="60"/>
        <w:rPr>
          <w:bCs/>
          <w:i/>
        </w:rPr>
      </w:pPr>
      <w:r>
        <w:rPr>
          <w:rFonts w:cs="Calibri" w:ascii="Titillium" w:hAnsi="Titillium"/>
          <w:bCs/>
          <w:iCs/>
          <w:sz w:val="18"/>
          <w:szCs w:val="18"/>
        </w:rPr>
        <w:t xml:space="preserve">Con atto n. </w:t>
      </w:r>
      <w:r>
        <w:rPr>
          <w:rFonts w:cs="Calibri" w:ascii="Titillium" w:hAnsi="Titillium"/>
          <w:bCs/>
          <w:iCs/>
          <w:sz w:val="18"/>
          <w:szCs w:val="18"/>
        </w:rPr>
        <w:t>215</w:t>
      </w:r>
      <w:r>
        <w:rPr>
          <w:rFonts w:cs="Calibri" w:ascii="Titillium" w:hAnsi="Titillium"/>
          <w:bCs/>
          <w:iCs/>
          <w:sz w:val="18"/>
          <w:szCs w:val="18"/>
          <w:shd w:fill="FFFFFF" w:val="clear"/>
        </w:rPr>
        <w:t>5</w:t>
      </w:r>
      <w:r>
        <w:rPr>
          <w:rFonts w:cs="Calibri" w:ascii="Titillium" w:hAnsi="Titillium"/>
          <w:bCs/>
          <w:i w:val="false"/>
          <w:iCs w:val="false"/>
          <w:sz w:val="18"/>
          <w:szCs w:val="18"/>
          <w:shd w:fill="FFFFFF" w:val="clear"/>
        </w:rPr>
        <w:t xml:space="preserve"> del </w:t>
      </w:r>
      <w:r>
        <w:rPr>
          <w:rFonts w:cs="Calibri" w:ascii="Titillium" w:hAnsi="Titillium"/>
          <w:bCs/>
          <w:i w:val="false"/>
          <w:iCs w:val="false"/>
          <w:sz w:val="18"/>
          <w:szCs w:val="18"/>
          <w:shd w:fill="FFFFFF" w:val="clear"/>
        </w:rPr>
        <w:t>03</w:t>
      </w:r>
      <w:r>
        <w:rPr>
          <w:rFonts w:cs="Calibri" w:ascii="Titillium" w:hAnsi="Titillium"/>
          <w:bCs/>
          <w:i w:val="false"/>
          <w:iCs w:val="false"/>
          <w:sz w:val="18"/>
          <w:szCs w:val="18"/>
          <w:shd w:fill="FFFFFF" w:val="clear"/>
        </w:rPr>
        <w:t>/0</w:t>
      </w:r>
      <w:r>
        <w:rPr>
          <w:rFonts w:cs="Calibri" w:ascii="Titillium" w:hAnsi="Titillium"/>
          <w:bCs/>
          <w:i w:val="false"/>
          <w:iCs w:val="false"/>
          <w:sz w:val="18"/>
          <w:szCs w:val="18"/>
          <w:shd w:fill="FFFFFF" w:val="clear"/>
        </w:rPr>
        <w:t>9</w:t>
      </w:r>
      <w:r>
        <w:rPr>
          <w:rFonts w:cs="Calibri" w:ascii="Titillium" w:hAnsi="Titillium"/>
          <w:bCs/>
          <w:i w:val="false"/>
          <w:iCs w:val="false"/>
          <w:sz w:val="18"/>
          <w:szCs w:val="18"/>
          <w:shd w:fill="FFFFFF" w:val="clear"/>
        </w:rPr>
        <w:t>/2026</w:t>
      </w:r>
      <w:r>
        <w:rPr>
          <w:rFonts w:cs="Calibri" w:ascii="Titillium" w:hAnsi="Titillium"/>
          <w:bCs/>
          <w:i w:val="false"/>
          <w:iCs w:val="false"/>
          <w:sz w:val="18"/>
          <w:szCs w:val="18"/>
          <w:shd w:fill="FFFFFF" w:val="clear"/>
        </w:rPr>
        <w:t>,</w:t>
      </w:r>
      <w:r>
        <w:rPr>
          <w:rFonts w:cs="Calibri" w:ascii="Titillium" w:hAnsi="Titillium"/>
          <w:bCs/>
          <w:i w:val="false"/>
          <w:iCs w:val="false"/>
          <w:sz w:val="18"/>
          <w:szCs w:val="18"/>
        </w:rPr>
        <w:t xml:space="preserve"> q</w:t>
      </w:r>
      <w:r>
        <w:rPr>
          <w:rFonts w:cs="Calibri" w:ascii="Titillium" w:hAnsi="Titillium"/>
          <w:bCs/>
          <w:iCs/>
          <w:sz w:val="18"/>
          <w:szCs w:val="18"/>
        </w:rPr>
        <w:t xml:space="preserve">uesta Amministrazione (codice AUSA 0000202387) ha deciso di affidare il servizio di noleggio macchine per l’erogazione delle colazioni nei reparti non di degenza per l’Azienda USL di Bologna, </w:t>
      </w:r>
      <w:r>
        <w:rPr>
          <w:rFonts w:cs="Calibri" w:ascii="Titillium" w:hAnsi="Titillium"/>
          <w:bCs/>
          <w:iCs/>
          <w:sz w:val="18"/>
          <w:szCs w:val="18"/>
          <w:shd w:fill="FFFFFF" w:val="clear"/>
        </w:rPr>
        <w:t xml:space="preserve"> conforme alle specifiche tecniche e alle clausole contrattuali contenute nei criteri ambientali minimi di cui al Decreto del Ministero dell’ambiente e della sicurezza energetica del 9 Aprile 2025 “Criteri ambientali minimi per gli affidamenti relativi ai servizi di ristoro e alla distribuzione di acqua di rete ai fini potabili”, modificato con Decreto del 17 maggio 2024 e</w:t>
      </w:r>
      <w:r>
        <w:rPr>
          <w:rFonts w:cs="Calibri" w:ascii="Titillium" w:hAnsi="Titillium"/>
          <w:bCs/>
          <w:iCs/>
          <w:color w:themeColor="text1" w:val="000000"/>
          <w:sz w:val="18"/>
          <w:szCs w:val="18"/>
          <w:shd w:fill="FFFFFF" w:val="clear"/>
        </w:rPr>
        <w:t xml:space="preserve"> richiamati espressamente nel Capitolato agli articoli n. 1 e 6</w:t>
      </w:r>
      <w:r>
        <w:rPr>
          <w:rFonts w:cs="Calibri" w:ascii="Titillium" w:hAnsi="Titillium"/>
          <w:bCs/>
          <w:i/>
          <w:color w:themeColor="text1" w:val="000000"/>
          <w:sz w:val="18"/>
          <w:szCs w:val="18"/>
          <w:shd w:fill="FFFFFF" w:val="clear"/>
        </w:rPr>
        <w:t>.</w:t>
      </w:r>
    </w:p>
    <w:p>
      <w:pPr>
        <w:pStyle w:val="CommentText"/>
        <w:spacing w:before="60" w:after="60"/>
        <w:rPr>
          <w:rFonts w:ascii="Titillium" w:hAnsi="Titillium" w:cs="Calibri"/>
          <w:bCs/>
          <w:iCs/>
          <w:sz w:val="18"/>
          <w:szCs w:val="18"/>
          <w:lang w:val="it-IT" w:eastAsia="it-IT"/>
        </w:rPr>
      </w:pPr>
      <w:r>
        <w:rPr>
          <w:rFonts w:cs="Calibri" w:ascii="Titillium" w:hAnsi="Titillium"/>
          <w:bCs/>
          <w:iCs/>
          <w:sz w:val="18"/>
          <w:szCs w:val="18"/>
          <w:lang w:val="it-IT" w:eastAsia="it-IT"/>
        </w:rPr>
        <w:t>La presente procedura è interamente svolta tramite la PAD accessibile all’indirizzo http://intercent.regione.emilia-romagna.it.</w:t>
      </w:r>
    </w:p>
    <w:p>
      <w:pPr>
        <w:pStyle w:val="CommentText"/>
        <w:spacing w:before="60" w:after="60"/>
        <w:rPr>
          <w:rFonts w:ascii="Titillium" w:hAnsi="Titillium" w:cs="Calibri"/>
          <w:bCs/>
          <w:iCs/>
          <w:sz w:val="18"/>
          <w:szCs w:val="18"/>
          <w:lang w:val="it-IT" w:eastAsia="it-IT"/>
        </w:rPr>
      </w:pPr>
      <w:r>
        <w:rPr>
          <w:rFonts w:cs="Calibri" w:ascii="Titillium" w:hAnsi="Titillium"/>
          <w:bCs/>
          <w:iCs/>
          <w:sz w:val="18"/>
          <w:szCs w:val="18"/>
          <w:lang w:val="it-IT" w:eastAsia="it-IT"/>
        </w:rPr>
        <w:t>L’affidamento avviene mediante procedura aperta con applicazione del criterio dell’offerta economicamente più vantaggiosa individuata sulla base del miglior rapporto qualità prezzo.</w:t>
      </w:r>
    </w:p>
    <w:p>
      <w:pPr>
        <w:pStyle w:val="CommentText"/>
        <w:spacing w:before="60" w:after="60"/>
        <w:rPr>
          <w:i/>
        </w:rPr>
      </w:pPr>
      <w:r>
        <w:rPr>
          <w:rFonts w:cs="Calibri" w:ascii="Titillium" w:hAnsi="Titillium"/>
          <w:bCs/>
          <w:iCs/>
          <w:sz w:val="18"/>
          <w:szCs w:val="18"/>
          <w:lang w:val="it-IT" w:eastAsia="it-IT"/>
        </w:rPr>
        <w:t>La durata del procedimento prevista è pari a 9 mesi dalla pubblicazione del bando.</w:t>
      </w:r>
      <w:r>
        <w:rPr>
          <w:rFonts w:cs="Calibri" w:ascii="Titillium" w:hAnsi="Titillium"/>
          <w:bCs/>
          <w:i/>
          <w:sz w:val="18"/>
          <w:szCs w:val="18"/>
          <w:lang w:val="it-IT" w:eastAsia="it-IT"/>
        </w:rPr>
        <w:t xml:space="preserve"> </w:t>
      </w:r>
    </w:p>
    <w:p>
      <w:pPr>
        <w:pStyle w:val="Normal"/>
        <w:tabs>
          <w:tab w:val="clear" w:pos="708"/>
          <w:tab w:val="left" w:pos="360" w:leader="none"/>
        </w:tabs>
        <w:spacing w:before="60" w:after="60"/>
        <w:rPr>
          <w:i/>
          <w:iCs/>
        </w:rPr>
      </w:pPr>
      <w:r>
        <w:rPr>
          <w:rFonts w:cs="Calibri" w:ascii="Titillium" w:hAnsi="Titillium"/>
          <w:sz w:val="18"/>
          <w:szCs w:val="18"/>
        </w:rPr>
        <w:t xml:space="preserve">Il luogo di svolgimento del servizio/consegna della fornitura è Bologna ... </w:t>
      </w:r>
      <w:r>
        <w:rPr>
          <w:rFonts w:cs="Calibri" w:ascii="Titillium" w:hAnsi="Titillium"/>
          <w:i/>
          <w:iCs/>
          <w:sz w:val="18"/>
          <w:szCs w:val="18"/>
        </w:rPr>
        <w:t xml:space="preserve">codice NUTS ...ITH55 </w:t>
      </w:r>
    </w:p>
    <w:p>
      <w:pPr>
        <w:pStyle w:val="Normal"/>
        <w:spacing w:before="60" w:after="60"/>
        <w:rPr>
          <w:rFonts w:ascii="Titillium" w:hAnsi="Titillium" w:cs="Calibri"/>
          <w:sz w:val="18"/>
          <w:szCs w:val="18"/>
        </w:rPr>
      </w:pPr>
      <w:r>
        <w:rPr>
          <w:rFonts w:cs="Calibri" w:ascii="Titillium" w:hAnsi="Titillium"/>
          <w:sz w:val="18"/>
          <w:szCs w:val="18"/>
        </w:rPr>
        <w:t>- RUP è il Dott. Massimo Bernardi - Servizio Unico Metropolitano Economato (SUME) Settore Alberghiero</w:t>
      </w:r>
    </w:p>
    <w:p>
      <w:pPr>
        <w:pStyle w:val="Normal"/>
        <w:spacing w:before="60" w:after="60"/>
        <w:rPr>
          <w:rFonts w:ascii="Titillium" w:hAnsi="Titillium" w:cs="Calibri"/>
          <w:sz w:val="18"/>
          <w:szCs w:val="18"/>
        </w:rPr>
      </w:pPr>
      <w:r>
        <w:rPr>
          <w:rFonts w:cs="Calibri" w:ascii="Titillium" w:hAnsi="Titillium"/>
          <w:sz w:val="18"/>
          <w:szCs w:val="18"/>
        </w:rPr>
        <w:t>- DEC è la Dott.ssa Rita Poli - Servizio Unico Metropolitano Economato (SUME) Settore Alberghiero</w:t>
      </w:r>
    </w:p>
    <w:p>
      <w:pPr>
        <w:pStyle w:val="Normal"/>
        <w:spacing w:before="60" w:after="60"/>
        <w:rPr>
          <w:rFonts w:ascii="Titillium" w:hAnsi="Titillium" w:cs="Calibri"/>
          <w:sz w:val="18"/>
          <w:szCs w:val="18"/>
        </w:rPr>
      </w:pPr>
      <w:r>
        <w:rPr>
          <w:rFonts w:cs="Calibri" w:ascii="Titillium" w:hAnsi="Titillium"/>
          <w:sz w:val="18"/>
          <w:szCs w:val="18"/>
        </w:rPr>
        <w:t>Il Responsabile del procedimento per la fase di affidamento (RUPA) è la Dott.ssa Antonia Crugliano, Direttore del Servizio Acquisti Area Vasta, mail: servizio.acquisti@pec.ausl.bologna.it</w:t>
      </w:r>
      <w:r>
        <w:rPr>
          <w:rFonts w:cs="Calibri" w:ascii="Titillium" w:hAnsi="Titillium"/>
          <w:i/>
          <w:iCs/>
          <w:sz w:val="18"/>
          <w:szCs w:val="18"/>
        </w:rPr>
        <w:t>.</w:t>
      </w:r>
    </w:p>
    <w:p>
      <w:pPr>
        <w:pStyle w:val="Normal"/>
        <w:spacing w:before="60" w:after="60"/>
        <w:rPr/>
      </w:pPr>
      <w:r>
        <w:rPr/>
      </w:r>
    </w:p>
    <w:p>
      <w:pPr>
        <w:pStyle w:val="Heading2"/>
        <w:numPr>
          <w:ilvl w:val="0"/>
          <w:numId w:val="3"/>
        </w:numPr>
        <w:rPr>
          <w:caps/>
        </w:rPr>
      </w:pPr>
      <w:bookmarkStart w:id="27" w:name="_Ref132303744"/>
      <w:bookmarkStart w:id="28" w:name="_Toc207275718"/>
      <w:r>
        <w:rPr/>
        <w:t>PIATTAFORMA</w:t>
      </w:r>
      <w:bookmarkEnd w:id="28"/>
      <w:r>
        <w:rPr/>
        <w:t xml:space="preserve"> </w:t>
      </w:r>
      <w:bookmarkEnd w:id="27"/>
    </w:p>
    <w:p>
      <w:pPr>
        <w:pStyle w:val="Heading3"/>
        <w:numPr>
          <w:ilvl w:val="1"/>
          <w:numId w:val="3"/>
        </w:numPr>
        <w:ind w:hanging="432" w:left="426"/>
        <w:rPr>
          <w:rFonts w:ascii="Titillium" w:hAnsi="Titillium"/>
          <w:iCs/>
          <w:caps/>
          <w:sz w:val="18"/>
          <w:szCs w:val="18"/>
        </w:rPr>
      </w:pPr>
      <w:bookmarkStart w:id="29" w:name="_Toc207275719"/>
      <w:bookmarkStart w:id="30" w:name="_Ref132303729"/>
      <w:r>
        <w:rPr>
          <w:rFonts w:ascii="Titillium" w:hAnsi="Titillium"/>
          <w:iCs/>
          <w:sz w:val="18"/>
          <w:szCs w:val="18"/>
        </w:rPr>
        <w:t xml:space="preserve">LA PIATTAFORMA </w:t>
      </w:r>
      <w:bookmarkEnd w:id="30"/>
      <w:r>
        <w:rPr>
          <w:rFonts w:ascii="Titillium" w:hAnsi="Titillium"/>
          <w:iCs/>
          <w:sz w:val="18"/>
          <w:szCs w:val="18"/>
        </w:rPr>
        <w:t>DI APPROVVIGIONAMENTO DIGITALE (PAD)</w:t>
      </w:r>
      <w:bookmarkEnd w:id="29"/>
    </w:p>
    <w:p>
      <w:pPr>
        <w:pStyle w:val="NoSpacing"/>
        <w:tabs>
          <w:tab w:val="clear" w:pos="708"/>
          <w:tab w:val="left" w:pos="567" w:leader="none"/>
        </w:tabs>
        <w:spacing w:lineRule="auto" w:line="276" w:before="60" w:after="60"/>
        <w:rPr>
          <w:rFonts w:ascii="Titillium" w:hAnsi="Titillium" w:cs="Calibri"/>
          <w:bCs/>
          <w:iCs/>
          <w:sz w:val="18"/>
          <w:szCs w:val="18"/>
        </w:rPr>
      </w:pPr>
      <w:r>
        <w:rPr>
          <w:rFonts w:cs="Calibri" w:ascii="Titillium" w:hAnsi="Titillium"/>
          <w:bCs/>
          <w:iCs/>
          <w:sz w:val="18"/>
          <w:szCs w:val="18"/>
        </w:rPr>
        <w:t>L’utilizzo della PAD comporta l’accettazione tacita ed incondizionata di tutti i termini, le condizioni di utilizzo e le avvertenze contenute nei documenti di gara, in particolare, del Regolamento UE n. 910/2014 (di seguito Regolamento eIDAS - electronic IDentification Authentication and Signature), del decreto legislativo n. 82/2005 recante Codice dell’amministrazione digitale (CAD) e delle Linee guida dell’AGID, nonché di quanto portato a conoscenza degli utenti tramite le comunicazioni sulla PAD.</w:t>
      </w:r>
    </w:p>
    <w:p>
      <w:pPr>
        <w:pStyle w:val="NoSpacing"/>
        <w:tabs>
          <w:tab w:val="clear" w:pos="708"/>
          <w:tab w:val="left" w:pos="567" w:leader="none"/>
        </w:tabs>
        <w:spacing w:before="60" w:after="60"/>
        <w:rPr>
          <w:rFonts w:ascii="Titillium" w:hAnsi="Titillium" w:cs="Calibri"/>
          <w:bCs/>
          <w:iCs/>
          <w:sz w:val="18"/>
          <w:szCs w:val="18"/>
        </w:rPr>
      </w:pPr>
      <w:r>
        <w:rPr>
          <w:rFonts w:cs="Calibri" w:ascii="Titillium" w:hAnsi="Titillium"/>
          <w:bCs/>
          <w:iCs/>
          <w:sz w:val="18"/>
          <w:szCs w:val="18"/>
        </w:rPr>
        <w:t xml:space="preserve">L’utilizzo della PAD avviene nel rispetto dei principi di autoresponsabilità e di diligenza professionale, secondo quanto previsto dall’articolo 1176, comma 2, del Codice civile. </w:t>
      </w:r>
    </w:p>
    <w:p>
      <w:pPr>
        <w:pStyle w:val="Default"/>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La stazione appaltante non assume alcuna responsabilità per perdita di documenti e dati, danneggiamento di file e documenti, ritardi nell’inserimento di dati, documenti e/o nella presentazione della domanda, malfunzionamento, danni, pregiudizi derivanti all’operatore economico, da:</w:t>
      </w:r>
    </w:p>
    <w:p>
      <w:pPr>
        <w:pStyle w:val="Default"/>
        <w:numPr>
          <w:ilvl w:val="1"/>
          <w:numId w:val="13"/>
        </w:numPr>
        <w:ind w:hanging="284" w:left="284"/>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difetti di funzionamento delle apparecchiature e dei sistemi di collegamento e programmi impiegati dal singolo operatore economico per il collegamento alla PAD;</w:t>
      </w:r>
    </w:p>
    <w:p>
      <w:pPr>
        <w:pStyle w:val="Default"/>
        <w:numPr>
          <w:ilvl w:val="1"/>
          <w:numId w:val="13"/>
        </w:numPr>
        <w:ind w:hanging="284" w:left="284"/>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utilizzo della PAD da parte dell’operatore economico in maniera non conforme al Disciplinare</w:t>
      </w:r>
      <w:r>
        <w:rPr>
          <w:rFonts w:eastAsia="Times New Roman" w:cs="Calibri" w:ascii="Titillium" w:hAnsi="Titillium"/>
          <w:bCs/>
          <w:i/>
          <w:iCs/>
          <w:color w:val="auto"/>
          <w:sz w:val="18"/>
          <w:szCs w:val="18"/>
        </w:rPr>
        <w:t>.</w:t>
      </w:r>
    </w:p>
    <w:p>
      <w:pPr>
        <w:pStyle w:val="Default"/>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In caso di mancato funzionamento della PAD o di malfunzionamento della stessa, non dovuti alle predette circostanze, che impediscono la corretta presentazione delle offerte, al fine di assicurare la massima partecipazione, la stazione appaltante valuta la necessità di disporre la sospensione del termine per la presentazione delle offerte per il periodo di tempo strettamente necessario a ripristinare il normale funzionamento e la proroga dello stesso per una durata proporzionale alla durata del mancato o non corretto funzionamento, tenuto conto della gravità dello stesso</w:t>
      </w:r>
      <w:r>
        <w:rPr>
          <w:color w:val="auto"/>
        </w:rPr>
        <w:t xml:space="preserve"> </w:t>
      </w:r>
      <w:r>
        <w:rPr>
          <w:rFonts w:eastAsia="Times New Roman" w:cs="Calibri" w:ascii="Titillium" w:hAnsi="Titillium"/>
          <w:bCs/>
          <w:iCs/>
          <w:color w:val="auto"/>
          <w:sz w:val="18"/>
          <w:szCs w:val="18"/>
        </w:rPr>
        <w:t xml:space="preserve">e del momento in cui si verifica. La proroga o la riapertura del termine di scadenza di presentazione delle offerte limitata ad un periodo massimo di 48 ore dalla data di scadenza indicata nel bando è resa nota sulla PAD e sul sito internet della stazione appaltante, unitamente all’indicazione della durata e dei motivi del malfunzionamento. In tali casi, non è richiesta la pubblicazione di una rettifica al bando di gara ai sensi dell’articolo 27 del codice, né la riedizione della procedura. </w:t>
      </w:r>
    </w:p>
    <w:p>
      <w:pPr>
        <w:pStyle w:val="Default"/>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 xml:space="preserve">Nel caso in cui la proroga dei termini per la presentazione delle offerte abbia una durata superiore, la stazione appaltante rettifica il bando di gara con indicazione della nuova scadenza. </w:t>
      </w:r>
    </w:p>
    <w:p>
      <w:pPr>
        <w:pStyle w:val="Default"/>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 xml:space="preserve">Nei soli casi in cui la sospensione o la proroga dei termini non siano considerati idonei a garantire la </w:t>
      </w:r>
      <w:r>
        <w:rPr>
          <w:rFonts w:eastAsia="Times New Roman" w:cs="Calibri" w:ascii="Titillium" w:hAnsi="Titillium"/>
          <w:bCs/>
          <w:i/>
          <w:color w:val="auto"/>
          <w:sz w:val="18"/>
          <w:szCs w:val="18"/>
        </w:rPr>
        <w:t>par condicio</w:t>
      </w:r>
      <w:r>
        <w:rPr>
          <w:rFonts w:eastAsia="Times New Roman" w:cs="Calibri" w:ascii="Titillium" w:hAnsi="Titillium"/>
          <w:bCs/>
          <w:iCs/>
          <w:color w:val="auto"/>
          <w:sz w:val="18"/>
          <w:szCs w:val="18"/>
        </w:rPr>
        <w:t xml:space="preserve"> dei partecipanti e/o la segretezza delle offerte, la stazione appaltante procede alla riedizione della procedura.</w:t>
      </w:r>
    </w:p>
    <w:p>
      <w:pPr>
        <w:pStyle w:val="Default"/>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La stazione appaltante si riserva di agire in tal modo anche quando, esclusa la negligenza dell’operatore economico, non sia possibile accertare la causa del mancato funzionamento o del malfunzionamento.</w:t>
      </w:r>
    </w:p>
    <w:p>
      <w:pPr>
        <w:pStyle w:val="Default"/>
        <w:tabs>
          <w:tab w:val="clear" w:pos="708"/>
          <w:tab w:val="left" w:pos="567" w:leader="none"/>
        </w:tabs>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r>
    </w:p>
    <w:p>
      <w:pPr>
        <w:pStyle w:val="Default"/>
        <w:tabs>
          <w:tab w:val="clear" w:pos="708"/>
          <w:tab w:val="left" w:pos="567" w:leader="none"/>
        </w:tabs>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 xml:space="preserve">Le attività e le operazioni effettuate nell'ambito della PAD sono registrate e attribuite all’operatore economico e si intendono compiute nell’ora e nel giorno risultanti dalle registrazioni di sistema. </w:t>
      </w:r>
    </w:p>
    <w:p>
      <w:pPr>
        <w:pStyle w:val="Default"/>
        <w:tabs>
          <w:tab w:val="clear" w:pos="708"/>
          <w:tab w:val="left" w:pos="567" w:leader="none"/>
        </w:tabs>
        <w:rPr/>
      </w:pPr>
      <w:r>
        <w:rPr>
          <w:rFonts w:eastAsia="Times New Roman" w:cs="Calibri" w:ascii="Titillium" w:hAnsi="Titillium"/>
          <w:bCs/>
          <w:iCs/>
          <w:color w:val="auto"/>
          <w:sz w:val="18"/>
          <w:szCs w:val="18"/>
        </w:rPr>
        <w:t>Il sistema operativo della PAD è sincronizzato sulla scala di tempo nazionale di cui al</w:t>
      </w:r>
      <w:r>
        <w:rPr>
          <w:rFonts w:eastAsia="Times New Roman" w:cs="Calibri" w:ascii="Calibri" w:hAnsi="Calibri"/>
          <w:bCs/>
          <w:iCs/>
          <w:color w:val="auto"/>
          <w:sz w:val="18"/>
          <w:szCs w:val="18"/>
        </w:rPr>
        <w:t xml:space="preserve"> </w:t>
      </w:r>
      <w:r>
        <w:rPr>
          <w:rFonts w:eastAsia="Times New Roman" w:cs="Calibri" w:ascii="Titillium" w:hAnsi="Titillium"/>
          <w:bCs/>
          <w:iCs/>
          <w:color w:val="auto"/>
          <w:sz w:val="18"/>
          <w:szCs w:val="18"/>
        </w:rPr>
        <w:t xml:space="preserve">decreto del Ministro dell'industria, del commercio e dell'artigianato 30 novembre 1993, n. 591, tramite protocollo NTP o standard superiore. </w:t>
      </w:r>
    </w:p>
    <w:p>
      <w:pPr>
        <w:pStyle w:val="Default"/>
        <w:rPr>
          <w:rFonts w:ascii="Titillium" w:hAnsi="Titillium" w:cs="Calibri"/>
          <w:bCs/>
          <w:iCs/>
          <w:sz w:val="18"/>
          <w:szCs w:val="18"/>
        </w:rPr>
      </w:pPr>
      <w:r>
        <w:rPr>
          <w:rFonts w:cs="Calibri" w:ascii="Titillium" w:hAnsi="Titillium"/>
          <w:bCs/>
          <w:iCs/>
          <w:sz w:val="18"/>
          <w:szCs w:val="18"/>
        </w:rPr>
        <w:t>L’utilizzo e il funzionamento della PAD avvengono in conformità a quanto riportato http://intercenter.regione.emilia-romagna.it/agenzia/utilizzo-del-sistema/guide/, che costituisce parte integrante del presente disciplinare.</w:t>
      </w:r>
    </w:p>
    <w:p>
      <w:pPr>
        <w:pStyle w:val="Default"/>
        <w:rPr/>
      </w:pPr>
      <w:r>
        <w:rPr>
          <w:rFonts w:eastAsia="Times New Roman" w:cs="Calibri" w:ascii="Titillium" w:hAnsi="Titillium"/>
          <w:bCs/>
          <w:iCs/>
          <w:color w:val="auto"/>
          <w:sz w:val="18"/>
          <w:szCs w:val="18"/>
        </w:rPr>
        <w:t>L’acquisto, l’installazione e la configurazione dell’</w:t>
      </w:r>
      <w:r>
        <w:rPr>
          <w:rFonts w:eastAsia="Times New Roman" w:cs="Calibri" w:ascii="Titillium" w:hAnsi="Titillium"/>
          <w:bCs/>
          <w:i/>
          <w:iCs/>
          <w:color w:val="auto"/>
          <w:sz w:val="18"/>
          <w:szCs w:val="18"/>
        </w:rPr>
        <w:t>hardware</w:t>
      </w:r>
      <w:r>
        <w:rPr>
          <w:rFonts w:eastAsia="Times New Roman" w:cs="Calibri" w:ascii="Titillium" w:hAnsi="Titillium"/>
          <w:bCs/>
          <w:iCs/>
          <w:color w:val="auto"/>
          <w:sz w:val="18"/>
          <w:szCs w:val="18"/>
        </w:rPr>
        <w:t xml:space="preserve">, del </w:t>
      </w:r>
      <w:r>
        <w:rPr>
          <w:rFonts w:eastAsia="Times New Roman" w:cs="Calibri" w:ascii="Titillium" w:hAnsi="Titillium"/>
          <w:bCs/>
          <w:i/>
          <w:iCs/>
          <w:color w:val="auto"/>
          <w:sz w:val="18"/>
          <w:szCs w:val="18"/>
        </w:rPr>
        <w:t>software</w:t>
      </w:r>
      <w:r>
        <w:rPr>
          <w:rFonts w:eastAsia="Times New Roman" w:cs="Calibri" w:ascii="Titillium" w:hAnsi="Titillium"/>
          <w:bCs/>
          <w:iCs/>
          <w:color w:val="auto"/>
          <w:sz w:val="18"/>
          <w:szCs w:val="18"/>
        </w:rPr>
        <w:t xml:space="preserve">, dei certificati digitali di firma, della casella di PEC o comunque di un indirizzo di servizio elettronico di recapito certificato qualificato, nonché dei collegamenti per l’accesso alla rete </w:t>
      </w:r>
      <w:r>
        <w:rPr>
          <w:rFonts w:eastAsia="Times New Roman" w:cs="Calibri" w:ascii="Titillium" w:hAnsi="Titillium"/>
          <w:bCs/>
          <w:i/>
          <w:iCs/>
          <w:color w:val="auto"/>
          <w:sz w:val="18"/>
          <w:szCs w:val="18"/>
        </w:rPr>
        <w:t>Internet</w:t>
      </w:r>
      <w:r>
        <w:rPr>
          <w:rFonts w:eastAsia="Times New Roman" w:cs="Calibri" w:ascii="Titillium" w:hAnsi="Titillium"/>
          <w:bCs/>
          <w:iCs/>
          <w:color w:val="auto"/>
          <w:sz w:val="18"/>
          <w:szCs w:val="18"/>
        </w:rPr>
        <w:t>, restano a esclusivo carico dell’operatore economico.</w:t>
      </w:r>
    </w:p>
    <w:p>
      <w:pPr>
        <w:pStyle w:val="Default"/>
        <w:tabs>
          <w:tab w:val="clear" w:pos="708"/>
          <w:tab w:val="left" w:pos="567" w:leader="none"/>
        </w:tabs>
        <w:rPr>
          <w:rFonts w:ascii="Titillium" w:hAnsi="Titillium" w:eastAsia="Times New Roman" w:cs="Calibri"/>
          <w:bCs/>
          <w:iCs/>
          <w:sz w:val="18"/>
          <w:szCs w:val="18"/>
        </w:rPr>
      </w:pPr>
      <w:r>
        <w:rPr>
          <w:rFonts w:eastAsia="Times New Roman" w:cs="Calibri" w:ascii="Titillium" w:hAnsi="Titillium"/>
          <w:bCs/>
          <w:iCs/>
          <w:color w:val="auto"/>
          <w:sz w:val="18"/>
          <w:szCs w:val="18"/>
        </w:rPr>
        <w:t xml:space="preserve">La PAD è accessibile </w:t>
      </w:r>
      <w:r>
        <w:rPr>
          <w:rFonts w:eastAsia="Times New Roman" w:cs="Calibri" w:ascii="Titillium" w:hAnsi="Titillium"/>
          <w:bCs/>
          <w:color w:val="auto"/>
          <w:sz w:val="18"/>
          <w:szCs w:val="18"/>
        </w:rPr>
        <w:t>in qualsiasi orario dalla data di pubblicazione del bando alla data di scadenza del termine di presentazione delle offerte ad eccezione delle ore dedicate all’aggiornamento della Piattaforma espressamente indicate nella stessa (solitamente nel pomeriggio dell’ultimo venerdì del mese).</w:t>
      </w:r>
    </w:p>
    <w:p>
      <w:pPr>
        <w:pStyle w:val="Heading3"/>
        <w:numPr>
          <w:ilvl w:val="1"/>
          <w:numId w:val="3"/>
        </w:numPr>
        <w:ind w:hanging="432" w:left="426"/>
        <w:rPr>
          <w:rFonts w:ascii="Titillium" w:hAnsi="Titillium"/>
          <w:iCs/>
          <w:caps/>
          <w:sz w:val="18"/>
          <w:szCs w:val="18"/>
        </w:rPr>
      </w:pPr>
      <w:bookmarkStart w:id="31" w:name="_Toc207275720"/>
      <w:bookmarkStart w:id="32" w:name="_Toc763991891111111111111111111111"/>
      <w:bookmarkStart w:id="33" w:name="_Toc7655640811111"/>
      <w:bookmarkStart w:id="34" w:name="_Toc7655646911111"/>
      <w:bookmarkStart w:id="35" w:name="_Toc7655653011111"/>
      <w:bookmarkStart w:id="36" w:name="_Toc7655659111111"/>
      <w:bookmarkStart w:id="37" w:name="_Toc763991881111111111111111111111"/>
      <w:bookmarkStart w:id="38" w:name="_Toc7655640711111"/>
      <w:bookmarkStart w:id="39" w:name="_Toc7655646811111"/>
      <w:bookmarkStart w:id="40" w:name="_Toc7655652911111"/>
      <w:bookmarkStart w:id="41" w:name="_Toc7655659011111"/>
      <w:bookmarkStart w:id="42" w:name="_Toc763991871111111111111111111111"/>
      <w:bookmarkStart w:id="43" w:name="_Toc7655640611111"/>
      <w:bookmarkStart w:id="44" w:name="_Toc7655646711111"/>
      <w:bookmarkStart w:id="45" w:name="_Toc7655652811111"/>
      <w:bookmarkStart w:id="46" w:name="_Toc7655658911111"/>
      <w:bookmarkStart w:id="47" w:name="_Toc763991861111111111111111111111"/>
      <w:bookmarkStart w:id="48" w:name="_Toc7655640511111"/>
      <w:bookmarkStart w:id="49" w:name="_Toc7655646611111"/>
      <w:bookmarkStart w:id="50" w:name="_Toc7655652711111"/>
      <w:bookmarkStart w:id="51" w:name="_Toc765565881111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ascii="Titillium" w:hAnsi="Titillium"/>
          <w:iCs/>
          <w:sz w:val="18"/>
          <w:szCs w:val="18"/>
        </w:rPr>
        <w:t>DOTAZIONI TECNICHE</w:t>
      </w:r>
      <w:bookmarkEnd w:id="31"/>
    </w:p>
    <w:p>
      <w:pPr>
        <w:pStyle w:val="Normal"/>
        <w:tabs>
          <w:tab w:val="clear" w:pos="708"/>
          <w:tab w:val="left" w:pos="709" w:leader="none"/>
        </w:tabs>
        <w:spacing w:before="60" w:after="60"/>
        <w:rPr/>
      </w:pPr>
      <w:r>
        <w:rPr>
          <w:rFonts w:cs="Calibri" w:ascii="Titillium" w:hAnsi="Titillium"/>
          <w:bCs/>
          <w:color w:val="000000"/>
          <w:sz w:val="18"/>
          <w:szCs w:val="18"/>
        </w:rPr>
        <w:t xml:space="preserve">Ai fini della partecipazione alla presente procedura, ogni operatore economico deve dotarsi, a propria cura, spesa e responsabilità della strumentazione tecnica ed informatica conforme a quella indicata nel presente disciplinare e nel documento e nei manuali pubblicati sulla piattaforma https://intercent.regione.emilia-romagna.it, </w:t>
      </w:r>
      <w:r>
        <w:rPr>
          <w:rFonts w:cs="Calibri" w:ascii="Titillium" w:hAnsi="Titillium"/>
          <w:bCs/>
          <w:iCs/>
          <w:color w:val="000000"/>
          <w:sz w:val="18"/>
          <w:szCs w:val="18"/>
        </w:rPr>
        <w:t>che disciplina il funzionamento e l’utilizzo della PAD</w:t>
      </w:r>
      <w:r>
        <w:rPr>
          <w:rFonts w:cs="Calibri" w:ascii="Titillium" w:hAnsi="Titillium"/>
          <w:bCs/>
          <w:color w:val="000000"/>
          <w:sz w:val="18"/>
          <w:szCs w:val="18"/>
        </w:rPr>
        <w:t>.</w:t>
      </w:r>
    </w:p>
    <w:p>
      <w:pPr>
        <w:pStyle w:val="Normal"/>
        <w:tabs>
          <w:tab w:val="clear" w:pos="708"/>
          <w:tab w:val="left" w:pos="709" w:leader="none"/>
        </w:tabs>
        <w:spacing w:before="60" w:after="60"/>
        <w:rPr>
          <w:rFonts w:ascii="Titillium" w:hAnsi="Titillium" w:cs="Calibri"/>
          <w:bCs/>
          <w:color w:val="000000"/>
          <w:sz w:val="18"/>
          <w:szCs w:val="18"/>
        </w:rPr>
      </w:pPr>
      <w:r>
        <w:rPr>
          <w:rFonts w:cs="Calibri" w:ascii="Titillium" w:hAnsi="Titillium"/>
          <w:bCs/>
          <w:color w:val="000000"/>
          <w:sz w:val="18"/>
          <w:szCs w:val="18"/>
        </w:rPr>
        <w:t>In ogni caso è indispensabile:</w:t>
      </w:r>
    </w:p>
    <w:p>
      <w:pPr>
        <w:pStyle w:val="Default"/>
        <w:numPr>
          <w:ilvl w:val="1"/>
          <w:numId w:val="14"/>
        </w:numPr>
        <w:tabs>
          <w:tab w:val="clear" w:pos="708"/>
          <w:tab w:val="left" w:pos="360" w:leader="none"/>
        </w:tabs>
        <w:ind w:hanging="357" w:left="709"/>
        <w:rPr>
          <w:rFonts w:ascii="Titillium" w:hAnsi="Titillium" w:eastAsia="Times New Roman" w:cs="Calibri"/>
          <w:bCs/>
          <w:sz w:val="18"/>
          <w:szCs w:val="18"/>
          <w:lang w:eastAsia="en-US"/>
        </w:rPr>
      </w:pPr>
      <w:r>
        <w:rPr>
          <w:rFonts w:eastAsia="Times New Roman" w:cs="Calibri" w:ascii="Titillium" w:hAnsi="Titillium"/>
          <w:bCs/>
          <w:sz w:val="18"/>
          <w:szCs w:val="18"/>
          <w:lang w:eastAsia="en-US"/>
        </w:rPr>
        <w:t xml:space="preserve">disporre almeno di un personal computer conforme agli standard aggiornati di mercato, con connessione internet e dotato di un comune browser idoneo ad operare in modo corretto sulla PAD; </w:t>
      </w:r>
    </w:p>
    <w:p>
      <w:pPr>
        <w:pStyle w:val="Default"/>
        <w:numPr>
          <w:ilvl w:val="1"/>
          <w:numId w:val="14"/>
        </w:numPr>
        <w:tabs>
          <w:tab w:val="clear" w:pos="708"/>
          <w:tab w:val="left" w:pos="360" w:leader="none"/>
        </w:tabs>
        <w:ind w:hanging="357" w:left="709"/>
        <w:rPr>
          <w:rFonts w:ascii="Titillium" w:hAnsi="Titillium" w:eastAsia="Times New Roman" w:cs="Calibri"/>
          <w:sz w:val="18"/>
          <w:szCs w:val="18"/>
          <w:lang w:eastAsia="en-US"/>
        </w:rPr>
      </w:pPr>
      <w:r>
        <w:rPr>
          <w:rFonts w:eastAsia="Times New Roman" w:cs="Calibri" w:ascii="Titillium" w:hAnsi="Titillium"/>
          <w:sz w:val="18"/>
          <w:szCs w:val="18"/>
          <w:lang w:eastAsia="en-US"/>
        </w:rPr>
        <w:t xml:space="preserve">disporre di una identità digitale SPID (Sistema Pubblico di Identità Digitale) o di altri mezzi di identificazione elettronica (CIE e CNS) di cui all’articolo 64 del Codice dell'Amministrazione Digitale (decreto legislativo 7 marzo 2005, n. 82 e successive modificazioni), nonché di mezzi di identificazione elettronica per il riconoscimento reciproco transfrontaliero ai sensi del Regolamento eIDAS; in caso di operatore economico extra-UE, disporre di un’identità digitale </w:t>
      </w:r>
      <w:r>
        <w:rPr>
          <w:rFonts w:ascii="Titillium" w:hAnsi="Titillium"/>
          <w:sz w:val="18"/>
          <w:szCs w:val="18"/>
        </w:rPr>
        <w:t>compatibile con il framework</w:t>
      </w:r>
      <w:r>
        <w:rPr>
          <w:rFonts w:eastAsia="Times New Roman" w:cs="Calibri" w:ascii="Titillium" w:hAnsi="Titillium"/>
          <w:sz w:val="18"/>
          <w:szCs w:val="18"/>
          <w:lang w:eastAsia="en-US"/>
        </w:rPr>
        <w:t xml:space="preserve"> di autenticazione stabilito dalla PAD di riferimento e caratterizzata da un Level of Assurance (LoA) pari o superiore a 3, in conformità allo standard ISO/IEC 29115 (e relative evoluzioni). </w:t>
      </w:r>
    </w:p>
    <w:p>
      <w:pPr>
        <w:pStyle w:val="Default"/>
        <w:numPr>
          <w:ilvl w:val="1"/>
          <w:numId w:val="14"/>
        </w:numPr>
        <w:tabs>
          <w:tab w:val="clear" w:pos="708"/>
          <w:tab w:val="left" w:pos="360" w:leader="none"/>
        </w:tabs>
        <w:ind w:hanging="360" w:left="709"/>
        <w:rPr>
          <w:rFonts w:ascii="Titillium" w:hAnsi="Titillium" w:eastAsia="Times New Roman" w:cs="Calibri"/>
          <w:bCs/>
          <w:sz w:val="18"/>
          <w:szCs w:val="18"/>
          <w:lang w:eastAsia="en-US"/>
        </w:rPr>
      </w:pPr>
      <w:r>
        <w:rPr>
          <w:rFonts w:eastAsia="Times New Roman" w:cs="Calibri" w:ascii="Titillium" w:hAnsi="Titillium"/>
          <w:bCs/>
          <w:sz w:val="18"/>
          <w:szCs w:val="18"/>
          <w:lang w:eastAsia="en-US"/>
        </w:rPr>
        <w:t>avere un domicilio digitale presente negli indici di cui agli articoli 6-bis e 6-ter del decreto legislativo 7 marzo 2005, n. 82 o, per l’operatore economico transfrontaliero, un indirizzo di servizio elettronico di recapito certificato qualificato ai sensi del Regolamento eIDAS;</w:t>
      </w:r>
    </w:p>
    <w:p>
      <w:pPr>
        <w:pStyle w:val="Default"/>
        <w:numPr>
          <w:ilvl w:val="1"/>
          <w:numId w:val="14"/>
        </w:numPr>
        <w:tabs>
          <w:tab w:val="clear" w:pos="708"/>
          <w:tab w:val="left" w:pos="360" w:leader="none"/>
        </w:tabs>
        <w:ind w:hanging="360" w:left="709"/>
        <w:rPr>
          <w:rFonts w:ascii="Titillium" w:hAnsi="Titillium" w:eastAsia="Times New Roman" w:cs="Calibri"/>
          <w:bCs/>
          <w:sz w:val="18"/>
          <w:szCs w:val="18"/>
          <w:lang w:eastAsia="en-US"/>
        </w:rPr>
      </w:pPr>
      <w:r>
        <w:rPr>
          <w:rFonts w:eastAsia="Times New Roman" w:cs="Calibri" w:ascii="Titillium" w:hAnsi="Titillium"/>
          <w:bCs/>
          <w:sz w:val="18"/>
          <w:szCs w:val="18"/>
          <w:lang w:eastAsia="en-US"/>
        </w:rPr>
        <w:t>avere da parte del legale rappresentante dell’operatore economico (o da persona munita di idonei poteri di firma) un certificato di firma digitale, in corso di validità, rilasciato da:</w:t>
      </w:r>
    </w:p>
    <w:p>
      <w:pPr>
        <w:pStyle w:val="Default"/>
        <w:numPr>
          <w:ilvl w:val="1"/>
          <w:numId w:val="13"/>
        </w:numPr>
        <w:tabs>
          <w:tab w:val="clear" w:pos="708"/>
          <w:tab w:val="left" w:pos="360" w:leader="none"/>
        </w:tabs>
        <w:ind w:hanging="360" w:left="1134"/>
        <w:rPr>
          <w:rFonts w:ascii="Titillium" w:hAnsi="Titillium" w:eastAsia="Times New Roman" w:cs="Calibri"/>
          <w:bCs/>
          <w:sz w:val="18"/>
          <w:szCs w:val="18"/>
          <w:lang w:eastAsia="en-US"/>
        </w:rPr>
      </w:pPr>
      <w:r>
        <w:rPr>
          <w:rFonts w:eastAsia="Times New Roman" w:cs="Calibri" w:ascii="Titillium" w:hAnsi="Titillium"/>
          <w:bCs/>
          <w:sz w:val="18"/>
          <w:szCs w:val="18"/>
          <w:lang w:eastAsia="en-US"/>
        </w:rPr>
        <w:t xml:space="preserve">un organismo incluso nell’elenco pubblico dei certificatori tenuto dall’Agenzia per l’Italia Digitale (previsto dall’articolo 29 del decreto legislativo n. 82/05); </w:t>
      </w:r>
    </w:p>
    <w:p>
      <w:pPr>
        <w:pStyle w:val="Default"/>
        <w:numPr>
          <w:ilvl w:val="1"/>
          <w:numId w:val="13"/>
        </w:numPr>
        <w:tabs>
          <w:tab w:val="clear" w:pos="708"/>
          <w:tab w:val="left" w:pos="360" w:leader="none"/>
        </w:tabs>
        <w:ind w:hanging="360" w:left="1134"/>
        <w:rPr>
          <w:rFonts w:ascii="Titillium" w:hAnsi="Titillium" w:eastAsia="Times New Roman" w:cs="Calibri"/>
          <w:bCs/>
          <w:sz w:val="18"/>
          <w:szCs w:val="18"/>
          <w:lang w:eastAsia="en-US"/>
        </w:rPr>
      </w:pPr>
      <w:r>
        <w:rPr>
          <w:rFonts w:eastAsia="Times New Roman" w:cs="Calibri" w:ascii="Titillium" w:hAnsi="Titillium"/>
          <w:bCs/>
          <w:sz w:val="18"/>
          <w:szCs w:val="18"/>
          <w:lang w:eastAsia="en-US"/>
        </w:rPr>
        <w:t xml:space="preserve">un certificatore operante in base a una licenza o autorizzazione rilasciata da uno Stato membro dell’Unione europea e in possesso dei requisiti previsti dal Regolamento n. 910/14; </w:t>
      </w:r>
    </w:p>
    <w:p>
      <w:pPr>
        <w:pStyle w:val="Default"/>
        <w:numPr>
          <w:ilvl w:val="1"/>
          <w:numId w:val="13"/>
        </w:numPr>
        <w:tabs>
          <w:tab w:val="clear" w:pos="708"/>
          <w:tab w:val="left" w:pos="360" w:leader="none"/>
        </w:tabs>
        <w:ind w:hanging="360" w:left="1134"/>
        <w:rPr/>
      </w:pPr>
      <w:r>
        <w:rPr>
          <w:rFonts w:eastAsia="Times New Roman" w:cs="Calibri" w:ascii="Titillium" w:hAnsi="Titillium"/>
          <w:bCs/>
          <w:sz w:val="18"/>
          <w:szCs w:val="18"/>
          <w:lang w:eastAsia="en-US"/>
        </w:rPr>
        <w:t>un certificatore stabilito in uno Stato non facente parte dell’Unione europea quando ricorre una delle seguenti condizioni</w:t>
      </w:r>
      <w:r>
        <w:rPr>
          <w:rFonts w:eastAsia="Times New Roman" w:cs="Calibri" w:ascii="Titillium" w:hAnsi="Titillium"/>
          <w:bCs/>
          <w:iCs/>
          <w:sz w:val="18"/>
          <w:szCs w:val="18"/>
        </w:rPr>
        <w:t xml:space="preserve">: </w:t>
      </w:r>
    </w:p>
    <w:p>
      <w:pPr>
        <w:pStyle w:val="Default"/>
        <w:numPr>
          <w:ilvl w:val="0"/>
          <w:numId w:val="23"/>
        </w:numPr>
        <w:rPr/>
      </w:pPr>
      <w:r>
        <w:rPr>
          <w:rFonts w:eastAsia="Times New Roman" w:cs="Calibri" w:ascii="Titillium" w:hAnsi="Titillium"/>
          <w:bCs/>
          <w:iCs/>
          <w:sz w:val="18"/>
          <w:szCs w:val="18"/>
        </w:rPr>
        <w:t xml:space="preserve">il certificatore possiede i requisiti previsti dal Regolamento </w:t>
      </w:r>
      <w:r>
        <w:rPr>
          <w:rFonts w:cs="Calibri" w:ascii="Titillium" w:hAnsi="Titillium"/>
          <w:bCs/>
          <w:iCs/>
          <w:sz w:val="18"/>
          <w:szCs w:val="18"/>
        </w:rPr>
        <w:t xml:space="preserve">n. 910/14 </w:t>
      </w:r>
      <w:r>
        <w:rPr>
          <w:rFonts w:eastAsia="Times New Roman" w:cs="Calibri" w:ascii="Titillium" w:hAnsi="Titillium"/>
          <w:bCs/>
          <w:iCs/>
          <w:sz w:val="18"/>
          <w:szCs w:val="18"/>
        </w:rPr>
        <w:t xml:space="preserve">ed è qualificato in uno stato membro; </w:t>
      </w:r>
    </w:p>
    <w:p>
      <w:pPr>
        <w:pStyle w:val="Default"/>
        <w:numPr>
          <w:ilvl w:val="0"/>
          <w:numId w:val="23"/>
        </w:numPr>
        <w:rPr>
          <w:rFonts w:ascii="Titillium" w:hAnsi="Titillium" w:eastAsia="Times New Roman" w:cs="Calibri"/>
          <w:bCs/>
          <w:iCs/>
          <w:sz w:val="18"/>
          <w:szCs w:val="18"/>
        </w:rPr>
      </w:pPr>
      <w:r>
        <w:rPr>
          <w:rFonts w:eastAsia="Times New Roman" w:cs="Calibri" w:ascii="Titillium" w:hAnsi="Titillium"/>
          <w:bCs/>
          <w:iCs/>
          <w:sz w:val="18"/>
          <w:szCs w:val="18"/>
        </w:rPr>
        <w:t xml:space="preserve">il certificato qualificato è garantito da un certificatore stabilito nell’Unione Europea, in possesso dei requisiti di cui al regolamento n. 9100/14; </w:t>
      </w:r>
    </w:p>
    <w:p>
      <w:pPr>
        <w:pStyle w:val="Default"/>
        <w:numPr>
          <w:ilvl w:val="0"/>
          <w:numId w:val="23"/>
        </w:numPr>
        <w:rPr>
          <w:rFonts w:ascii="Titillium" w:hAnsi="Titillium" w:eastAsia="Times New Roman" w:cs="Calibri"/>
          <w:bCs/>
          <w:iCs/>
          <w:sz w:val="18"/>
          <w:szCs w:val="18"/>
        </w:rPr>
      </w:pPr>
      <w:r>
        <w:rPr>
          <w:rFonts w:eastAsia="Times New Roman" w:cs="Calibri" w:ascii="Titillium" w:hAnsi="Titillium"/>
          <w:bCs/>
          <w:iCs/>
          <w:sz w:val="18"/>
          <w:szCs w:val="18"/>
        </w:rPr>
        <w:t xml:space="preserve">il certificato qualificato, o il certificatore, è riconosciuto in forza di un accordo bilaterale o multilaterale tra l’Unione Europea e paesi terzi o organizzazioni internazionali. </w:t>
      </w:r>
    </w:p>
    <w:p>
      <w:pPr>
        <w:pStyle w:val="Default"/>
        <w:ind w:left="1277"/>
        <w:rPr>
          <w:rFonts w:ascii="Titillium" w:hAnsi="Titillium" w:eastAsia="Times New Roman" w:cs="Calibri"/>
          <w:bCs/>
          <w:iCs/>
          <w:sz w:val="18"/>
          <w:szCs w:val="18"/>
        </w:rPr>
      </w:pPr>
      <w:r>
        <w:rPr>
          <w:rFonts w:eastAsia="Times New Roman" w:cs="Calibri" w:ascii="Titillium" w:hAnsi="Titillium"/>
          <w:bCs/>
          <w:iCs/>
          <w:sz w:val="18"/>
          <w:szCs w:val="18"/>
        </w:rPr>
      </w:r>
    </w:p>
    <w:p>
      <w:pPr>
        <w:pStyle w:val="Heading3"/>
        <w:numPr>
          <w:ilvl w:val="1"/>
          <w:numId w:val="3"/>
        </w:numPr>
        <w:ind w:hanging="432" w:left="426"/>
        <w:rPr>
          <w:rFonts w:ascii="Titillium" w:hAnsi="Titillium"/>
          <w:iCs/>
          <w:caps/>
          <w:sz w:val="18"/>
          <w:szCs w:val="18"/>
        </w:rPr>
      </w:pPr>
      <w:bookmarkStart w:id="52" w:name="_Toc207275721"/>
      <w:r>
        <w:rPr>
          <w:rFonts w:ascii="Titillium" w:hAnsi="Titillium"/>
          <w:iCs/>
          <w:sz w:val="18"/>
          <w:szCs w:val="18"/>
        </w:rPr>
        <w:t>IDENTIFICAZIONE</w:t>
      </w:r>
      <w:bookmarkEnd w:id="52"/>
    </w:p>
    <w:p>
      <w:pPr>
        <w:pStyle w:val="Normal"/>
        <w:rPr>
          <w:rFonts w:ascii="Titillium" w:hAnsi="Titillium" w:cs="Calibri"/>
          <w:bCs/>
          <w:iCs/>
          <w:sz w:val="18"/>
          <w:szCs w:val="18"/>
        </w:rPr>
      </w:pPr>
      <w:r>
        <w:rPr>
          <w:rFonts w:cs="Calibri" w:ascii="Titillium" w:hAnsi="Titillium"/>
          <w:bCs/>
          <w:iCs/>
          <w:sz w:val="18"/>
          <w:szCs w:val="18"/>
        </w:rPr>
        <w:t>Per poter presentare offerta è necessario accedere alla PAD.</w:t>
      </w:r>
    </w:p>
    <w:p>
      <w:pPr>
        <w:pStyle w:val="Normal"/>
        <w:rPr>
          <w:rFonts w:ascii="Titillium" w:hAnsi="Titillium"/>
          <w:sz w:val="18"/>
          <w:szCs w:val="18"/>
        </w:rPr>
      </w:pPr>
      <w:r>
        <w:rPr>
          <w:rFonts w:ascii="Titillium" w:hAnsi="Titillium"/>
          <w:sz w:val="18"/>
          <w:szCs w:val="18"/>
        </w:rPr>
        <w:t xml:space="preserve">L’accesso è gratuito ed è consentito a seguito dell’identificazione dell’operatore economico. </w:t>
      </w:r>
    </w:p>
    <w:p>
      <w:pPr>
        <w:pStyle w:val="Normal"/>
        <w:rPr>
          <w:rFonts w:ascii="Titillium" w:hAnsi="Titillium"/>
          <w:sz w:val="18"/>
          <w:szCs w:val="18"/>
        </w:rPr>
      </w:pPr>
      <w:r>
        <w:rPr>
          <w:rFonts w:ascii="Titillium" w:hAnsi="Titillium"/>
          <w:sz w:val="18"/>
          <w:szCs w:val="18"/>
        </w:rPr>
        <w:t xml:space="preserve">L’identificazione avviene o mediante identità digitale SPID, o mediante carta d’identità elettronica (CIE) oppure carta nazionale dei servizi (CNS), secondo quanto previsto dal </w:t>
      </w:r>
      <w:r>
        <w:rPr>
          <w:rFonts w:cs="Calibri" w:ascii="Titillium" w:hAnsi="Titillium"/>
          <w:sz w:val="18"/>
          <w:szCs w:val="18"/>
        </w:rPr>
        <w:t>Codice dell'Amministrazione Digitale (decreto legislativo 7 marzo 2005, n. 82 e successive modificazioni),</w:t>
      </w:r>
      <w:r>
        <w:rPr>
          <w:rFonts w:ascii="Titillium" w:hAnsi="Titillium"/>
          <w:sz w:val="18"/>
          <w:szCs w:val="18"/>
        </w:rPr>
        <w:t xml:space="preserve"> o attraverso gli altri mezzi di identificazione elettronica per il riconoscimento reciproco transfrontaliero ai sensi del Regolamento eIDAS. In caso di operatore economico extra-UE, l’identificazione avviene attraverso una identità digitale compatibile con il framework di autenticazione stabilito dalla PAD di riferimento e caratterizzata da un Level of Assurance (LoA) pari o superiore a 3, in conformità allo standard ISO/IEC 29115 (e relative evoluzioni).</w:t>
      </w:r>
    </w:p>
    <w:p>
      <w:pPr>
        <w:pStyle w:val="Default"/>
        <w:tabs>
          <w:tab w:val="clear" w:pos="708"/>
          <w:tab w:val="left" w:pos="0" w:leader="none"/>
        </w:tabs>
        <w:spacing w:before="60" w:after="60"/>
        <w:rPr>
          <w:rFonts w:ascii="Titillium" w:hAnsi="Titillium"/>
          <w:sz w:val="18"/>
          <w:szCs w:val="18"/>
        </w:rPr>
      </w:pPr>
      <w:r>
        <w:rPr>
          <w:rFonts w:ascii="Titillium" w:hAnsi="Titillium"/>
          <w:sz w:val="18"/>
          <w:szCs w:val="18"/>
        </w:rPr>
        <w:t xml:space="preserve">Una volta completata la procedura di identificazione, ad ogni operatore economico identificato viene attribuito un profilo da utilizzare nella procedura di gara. </w:t>
      </w:r>
    </w:p>
    <w:p>
      <w:pPr>
        <w:pStyle w:val="Normal"/>
        <w:tabs>
          <w:tab w:val="clear" w:pos="708"/>
          <w:tab w:val="left" w:pos="0" w:leader="none"/>
        </w:tabs>
        <w:spacing w:before="60" w:after="60"/>
        <w:rPr>
          <w:rFonts w:ascii="Titillium" w:hAnsi="Titillium" w:cs="Calibri"/>
          <w:sz w:val="18"/>
          <w:szCs w:val="18"/>
        </w:rPr>
      </w:pPr>
      <w:r>
        <w:rPr>
          <w:rFonts w:cs="Calibri" w:ascii="Titillium" w:hAnsi="Titillium"/>
          <w:sz w:val="18"/>
          <w:szCs w:val="18"/>
        </w:rPr>
        <w:t xml:space="preserve">Eventuali richieste di assistenza di tipo informatico riguardanti l’identificazione e l’accesso alla PAD devono essere effettuate: </w:t>
      </w:r>
    </w:p>
    <w:p>
      <w:pPr>
        <w:pStyle w:val="Normal"/>
        <w:tabs>
          <w:tab w:val="clear" w:pos="708"/>
          <w:tab w:val="left" w:pos="0" w:leader="none"/>
        </w:tabs>
        <w:spacing w:before="60" w:after="60"/>
        <w:rPr>
          <w:rFonts w:ascii="Titillium" w:hAnsi="Titillium" w:cs="Calibri"/>
          <w:iCs/>
          <w:sz w:val="18"/>
          <w:szCs w:val="18"/>
        </w:rPr>
      </w:pPr>
      <w:r>
        <w:rPr>
          <w:rFonts w:cs="Calibri" w:ascii="Titillium" w:hAnsi="Titillium"/>
          <w:iCs/>
          <w:sz w:val="18"/>
          <w:szCs w:val="18"/>
        </w:rPr>
        <w:t>Numero Verde: 800 810 799</w:t>
      </w:r>
    </w:p>
    <w:p>
      <w:pPr>
        <w:pStyle w:val="Normal"/>
        <w:tabs>
          <w:tab w:val="clear" w:pos="708"/>
          <w:tab w:val="left" w:pos="0" w:leader="none"/>
        </w:tabs>
        <w:spacing w:before="60" w:after="60"/>
        <w:rPr>
          <w:rFonts w:ascii="Titillium" w:hAnsi="Titillium" w:cs="Calibri"/>
          <w:iCs/>
          <w:sz w:val="18"/>
          <w:szCs w:val="18"/>
        </w:rPr>
      </w:pPr>
      <w:r>
        <w:rPr>
          <w:rFonts w:cs="Calibri" w:ascii="Titillium" w:hAnsi="Titillium"/>
          <w:iCs/>
          <w:sz w:val="18"/>
          <w:szCs w:val="18"/>
        </w:rPr>
        <w:t>Tel: +390899712796 Mobile/Estero</w:t>
      </w:r>
    </w:p>
    <w:p>
      <w:pPr>
        <w:pStyle w:val="Normal"/>
        <w:tabs>
          <w:tab w:val="clear" w:pos="708"/>
          <w:tab w:val="left" w:pos="0" w:leader="none"/>
        </w:tabs>
        <w:spacing w:before="60" w:after="60"/>
        <w:rPr>
          <w:rFonts w:ascii="Titillium" w:hAnsi="Titillium" w:cs="Calibri"/>
          <w:iCs/>
          <w:sz w:val="18"/>
          <w:szCs w:val="18"/>
        </w:rPr>
      </w:pPr>
      <w:r>
        <w:rPr>
          <w:rFonts w:cs="Calibri" w:ascii="Titillium" w:hAnsi="Titillium"/>
          <w:iCs/>
          <w:sz w:val="18"/>
          <w:szCs w:val="18"/>
        </w:rPr>
        <w:t xml:space="preserve">Nei seguenti orari 9.00 – 13.00 / 14.00 – 18.00 oppure inviando una e-mail al seguente indirizzo: </w:t>
      </w:r>
      <w:hyperlink r:id="rId2">
        <w:r>
          <w:rPr>
            <w:rStyle w:val="Hyperlink"/>
            <w:rFonts w:cs="Calibri" w:ascii="Titillium" w:hAnsi="Titillium"/>
            <w:iCs/>
            <w:sz w:val="18"/>
            <w:szCs w:val="18"/>
          </w:rPr>
          <w:t>info.intercent@regione.emilia-romagna.it</w:t>
        </w:r>
      </w:hyperlink>
      <w:r>
        <w:rPr>
          <w:rFonts w:cs="Calibri" w:ascii="Titillium" w:hAnsi="Titillium"/>
          <w:iCs/>
          <w:sz w:val="18"/>
          <w:szCs w:val="18"/>
        </w:rPr>
        <w:t>.</w:t>
      </w:r>
    </w:p>
    <w:p>
      <w:pPr>
        <w:pStyle w:val="Normal"/>
        <w:tabs>
          <w:tab w:val="clear" w:pos="708"/>
          <w:tab w:val="left" w:pos="0" w:leader="none"/>
        </w:tabs>
        <w:spacing w:before="60" w:after="60"/>
        <w:rPr>
          <w:rFonts w:ascii="Titillium" w:hAnsi="Titillium" w:cs="Calibri"/>
          <w:iCs/>
          <w:sz w:val="18"/>
          <w:szCs w:val="18"/>
        </w:rPr>
      </w:pPr>
      <w:r>
        <w:rPr>
          <w:rFonts w:cs="Calibri" w:ascii="Titillium" w:hAnsi="Titillium"/>
          <w:iCs/>
          <w:sz w:val="18"/>
          <w:szCs w:val="18"/>
        </w:rPr>
      </w:r>
    </w:p>
    <w:p>
      <w:pPr>
        <w:pStyle w:val="Heading2"/>
        <w:numPr>
          <w:ilvl w:val="0"/>
          <w:numId w:val="3"/>
        </w:numPr>
        <w:rPr>
          <w:caps/>
        </w:rPr>
      </w:pPr>
      <w:bookmarkStart w:id="53" w:name="_Toc207275722"/>
      <w:bookmarkStart w:id="54" w:name="_Toc482101909"/>
      <w:bookmarkEnd w:id="54"/>
      <w:r>
        <w:rPr/>
        <w:t>DOCUMENTAZIONE DI GARA, CHIARIMENTI E COMUNICAZIONI</w:t>
      </w:r>
      <w:bookmarkEnd w:id="53"/>
    </w:p>
    <w:p>
      <w:pPr>
        <w:pStyle w:val="Heading3"/>
        <w:numPr>
          <w:ilvl w:val="1"/>
          <w:numId w:val="3"/>
        </w:numPr>
        <w:ind w:hanging="142" w:left="142"/>
        <w:rPr>
          <w:rFonts w:ascii="Titillium" w:hAnsi="Titillium"/>
          <w:iCs/>
          <w:sz w:val="18"/>
          <w:szCs w:val="18"/>
        </w:rPr>
      </w:pPr>
      <w:bookmarkStart w:id="55" w:name="_Toc207275723"/>
      <w:bookmarkStart w:id="56" w:name="_Ref138082059"/>
      <w:r>
        <w:rPr>
          <w:rFonts w:ascii="Titillium" w:hAnsi="Titillium"/>
          <w:iCs/>
          <w:sz w:val="18"/>
          <w:szCs w:val="18"/>
        </w:rPr>
        <w:t>DOCUMENTI DI GARA</w:t>
      </w:r>
      <w:bookmarkEnd w:id="55"/>
      <w:bookmarkEnd w:id="56"/>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rFonts w:ascii="Titillium" w:hAnsi="Titillium" w:cs="Calibri"/>
          <w:sz w:val="18"/>
          <w:szCs w:val="18"/>
        </w:rPr>
      </w:pPr>
      <w:r>
        <w:rPr>
          <w:rFonts w:cs="Calibri" w:ascii="Titillium" w:hAnsi="Titillium"/>
          <w:sz w:val="18"/>
          <w:szCs w:val="18"/>
        </w:rPr>
        <w:t>La documentazione di gara comprende:</w:t>
      </w:r>
    </w:p>
    <w:p>
      <w:pPr>
        <w:pStyle w:val="Normal"/>
        <w:numPr>
          <w:ilvl w:val="2"/>
          <w:numId w:val="15"/>
        </w:numPr>
        <w:spacing w:before="60" w:after="60"/>
        <w:ind w:hanging="283" w:left="709"/>
        <w:jc w:val="left"/>
        <w:rPr>
          <w:rFonts w:ascii="Titillium" w:hAnsi="Titillium" w:cs="Calibri"/>
          <w:bCs/>
          <w:iCs/>
          <w:sz w:val="18"/>
          <w:szCs w:val="18"/>
          <w:lang w:eastAsia="it-IT"/>
        </w:rPr>
      </w:pPr>
      <w:r>
        <w:rPr>
          <w:rFonts w:cs="Calibri" w:ascii="Titillium" w:hAnsi="Titillium"/>
          <w:bCs/>
          <w:iCs/>
          <w:sz w:val="18"/>
          <w:szCs w:val="18"/>
          <w:lang w:eastAsia="it-IT"/>
        </w:rPr>
        <w:t>determina;</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 xml:space="preserve">capitolato speciale; </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disciplinare di gara;</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allegato 1 clausole vessatorie;</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allegato 2 domanda di partecipazione;</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allegato 3 schema di contratto;</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 xml:space="preserve">allegato 4 autorizzazione al consenso al trattamento dei dati tramite il fascicolo virtuale; </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allegato 5 dichiarazione pari opportunità;</w:t>
      </w:r>
    </w:p>
    <w:p>
      <w:pPr>
        <w:pStyle w:val="Normal"/>
        <w:numPr>
          <w:ilvl w:val="2"/>
          <w:numId w:val="15"/>
        </w:numPr>
        <w:spacing w:before="60" w:after="60"/>
        <w:ind w:hanging="283" w:left="709"/>
        <w:rPr>
          <w:rFonts w:ascii="Titillium" w:hAnsi="Titillium" w:cs="Calibri"/>
          <w:bCs/>
          <w:iCs/>
          <w:sz w:val="18"/>
          <w:szCs w:val="18"/>
          <w:shd w:fill="FFFFFF" w:val="clear"/>
          <w:lang w:eastAsia="it-IT"/>
        </w:rPr>
      </w:pPr>
      <w:r>
        <w:rPr>
          <w:rFonts w:cs="Calibri" w:ascii="Titillium" w:hAnsi="Titillium"/>
          <w:bCs/>
          <w:iCs/>
          <w:sz w:val="18"/>
          <w:szCs w:val="18"/>
          <w:shd w:fill="FFFFFF" w:val="clear"/>
          <w:lang w:eastAsia="it-IT"/>
        </w:rPr>
        <w:t>allegato a scheda tecnica</w:t>
      </w:r>
    </w:p>
    <w:p>
      <w:pPr>
        <w:pStyle w:val="Normal"/>
        <w:numPr>
          <w:ilvl w:val="2"/>
          <w:numId w:val="15"/>
        </w:numPr>
        <w:spacing w:before="60" w:after="60"/>
        <w:ind w:hanging="283" w:left="709"/>
        <w:rPr>
          <w:shd w:fill="FFFFFF" w:val="clear"/>
        </w:rPr>
      </w:pPr>
      <w:r>
        <w:rPr>
          <w:rFonts w:cs="Calibri" w:ascii="Titillium" w:hAnsi="Titillium"/>
          <w:bCs/>
          <w:iCs/>
          <w:sz w:val="18"/>
          <w:szCs w:val="18"/>
          <w:shd w:fill="FFFFFF" w:val="clear"/>
          <w:lang w:eastAsia="it-IT"/>
        </w:rPr>
        <w:t>allegato e scheda offerta economica;</w:t>
      </w:r>
    </w:p>
    <w:p>
      <w:pPr>
        <w:pStyle w:val="Normal"/>
        <w:numPr>
          <w:ilvl w:val="2"/>
          <w:numId w:val="15"/>
        </w:numPr>
        <w:spacing w:before="60" w:after="60"/>
        <w:ind w:hanging="283" w:left="709"/>
        <w:rPr>
          <w:shd w:fill="FFFFFF" w:val="clear"/>
        </w:rPr>
      </w:pPr>
      <w:r>
        <w:rPr>
          <w:rFonts w:cs="Calibri" w:ascii="Titillium" w:hAnsi="Titillium"/>
          <w:bCs/>
          <w:iCs/>
          <w:sz w:val="18"/>
          <w:szCs w:val="18"/>
          <w:shd w:fill="FFFFFF" w:val="clear"/>
          <w:lang w:eastAsia="it-IT"/>
        </w:rPr>
        <w:t>documento di gara unico europeo in formato elettronico (DGUE) da compilare direttamente su Sater</w:t>
      </w:r>
    </w:p>
    <w:p>
      <w:pPr>
        <w:pStyle w:val="Normal"/>
        <w:numPr>
          <w:ilvl w:val="2"/>
          <w:numId w:val="15"/>
        </w:numPr>
        <w:spacing w:before="60" w:after="60"/>
        <w:ind w:hanging="283" w:left="709"/>
        <w:rPr>
          <w:shd w:fill="FFFFFF" w:val="clear"/>
        </w:rPr>
      </w:pPr>
      <w:r>
        <w:rPr>
          <w:rFonts w:cs="Calibri" w:ascii="Titillium" w:hAnsi="Titillium"/>
          <w:bCs/>
          <w:iCs/>
          <w:sz w:val="18"/>
          <w:szCs w:val="18"/>
          <w:shd w:fill="FFFFFF" w:val="clear"/>
          <w:lang w:eastAsia="it-IT"/>
        </w:rPr>
        <w:t>DUVRI</w:t>
      </w:r>
    </w:p>
    <w:p>
      <w:pPr>
        <w:pStyle w:val="Normal"/>
        <w:numPr>
          <w:ilvl w:val="2"/>
          <w:numId w:val="15"/>
        </w:numPr>
        <w:spacing w:before="60" w:after="60"/>
        <w:ind w:hanging="283" w:left="709"/>
        <w:rPr>
          <w:rFonts w:ascii="Titillium" w:hAnsi="Titillium" w:cs="Calibri"/>
          <w:bCs/>
          <w:iCs/>
          <w:sz w:val="18"/>
          <w:szCs w:val="18"/>
          <w:shd w:fill="FFFFFF" w:val="clear"/>
          <w:lang w:eastAsia="it-IT"/>
        </w:rPr>
      </w:pPr>
      <w:r>
        <w:rPr>
          <w:rFonts w:cs="Calibri" w:ascii="Titillium" w:hAnsi="Titillium"/>
          <w:bCs/>
          <w:iCs/>
          <w:sz w:val="18"/>
          <w:szCs w:val="18"/>
          <w:shd w:fill="FFFFFF" w:val="clear"/>
          <w:lang w:eastAsia="it-IT"/>
        </w:rPr>
        <w:t>tabella DUVRI</w:t>
      </w:r>
    </w:p>
    <w:p>
      <w:pPr>
        <w:pStyle w:val="Normal"/>
        <w:numPr>
          <w:ilvl w:val="2"/>
          <w:numId w:val="15"/>
        </w:numPr>
        <w:spacing w:before="60" w:after="60"/>
        <w:ind w:hanging="283" w:left="709"/>
        <w:rPr>
          <w:shd w:fill="FFFFFF" w:val="clear"/>
        </w:rPr>
      </w:pPr>
      <w:r>
        <w:rPr>
          <w:rFonts w:eastAsia="Calibri" w:cs="Book-Antiqua,Bold" w:ascii="Titillium" w:hAnsi="Titillium"/>
          <w:bCs/>
          <w:iCs/>
          <w:color w:val="000000"/>
          <w:sz w:val="18"/>
          <w:szCs w:val="18"/>
          <w:shd w:fill="FFFFFF" w:val="clear"/>
          <w:lang w:eastAsia="it-IT"/>
        </w:rPr>
        <w:t xml:space="preserve">istruzioni operative per accedere alla PAD e regole tecniche per l’utilizzo della stessa </w:t>
      </w:r>
      <w:r>
        <w:rPr>
          <w:rFonts w:eastAsia="Calibri" w:cs="Book-Antiqua,Bold" w:ascii="Titillium" w:hAnsi="Titillium"/>
          <w:bCs/>
          <w:color w:val="000000"/>
          <w:sz w:val="18"/>
          <w:szCs w:val="18"/>
          <w:shd w:fill="FFFFFF" w:val="clear"/>
          <w:lang w:eastAsia="it-IT"/>
        </w:rPr>
        <w:t>al link https://intercenter.regione.emilia-romagna.it dove è possibile trovare tale documentazione;</w:t>
      </w:r>
    </w:p>
    <w:p>
      <w:pPr>
        <w:pStyle w:val="Normal"/>
        <w:spacing w:before="60" w:after="60"/>
        <w:rPr>
          <w:rFonts w:ascii="Titillium" w:hAnsi="Titillium" w:cs="Calibri"/>
          <w:i/>
          <w:sz w:val="18"/>
          <w:szCs w:val="18"/>
        </w:rPr>
      </w:pPr>
      <w:r>
        <w:rPr>
          <w:rFonts w:cs="Calibri" w:ascii="Titillium" w:hAnsi="Titillium"/>
          <w:sz w:val="18"/>
          <w:szCs w:val="18"/>
          <w:shd w:fill="FFFFFF" w:val="clear"/>
        </w:rPr>
        <w:t>La documentazione di gara è accessibile gratuitamente, sul sito istituzionale della stazione appaltante, nella sezione “Amministrazione trasparente”, al seg</w:t>
      </w:r>
      <w:r>
        <w:rPr>
          <w:rFonts w:cs="Calibri" w:ascii="Titillium" w:hAnsi="Titillium"/>
          <w:sz w:val="18"/>
          <w:szCs w:val="18"/>
        </w:rPr>
        <w:t>uente link: www.ausl.bologna.it - sezione Bandi di gara e contratti – Bandi di gara</w:t>
      </w:r>
      <w:r>
        <w:rPr>
          <w:rFonts w:ascii="Titillium" w:hAnsi="Titillium"/>
          <w:sz w:val="18"/>
          <w:szCs w:val="18"/>
        </w:rPr>
        <w:t xml:space="preserve"> </w:t>
      </w:r>
      <w:r>
        <w:rPr>
          <w:rFonts w:cs="Calibri" w:ascii="Titillium" w:hAnsi="Titillium"/>
          <w:sz w:val="18"/>
          <w:szCs w:val="18"/>
        </w:rPr>
        <w:t>e sulla PAD https://intercenter.regione.emilia-romagna.it.</w:t>
      </w:r>
    </w:p>
    <w:p>
      <w:pPr>
        <w:pStyle w:val="Normal"/>
        <w:spacing w:before="60" w:after="60"/>
        <w:rPr>
          <w:rFonts w:ascii="Titillium" w:hAnsi="Titillium" w:cs="Calibri"/>
          <w:i/>
          <w:sz w:val="18"/>
          <w:szCs w:val="18"/>
        </w:rPr>
      </w:pPr>
      <w:r>
        <w:rPr>
          <w:rFonts w:cs="Calibri" w:ascii="Titillium" w:hAnsi="Titillium"/>
          <w:i/>
          <w:sz w:val="18"/>
          <w:szCs w:val="18"/>
        </w:rPr>
      </w:r>
    </w:p>
    <w:p>
      <w:pPr>
        <w:pStyle w:val="Heading3"/>
        <w:numPr>
          <w:ilvl w:val="1"/>
          <w:numId w:val="3"/>
        </w:numPr>
        <w:ind w:hanging="426" w:left="426"/>
        <w:rPr/>
      </w:pPr>
      <w:bookmarkStart w:id="57" w:name="_Toc207275724"/>
      <w:r>
        <w:rPr>
          <w:rFonts w:ascii="Titillium" w:hAnsi="Titillium"/>
          <w:sz w:val="18"/>
          <w:szCs w:val="18"/>
        </w:rPr>
        <w:t>CHIARIMENTI</w:t>
      </w:r>
      <w:bookmarkEnd w:id="57"/>
    </w:p>
    <w:p>
      <w:pPr>
        <w:pStyle w:val="Normal"/>
        <w:spacing w:before="60" w:after="60"/>
        <w:rPr>
          <w:rFonts w:ascii="Titillium" w:hAnsi="Titillium" w:cs="Calibri"/>
          <w:sz w:val="18"/>
          <w:szCs w:val="18"/>
        </w:rPr>
      </w:pPr>
      <w:r>
        <w:rPr>
          <w:rFonts w:cs="Calibri" w:ascii="Titillium" w:hAnsi="Titillium"/>
          <w:sz w:val="18"/>
          <w:szCs w:val="18"/>
        </w:rPr>
        <w:t>É possibile ottenere chiarimenti sulla presente procedura mediante la proposizione di quesiti scritti da inoltrare in via telematica attraverso l’apposita sezione, entro la data indicata sulla stessa Piattaforma, attraverso la sezione riservata alle richieste di chiarimenti: http://intercenter.regione.emilia-romagna.it/agenzia/utilizzo-del-sistema/guide/guide, previa registrazione alla Piattaforma stessa.</w:t>
      </w:r>
    </w:p>
    <w:p>
      <w:pPr>
        <w:pStyle w:val="Normal"/>
        <w:spacing w:before="60" w:after="60"/>
        <w:rPr>
          <w:rFonts w:ascii="Titillium" w:hAnsi="Titillium" w:cs="Calibri"/>
          <w:i/>
          <w:sz w:val="18"/>
          <w:szCs w:val="18"/>
        </w:rPr>
      </w:pPr>
      <w:r>
        <w:rPr>
          <w:rFonts w:cs="Calibri" w:ascii="Titillium" w:hAnsi="Titillium"/>
          <w:sz w:val="18"/>
          <w:szCs w:val="18"/>
        </w:rPr>
        <w:t xml:space="preserve">Le richieste di chiarimenti e le relative risposte sono formulate esclusivamente in lingua italiana </w:t>
      </w:r>
      <w:r>
        <w:rPr>
          <w:rFonts w:cs="Calibri" w:ascii="Titillium" w:hAnsi="Titillium"/>
          <w:i/>
          <w:iCs/>
          <w:sz w:val="18"/>
          <w:szCs w:val="18"/>
        </w:rPr>
        <w:t>[</w:t>
      </w:r>
      <w:r>
        <w:rPr>
          <w:rFonts w:cs="Calibri" w:ascii="Titillium" w:hAnsi="Titillium"/>
          <w:b/>
          <w:bCs/>
          <w:i/>
          <w:iCs/>
          <w:sz w:val="18"/>
          <w:szCs w:val="18"/>
        </w:rPr>
        <w:t>in alternativa</w:t>
      </w:r>
      <w:r>
        <w:rPr>
          <w:rFonts w:cs="Calibri" w:ascii="Titillium" w:hAnsi="Titillium"/>
          <w:i/>
          <w:iCs/>
          <w:sz w:val="18"/>
          <w:szCs w:val="18"/>
        </w:rPr>
        <w:t xml:space="preserve"> in caso di bilinguismo]</w:t>
      </w:r>
      <w:r>
        <w:rPr>
          <w:rFonts w:cs="Calibri" w:ascii="Titillium" w:hAnsi="Titillium"/>
          <w:sz w:val="18"/>
          <w:szCs w:val="18"/>
        </w:rPr>
        <w:t xml:space="preserve"> Le richieste di chiarimenti e le relative risposte sono formulate in lingua </w:t>
      </w:r>
      <w:r>
        <w:rPr>
          <w:rFonts w:cs="Calibri" w:ascii="Titillium" w:hAnsi="Titillium"/>
          <w:sz w:val="18"/>
          <w:szCs w:val="18"/>
          <w:lang w:eastAsia="it-IT"/>
        </w:rPr>
        <w:t>italiana [</w:t>
      </w:r>
      <w:r>
        <w:rPr>
          <w:rFonts w:cs="Calibri" w:ascii="Titillium" w:hAnsi="Titillium"/>
          <w:i/>
          <w:sz w:val="18"/>
          <w:szCs w:val="18"/>
          <w:lang w:eastAsia="it-IT"/>
        </w:rPr>
        <w:t>e, o specificare]</w:t>
      </w:r>
      <w:r>
        <w:rPr>
          <w:rFonts w:cs="Calibri" w:ascii="Titillium" w:hAnsi="Titillium"/>
          <w:sz w:val="18"/>
          <w:szCs w:val="18"/>
        </w:rPr>
        <w:t xml:space="preserve"> … </w:t>
      </w:r>
      <w:r>
        <w:rPr>
          <w:rFonts w:cs="Calibri" w:ascii="Titillium" w:hAnsi="Titillium"/>
          <w:i/>
          <w:sz w:val="18"/>
          <w:szCs w:val="18"/>
        </w:rPr>
        <w:t>[indicare l’altra lingua]</w:t>
      </w:r>
      <w:r>
        <w:rPr>
          <w:rFonts w:cs="Calibri" w:ascii="Titillium" w:hAnsi="Titillium"/>
          <w:sz w:val="18"/>
          <w:szCs w:val="18"/>
          <w:lang w:eastAsia="it-IT"/>
        </w:rPr>
        <w:t>.</w:t>
      </w:r>
    </w:p>
    <w:p>
      <w:pPr>
        <w:pStyle w:val="Normal"/>
        <w:spacing w:before="60" w:after="60"/>
        <w:rPr>
          <w:rFonts w:ascii="Titillium" w:hAnsi="Titillium" w:cs="Calibri"/>
          <w:b/>
          <w:sz w:val="18"/>
          <w:szCs w:val="18"/>
        </w:rPr>
      </w:pPr>
      <w:r>
        <w:rPr>
          <w:rFonts w:cs="Calibri" w:ascii="Titillium" w:hAnsi="Titillium"/>
          <w:sz w:val="18"/>
          <w:szCs w:val="18"/>
        </w:rPr>
        <w:t xml:space="preserve">Le risposte alle richieste di chiarimenti presentate in tempo utile sono fornite in formato elettronico almeno 6 giorni prima della scadenza del termine fissato per la presentazione delle offerte, mediante pubblicazione delle richieste in forma anonima e delle relative risposte sulla PAD http://intercenter.regione.emilia-romagna.it/agenzia/utilizzo-del-sistema/guide/guide e sul sito istituzionale www.ausl.bologna.it, sezione bandi di gara e contratti, bandi di gara. </w:t>
      </w:r>
      <w:r>
        <w:rPr>
          <w:rFonts w:cs="Calibri" w:ascii="Titillium" w:hAnsi="Titillium"/>
          <w:b/>
          <w:sz w:val="18"/>
          <w:szCs w:val="18"/>
        </w:rPr>
        <w:t xml:space="preserve"> </w:t>
      </w:r>
    </w:p>
    <w:p>
      <w:pPr>
        <w:pStyle w:val="Normal"/>
        <w:spacing w:before="60" w:after="60"/>
        <w:rPr/>
      </w:pPr>
      <w:r>
        <w:rPr>
          <w:rFonts w:cs="Calibri" w:ascii="Titillium" w:hAnsi="Titillium"/>
          <w:sz w:val="18"/>
          <w:szCs w:val="18"/>
        </w:rPr>
        <w:t>Si invitano i concorrenti a visionare costantemente tale sezione della PAD o il sito istituzionale.</w:t>
      </w:r>
    </w:p>
    <w:p>
      <w:pPr>
        <w:pStyle w:val="Normal"/>
        <w:spacing w:before="60" w:after="60"/>
        <w:rPr>
          <w:rFonts w:ascii="Titillium" w:hAnsi="Titillium" w:cs="Calibri"/>
          <w:sz w:val="18"/>
          <w:szCs w:val="18"/>
        </w:rPr>
      </w:pPr>
      <w:r>
        <w:rPr>
          <w:rFonts w:cs="Calibri" w:ascii="Titillium" w:hAnsi="Titillium"/>
          <w:sz w:val="18"/>
          <w:szCs w:val="18"/>
        </w:rPr>
        <w:t xml:space="preserve">La PAD invia automaticamente agli operatori economici una segnalazione di avviso. </w:t>
      </w:r>
    </w:p>
    <w:p>
      <w:pPr>
        <w:pStyle w:val="Normal"/>
        <w:spacing w:before="60" w:after="60"/>
        <w:rPr>
          <w:rFonts w:ascii="Titillium" w:hAnsi="Titillium" w:cs="Calibri"/>
          <w:b/>
          <w:bCs/>
          <w:sz w:val="18"/>
          <w:szCs w:val="18"/>
        </w:rPr>
      </w:pPr>
      <w:r>
        <w:rPr>
          <w:rFonts w:cs="Calibri" w:ascii="Titillium" w:hAnsi="Titillium"/>
          <w:b/>
          <w:bCs/>
          <w:sz w:val="18"/>
          <w:szCs w:val="18"/>
        </w:rPr>
        <w:t>Non viene fornita risposta alle richieste presentate con modalità diverse da quelle sopra indicate.</w:t>
      </w:r>
    </w:p>
    <w:p>
      <w:pPr>
        <w:pStyle w:val="Normal"/>
        <w:spacing w:before="60" w:after="60"/>
        <w:rPr>
          <w:rFonts w:ascii="Titillium" w:hAnsi="Titillium" w:cs="Calibri"/>
          <w:sz w:val="18"/>
          <w:szCs w:val="18"/>
        </w:rPr>
      </w:pPr>
      <w:r>
        <w:rPr>
          <w:rFonts w:cs="Calibri" w:ascii="Titillium" w:hAnsi="Titillium"/>
          <w:sz w:val="18"/>
          <w:szCs w:val="18"/>
        </w:rPr>
      </w:r>
    </w:p>
    <w:p>
      <w:pPr>
        <w:pStyle w:val="Heading3"/>
        <w:numPr>
          <w:ilvl w:val="1"/>
          <w:numId w:val="3"/>
        </w:numPr>
        <w:ind w:hanging="426" w:left="426"/>
        <w:rPr>
          <w:rFonts w:ascii="Titillium" w:hAnsi="Titillium"/>
          <w:caps/>
          <w:sz w:val="18"/>
          <w:szCs w:val="18"/>
        </w:rPr>
      </w:pPr>
      <w:bookmarkStart w:id="58" w:name="_Toc207275725"/>
      <w:bookmarkStart w:id="59" w:name="_Ref132304898"/>
      <w:r>
        <w:rPr>
          <w:rFonts w:ascii="Titillium" w:hAnsi="Titillium"/>
          <w:sz w:val="18"/>
          <w:szCs w:val="18"/>
        </w:rPr>
        <w:t>COMUNICAZIONI</w:t>
      </w:r>
      <w:bookmarkEnd w:id="58"/>
      <w:bookmarkEnd w:id="59"/>
    </w:p>
    <w:p>
      <w:pPr>
        <w:pStyle w:val="Normal"/>
        <w:rPr>
          <w:rFonts w:ascii="Titillium" w:hAnsi="Titillium"/>
          <w:sz w:val="18"/>
          <w:szCs w:val="18"/>
        </w:rPr>
      </w:pPr>
      <w:r>
        <w:rPr>
          <w:rFonts w:ascii="Titillium" w:hAnsi="Titillium"/>
          <w:sz w:val="18"/>
          <w:szCs w:val="18"/>
        </w:rPr>
        <w:t xml:space="preserve">Tutte le comunicazioni e gli scambi di informazioni tra stazione appaltante e operatori economici sono eseguiti in conformità con quanto disposto dal decreto legislativo n. 82/05, tramite la PAD e, per quanto non previsto dalle stessa piattaforma, mediante utilizzo del domicilio digitale estratto da uno degli indici di cui agli articoli 6-bis, 6-ter, 6-quater, del decreto legislativo n. 82/05 o, per gli operatori economici transfrontalieri, attraverso un indirizzo di servizio elettronico di recapito certificato qualificato ai sensi del Regolamento eIDAS. </w:t>
      </w:r>
    </w:p>
    <w:p>
      <w:pPr>
        <w:pStyle w:val="Normal"/>
        <w:rPr/>
      </w:pPr>
      <w:r>
        <w:rPr>
          <w:rFonts w:ascii="Titillium" w:hAnsi="Titillium"/>
          <w:sz w:val="18"/>
          <w:szCs w:val="18"/>
        </w:rPr>
        <w:t>In caso di malfunzionamento della PAD, la stazione appaltante provvederà all’invio di qualsiasi comunicazione al domicilio digitale presente negli indici di cui ai richiamati articoli 6-bis,6-ter, 6-quater del decreto legislativo n. 82/05.</w:t>
      </w:r>
    </w:p>
    <w:p>
      <w:pPr>
        <w:pStyle w:val="Normal"/>
        <w:spacing w:before="60" w:after="60"/>
        <w:rPr/>
      </w:pPr>
      <w:r>
        <w:rPr>
          <w:rFonts w:ascii="Titillium" w:hAnsi="Titillium"/>
          <w:sz w:val="18"/>
          <w:szCs w:val="18"/>
        </w:rPr>
        <w:t xml:space="preserve">In caso di raggruppamenti temporanei, GEIE, aggregazioni di rete o consorzi ordinari, anche se non ancora costituiti formalmente, gli operatori economici raggruppati, aggregati o consorziati eleggono domicilio digitale presso il mandatario/capofila al fine della ricezione delle comunicazioni relative alla presente procedura. </w:t>
      </w:r>
    </w:p>
    <w:p>
      <w:pPr>
        <w:pStyle w:val="Normal"/>
        <w:spacing w:before="60" w:after="60"/>
        <w:rPr/>
      </w:pPr>
      <w:r>
        <w:rPr>
          <w:rFonts w:ascii="Titillium" w:hAnsi="Titillium"/>
          <w:sz w:val="18"/>
          <w:szCs w:val="18"/>
        </w:rPr>
        <w:t>In caso di consorzi di cui all’art. 65 lett. b), c), d) del Codice, la comunicazione recapitata nei modi sopra indicati al consorzio si intende validamente resa a tutte le consorziate.</w:t>
      </w:r>
    </w:p>
    <w:p>
      <w:pPr>
        <w:pStyle w:val="Normal"/>
        <w:spacing w:before="60" w:after="60"/>
        <w:rPr/>
      </w:pPr>
      <w:r>
        <w:rPr>
          <w:rFonts w:ascii="Titillium" w:hAnsi="Titillium"/>
          <w:sz w:val="18"/>
          <w:szCs w:val="18"/>
        </w:rPr>
        <w:t>In caso di avvalimento, la comunicazione recapitata all’offerente nei modi sopra indicati si intende validamente resa a tutti gli operatori economici ausiliari.</w:t>
      </w:r>
    </w:p>
    <w:p>
      <w:pPr>
        <w:pStyle w:val="Normal"/>
        <w:rPr/>
      </w:pPr>
      <w:r>
        <w:rPr/>
      </w:r>
    </w:p>
    <w:p>
      <w:pPr>
        <w:pStyle w:val="Heading2"/>
        <w:numPr>
          <w:ilvl w:val="0"/>
          <w:numId w:val="3"/>
        </w:numPr>
        <w:rPr/>
      </w:pPr>
      <w:bookmarkStart w:id="60" w:name="_Toc354038170"/>
      <w:bookmarkStart w:id="61" w:name="_Toc380501861"/>
      <w:bookmarkStart w:id="62" w:name="_Toc391035973"/>
      <w:bookmarkStart w:id="63" w:name="_Toc391036046"/>
      <w:bookmarkStart w:id="64" w:name="_Ref132304635"/>
      <w:bookmarkStart w:id="65" w:name="_Ref132304546"/>
      <w:bookmarkStart w:id="66" w:name="_Ref132303600"/>
      <w:bookmarkStart w:id="67" w:name="_Ref131768152"/>
      <w:bookmarkStart w:id="68" w:name="_Ref498597801"/>
      <w:bookmarkStart w:id="69" w:name="_Toc392577488"/>
      <w:bookmarkStart w:id="70" w:name="_Toc393110555"/>
      <w:bookmarkStart w:id="71" w:name="_Toc393112119"/>
      <w:bookmarkStart w:id="72" w:name="_Toc393187836"/>
      <w:bookmarkStart w:id="73" w:name="_Toc393272592"/>
      <w:bookmarkStart w:id="74" w:name="_Toc393272650"/>
      <w:bookmarkStart w:id="75" w:name="_Toc393283166"/>
      <w:bookmarkStart w:id="76" w:name="_Toc393700825"/>
      <w:bookmarkStart w:id="77" w:name="_Toc393706898"/>
      <w:bookmarkStart w:id="78" w:name="_Toc397346813"/>
      <w:bookmarkStart w:id="79" w:name="_Toc397422854"/>
      <w:bookmarkStart w:id="80" w:name="_Toc403471261"/>
      <w:bookmarkStart w:id="81" w:name="_Toc406058367"/>
      <w:bookmarkStart w:id="82" w:name="_Toc406754168"/>
      <w:bookmarkStart w:id="83" w:name="_Toc416423353"/>
      <w:bookmarkStart w:id="84" w:name="_Toc207275726"/>
      <w:r>
        <w:rPr/>
        <w:t>OGGETTO DELL’APPALTO</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Normal"/>
        <w:spacing w:before="60" w:after="60"/>
        <w:rPr>
          <w:vertAlign w:val="superscript"/>
        </w:rPr>
      </w:pPr>
      <w:r>
        <w:rPr>
          <w:rFonts w:ascii="Titillium" w:hAnsi="Titillium"/>
          <w:sz w:val="18"/>
          <w:szCs w:val="18"/>
        </w:rPr>
        <w:t>L’appalto è costituito da un unico lotto poiché trattasi di unicità delle prestazioni.</w:t>
      </w:r>
    </w:p>
    <w:p>
      <w:pPr>
        <w:pStyle w:val="Normal"/>
        <w:spacing w:before="60" w:after="60"/>
        <w:rPr>
          <w:rFonts w:ascii="Titillium" w:hAnsi="Titillium"/>
          <w:sz w:val="18"/>
          <w:szCs w:val="18"/>
        </w:rPr>
      </w:pPr>
      <w:r>
        <w:rPr>
          <w:rFonts w:ascii="Titillium" w:hAnsi="Titillium"/>
          <w:sz w:val="18"/>
          <w:szCs w:val="18"/>
        </w:rPr>
      </w:r>
    </w:p>
    <w:p>
      <w:pPr>
        <w:pStyle w:val="Normal"/>
        <w:spacing w:before="60" w:after="60"/>
        <w:rPr>
          <w:shd w:fill="FFFFFF" w:val="clear"/>
        </w:rPr>
      </w:pPr>
      <w:r>
        <w:rPr>
          <w:rFonts w:ascii="Titillium" w:hAnsi="Titillium"/>
          <w:sz w:val="18"/>
          <w:szCs w:val="18"/>
          <w:shd w:fill="FFFFFF" w:val="clear"/>
        </w:rPr>
        <w:t>Tabella 1</w:t>
      </w:r>
    </w:p>
    <w:tbl>
      <w:tblPr>
        <w:tblW w:w="9322" w:type="dxa"/>
        <w:jc w:val="left"/>
        <w:tblInd w:w="5" w:type="dxa"/>
        <w:tblLayout w:type="fixed"/>
        <w:tblCellMar>
          <w:top w:w="0" w:type="dxa"/>
          <w:left w:w="108" w:type="dxa"/>
          <w:bottom w:w="0" w:type="dxa"/>
          <w:right w:w="108" w:type="dxa"/>
        </w:tblCellMar>
        <w:tblLook w:val="04a0" w:firstRow="1" w:noVBand="1" w:lastRow="0" w:firstColumn="1" w:lastColumn="0" w:noHBand="0"/>
      </w:tblPr>
      <w:tblGrid>
        <w:gridCol w:w="670"/>
        <w:gridCol w:w="3963"/>
        <w:gridCol w:w="1232"/>
        <w:gridCol w:w="995"/>
        <w:gridCol w:w="1114"/>
        <w:gridCol w:w="1348"/>
      </w:tblGrid>
      <w:tr>
        <w:trPr/>
        <w:tc>
          <w:tcPr>
            <w:tcW w:w="670"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jc w:val="center"/>
              <w:rPr>
                <w:rFonts w:ascii="Titillium" w:hAnsi="Titillium"/>
                <w:sz w:val="18"/>
                <w:szCs w:val="18"/>
              </w:rPr>
            </w:pPr>
            <w:r>
              <w:rPr>
                <w:rFonts w:ascii="Titillium" w:hAnsi="Titillium"/>
                <w:sz w:val="18"/>
                <w:szCs w:val="18"/>
              </w:rPr>
              <w:t>n.</w:t>
            </w:r>
          </w:p>
        </w:tc>
        <w:tc>
          <w:tcPr>
            <w:tcW w:w="3963"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60" w:after="60"/>
              <w:jc w:val="center"/>
              <w:rPr>
                <w:rFonts w:ascii="Titillium" w:hAnsi="Titillium"/>
                <w:sz w:val="18"/>
                <w:szCs w:val="18"/>
              </w:rPr>
            </w:pPr>
            <w:r>
              <w:rPr>
                <w:rFonts w:ascii="Titillium" w:hAnsi="Titillium"/>
                <w:sz w:val="18"/>
                <w:szCs w:val="18"/>
              </w:rPr>
              <w:t>Descrizione servizi/beni/lavori</w:t>
            </w:r>
          </w:p>
        </w:tc>
        <w:tc>
          <w:tcPr>
            <w:tcW w:w="123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60" w:after="60"/>
              <w:jc w:val="center"/>
              <w:rPr>
                <w:rFonts w:ascii="Titillium" w:hAnsi="Titillium"/>
                <w:sz w:val="18"/>
                <w:szCs w:val="18"/>
              </w:rPr>
            </w:pPr>
            <w:r>
              <w:rPr>
                <w:rFonts w:ascii="Titillium" w:hAnsi="Titillium"/>
                <w:sz w:val="18"/>
                <w:szCs w:val="18"/>
              </w:rPr>
              <w:t>CPV</w:t>
            </w:r>
          </w:p>
        </w:tc>
        <w:tc>
          <w:tcPr>
            <w:tcW w:w="99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60" w:after="60"/>
              <w:jc w:val="center"/>
              <w:rPr>
                <w:rFonts w:ascii="Titillium" w:hAnsi="Titillium"/>
                <w:sz w:val="18"/>
                <w:szCs w:val="18"/>
              </w:rPr>
            </w:pPr>
            <w:r>
              <w:rPr>
                <w:rFonts w:ascii="Titillium" w:hAnsi="Titillium"/>
                <w:sz w:val="18"/>
                <w:szCs w:val="18"/>
              </w:rPr>
              <w:t>ATECO</w:t>
            </w:r>
          </w:p>
        </w:tc>
        <w:tc>
          <w:tcPr>
            <w:tcW w:w="1114"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60" w:after="60"/>
              <w:jc w:val="center"/>
              <w:rPr>
                <w:rFonts w:ascii="Titillium" w:hAnsi="Titillium"/>
                <w:sz w:val="18"/>
                <w:szCs w:val="18"/>
              </w:rPr>
            </w:pPr>
            <w:r>
              <w:rPr>
                <w:rFonts w:ascii="Titillium" w:hAnsi="Titillium"/>
                <w:sz w:val="18"/>
                <w:szCs w:val="18"/>
              </w:rPr>
              <w:t>P (principale)</w:t>
            </w:r>
          </w:p>
          <w:p>
            <w:pPr>
              <w:pStyle w:val="Normal"/>
              <w:spacing w:before="60" w:after="60"/>
              <w:jc w:val="center"/>
              <w:rPr>
                <w:rFonts w:ascii="Titillium" w:hAnsi="Titillium"/>
                <w:sz w:val="18"/>
                <w:szCs w:val="18"/>
              </w:rPr>
            </w:pPr>
            <w:r>
              <w:rPr>
                <w:rFonts w:ascii="Titillium" w:hAnsi="Titillium"/>
                <w:sz w:val="18"/>
                <w:szCs w:val="18"/>
              </w:rPr>
              <w:t>S (secondaria)</w:t>
            </w:r>
          </w:p>
        </w:tc>
        <w:tc>
          <w:tcPr>
            <w:tcW w:w="13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60" w:after="60"/>
              <w:jc w:val="center"/>
              <w:rPr>
                <w:rFonts w:ascii="Titillium" w:hAnsi="Titillium"/>
                <w:sz w:val="18"/>
                <w:szCs w:val="18"/>
              </w:rPr>
            </w:pPr>
            <w:r>
              <w:rPr>
                <w:rFonts w:ascii="Titillium" w:hAnsi="Titillium"/>
                <w:sz w:val="18"/>
                <w:szCs w:val="18"/>
              </w:rPr>
              <w:t>Importo</w:t>
            </w:r>
          </w:p>
        </w:tc>
      </w:tr>
      <w:tr>
        <w:trPr/>
        <w:tc>
          <w:tcPr>
            <w:tcW w:w="670" w:type="dxa"/>
            <w:tcBorders>
              <w:top w:val="single" w:sz="4" w:space="0" w:color="000000"/>
              <w:left w:val="single" w:sz="4" w:space="0" w:color="000000"/>
              <w:bottom w:val="single" w:sz="4" w:space="0" w:color="000000"/>
              <w:right w:val="single" w:sz="4" w:space="0" w:color="000000"/>
            </w:tcBorders>
          </w:tcPr>
          <w:p>
            <w:pPr>
              <w:pStyle w:val="Normal"/>
              <w:spacing w:before="60" w:after="60"/>
              <w:jc w:val="center"/>
              <w:rPr>
                <w:rFonts w:ascii="Titillium" w:hAnsi="Titillium"/>
                <w:sz w:val="18"/>
                <w:szCs w:val="18"/>
              </w:rPr>
            </w:pPr>
            <w:r>
              <w:rPr>
                <w:rFonts w:ascii="Titillium" w:hAnsi="Titillium"/>
                <w:sz w:val="18"/>
                <w:szCs w:val="18"/>
              </w:rPr>
              <w:t>1</w:t>
            </w:r>
          </w:p>
        </w:tc>
        <w:tc>
          <w:tcPr>
            <w:tcW w:w="396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Titillium" w:hAnsi="Titillium"/>
                <w:sz w:val="18"/>
                <w:szCs w:val="18"/>
              </w:rPr>
            </w:pPr>
            <w:r>
              <w:rPr>
                <w:rFonts w:ascii="Titillium" w:hAnsi="Titillium"/>
                <w:sz w:val="18"/>
                <w:szCs w:val="18"/>
              </w:rPr>
              <w:t>Noleggio macchinette per colazione</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Titillium" w:hAnsi="Titillium"/>
                <w:sz w:val="18"/>
                <w:szCs w:val="18"/>
              </w:rPr>
            </w:pPr>
            <w:r>
              <w:rPr>
                <w:rFonts w:ascii="Titillium" w:hAnsi="Titillium"/>
                <w:sz w:val="18"/>
                <w:szCs w:val="18"/>
              </w:rPr>
              <w:t>42968100-0</w:t>
            </w:r>
          </w:p>
          <w:p>
            <w:pPr>
              <w:pStyle w:val="Normal"/>
              <w:spacing w:before="60" w:after="60"/>
              <w:jc w:val="center"/>
              <w:rPr>
                <w:rFonts w:ascii="Titillium" w:hAnsi="Titillium"/>
                <w:sz w:val="18"/>
                <w:szCs w:val="18"/>
              </w:rPr>
            </w:pPr>
            <w:r>
              <w:rPr>
                <w:rFonts w:ascii="Titillium" w:hAnsi="Titillium"/>
                <w:sz w:val="18"/>
                <w:szCs w:val="18"/>
              </w:rPr>
            </w:r>
          </w:p>
        </w:tc>
        <w:tc>
          <w:tcPr>
            <w:tcW w:w="995" w:type="dxa"/>
            <w:tcBorders>
              <w:top w:val="single" w:sz="4" w:space="0" w:color="000000"/>
              <w:left w:val="single" w:sz="4" w:space="0" w:color="000000"/>
              <w:bottom w:val="single" w:sz="4" w:space="0" w:color="000000"/>
              <w:right w:val="single" w:sz="4" w:space="0" w:color="000000"/>
            </w:tcBorders>
          </w:tcPr>
          <w:p>
            <w:pPr>
              <w:pStyle w:val="Normal"/>
              <w:spacing w:before="60" w:after="60"/>
              <w:jc w:val="center"/>
              <w:rPr>
                <w:rFonts w:ascii="Titillium" w:hAnsi="Titillium"/>
                <w:sz w:val="18"/>
                <w:szCs w:val="18"/>
              </w:rPr>
            </w:pPr>
            <w:r>
              <w:rPr>
                <w:rFonts w:ascii="Titillium" w:hAnsi="Titillium"/>
                <w:sz w:val="18"/>
                <w:szCs w:val="18"/>
              </w:rPr>
              <w:t>33.12.59</w:t>
            </w:r>
          </w:p>
        </w:tc>
        <w:tc>
          <w:tcPr>
            <w:tcW w:w="1114"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Titillium" w:hAnsi="Titillium"/>
                <w:sz w:val="18"/>
                <w:szCs w:val="18"/>
              </w:rPr>
            </w:pPr>
            <w:r>
              <w:rPr>
                <w:rFonts w:ascii="Titillium" w:hAnsi="Titillium"/>
                <w:sz w:val="18"/>
                <w:szCs w:val="18"/>
              </w:rPr>
              <w:t>P</w:t>
            </w:r>
          </w:p>
        </w:tc>
        <w:tc>
          <w:tcPr>
            <w:tcW w:w="1348"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Titillium" w:hAnsi="Titillium"/>
                <w:sz w:val="18"/>
                <w:szCs w:val="18"/>
              </w:rPr>
            </w:pPr>
            <w:r>
              <w:rPr>
                <w:rFonts w:ascii="Titillium" w:hAnsi="Titillium"/>
                <w:sz w:val="18"/>
                <w:szCs w:val="18"/>
              </w:rPr>
              <w:t xml:space="preserve">€ </w:t>
            </w:r>
            <w:r>
              <w:rPr>
                <w:rFonts w:ascii="Titillium" w:hAnsi="Titillium"/>
                <w:sz w:val="18"/>
                <w:szCs w:val="18"/>
              </w:rPr>
              <w:t>212.400,00</w:t>
            </w:r>
          </w:p>
        </w:tc>
      </w:tr>
      <w:tr>
        <w:trPr/>
        <w:tc>
          <w:tcPr>
            <w:tcW w:w="7974" w:type="dxa"/>
            <w:gridSpan w:val="5"/>
            <w:tcBorders>
              <w:top w:val="single" w:sz="4" w:space="0" w:color="000000"/>
              <w:left w:val="single" w:sz="4" w:space="0" w:color="000000"/>
              <w:bottom w:val="single" w:sz="4" w:space="0" w:color="000000"/>
              <w:right w:val="single" w:sz="4" w:space="0" w:color="000000"/>
            </w:tcBorders>
          </w:tcPr>
          <w:p>
            <w:pPr>
              <w:pStyle w:val="ListParagraph"/>
              <w:numPr>
                <w:ilvl w:val="0"/>
                <w:numId w:val="29"/>
              </w:numPr>
              <w:spacing w:before="60" w:after="60"/>
              <w:ind w:hanging="284" w:left="3232"/>
              <w:contextualSpacing w:val="false"/>
              <w:jc w:val="left"/>
              <w:rPr/>
            </w:pPr>
            <w:r>
              <w:rPr>
                <w:rFonts w:ascii="Titillium" w:hAnsi="Titillium"/>
                <w:b/>
                <w:sz w:val="18"/>
                <w:szCs w:val="18"/>
              </w:rPr>
              <w:t>Importo a base di gara</w:t>
            </w:r>
          </w:p>
        </w:tc>
        <w:tc>
          <w:tcPr>
            <w:tcW w:w="1348"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Titillium" w:hAnsi="Titillium"/>
                <w:sz w:val="18"/>
                <w:szCs w:val="18"/>
              </w:rPr>
            </w:pPr>
            <w:r>
              <w:rPr>
                <w:rFonts w:ascii="Titillium" w:hAnsi="Titillium"/>
                <w:sz w:val="18"/>
                <w:szCs w:val="18"/>
              </w:rPr>
              <w:t xml:space="preserve">€ </w:t>
            </w:r>
            <w:r>
              <w:rPr>
                <w:rFonts w:ascii="Titillium" w:hAnsi="Titillium"/>
                <w:sz w:val="18"/>
                <w:szCs w:val="18"/>
              </w:rPr>
              <w:t>212.400,00</w:t>
            </w:r>
          </w:p>
        </w:tc>
      </w:tr>
      <w:tr>
        <w:trPr/>
        <w:tc>
          <w:tcPr>
            <w:tcW w:w="7974" w:type="dxa"/>
            <w:gridSpan w:val="5"/>
            <w:tcBorders>
              <w:top w:val="single" w:sz="4" w:space="0" w:color="000000"/>
              <w:left w:val="single" w:sz="4" w:space="0" w:color="000000"/>
              <w:bottom w:val="single" w:sz="4" w:space="0" w:color="000000"/>
              <w:right w:val="single" w:sz="4" w:space="0" w:color="000000"/>
            </w:tcBorders>
          </w:tcPr>
          <w:p>
            <w:pPr>
              <w:pStyle w:val="ListParagraph"/>
              <w:numPr>
                <w:ilvl w:val="0"/>
                <w:numId w:val="29"/>
              </w:numPr>
              <w:spacing w:before="60" w:after="60"/>
              <w:ind w:hanging="284" w:left="3232"/>
              <w:contextualSpacing w:val="false"/>
              <w:jc w:val="left"/>
              <w:rPr/>
            </w:pPr>
            <w:r>
              <w:rPr>
                <w:rFonts w:ascii="Titillium" w:hAnsi="Titillium"/>
                <w:b/>
                <w:sz w:val="18"/>
                <w:szCs w:val="18"/>
              </w:rPr>
              <w:t>Costi della sicurezza da interferenze non soggetti a ribasso</w:t>
            </w:r>
          </w:p>
        </w:tc>
        <w:tc>
          <w:tcPr>
            <w:tcW w:w="1348"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Titillium" w:hAnsi="Titillium"/>
                <w:sz w:val="18"/>
                <w:szCs w:val="18"/>
              </w:rPr>
            </w:pPr>
            <w:r>
              <w:rPr>
                <w:rFonts w:ascii="Titillium" w:hAnsi="Titillium"/>
                <w:sz w:val="18"/>
                <w:szCs w:val="18"/>
              </w:rPr>
              <w:t xml:space="preserve">€        </w:t>
            </w:r>
            <w:r>
              <w:rPr>
                <w:rFonts w:ascii="Titillium" w:hAnsi="Titillium"/>
                <w:sz w:val="18"/>
                <w:szCs w:val="18"/>
              </w:rPr>
              <w:t>220,00</w:t>
            </w:r>
          </w:p>
        </w:tc>
      </w:tr>
      <w:tr>
        <w:trPr/>
        <w:tc>
          <w:tcPr>
            <w:tcW w:w="7974" w:type="dxa"/>
            <w:gridSpan w:val="5"/>
            <w:tcBorders>
              <w:top w:val="single" w:sz="4" w:space="0" w:color="000000"/>
              <w:left w:val="single" w:sz="4" w:space="0" w:color="000000"/>
              <w:bottom w:val="single" w:sz="4" w:space="0" w:color="000000"/>
              <w:right w:val="single" w:sz="4" w:space="0" w:color="000000"/>
            </w:tcBorders>
          </w:tcPr>
          <w:p>
            <w:pPr>
              <w:pStyle w:val="ListParagraph"/>
              <w:spacing w:before="60" w:after="60"/>
              <w:ind w:hanging="284" w:left="2807"/>
              <w:contextualSpacing/>
              <w:jc w:val="left"/>
              <w:rPr>
                <w:rFonts w:ascii="Titillium" w:hAnsi="Titillium"/>
                <w:b/>
                <w:sz w:val="18"/>
                <w:szCs w:val="18"/>
              </w:rPr>
            </w:pPr>
            <w:r>
              <w:rPr>
                <w:rFonts w:ascii="Titillium" w:hAnsi="Titillium"/>
                <w:b/>
                <w:sz w:val="18"/>
                <w:szCs w:val="18"/>
              </w:rPr>
              <w:t>A) + B) Importo complessivo € 212.620,00</w:t>
            </w:r>
          </w:p>
        </w:tc>
        <w:tc>
          <w:tcPr>
            <w:tcW w:w="1348"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29"/>
              </w:numPr>
              <w:spacing w:before="60" w:after="60"/>
              <w:ind w:hanging="360" w:left="2835"/>
              <w:contextualSpacing w:val="false"/>
              <w:jc w:val="left"/>
              <w:rPr>
                <w:rFonts w:ascii="Titillium" w:hAnsi="Titillium"/>
                <w:b/>
                <w:sz w:val="18"/>
                <w:szCs w:val="18"/>
              </w:rPr>
            </w:pPr>
            <w:r>
              <w:rPr>
                <w:rFonts w:ascii="Titillium" w:hAnsi="Titillium"/>
                <w:b/>
                <w:sz w:val="18"/>
                <w:szCs w:val="18"/>
              </w:rPr>
            </w:r>
            <w:bookmarkStart w:id="85" w:name="_Hlk132095196"/>
            <w:bookmarkEnd w:id="85"/>
          </w:p>
        </w:tc>
      </w:tr>
    </w:tbl>
    <w:p>
      <w:pPr>
        <w:pStyle w:val="Normal"/>
        <w:spacing w:before="60" w:after="60"/>
        <w:rPr>
          <w:rFonts w:ascii="Titillium" w:hAnsi="Titillium"/>
          <w:sz w:val="18"/>
          <w:szCs w:val="18"/>
        </w:rPr>
      </w:pPr>
      <w:r>
        <w:rPr>
          <w:rFonts w:ascii="Titillium" w:hAnsi="Titillium"/>
          <w:sz w:val="18"/>
          <w:szCs w:val="18"/>
        </w:rPr>
      </w:r>
    </w:p>
    <w:p>
      <w:pPr>
        <w:pStyle w:val="Normal"/>
        <w:spacing w:before="60" w:after="60"/>
        <w:rPr>
          <w:shd w:fill="FFFFFF" w:val="clear"/>
        </w:rPr>
      </w:pPr>
      <w:r>
        <w:rPr>
          <w:rFonts w:ascii="Titillium" w:hAnsi="Titillium"/>
          <w:sz w:val="18"/>
          <w:szCs w:val="18"/>
          <w:shd w:fill="FFFFFF" w:val="clear"/>
        </w:rPr>
        <w:t xml:space="preserve">L’importo a base di gara comprende i costi della manodopera che la stazione appaltante ha stimato pari al 25% calcolati sulla base di contratti analoghi. </w:t>
      </w:r>
    </w:p>
    <w:p>
      <w:pPr>
        <w:pStyle w:val="Normal"/>
        <w:spacing w:before="60" w:after="60"/>
        <w:rPr>
          <w:shd w:fill="FFFFFF" w:val="clear"/>
        </w:rPr>
      </w:pPr>
      <w:bookmarkStart w:id="86" w:name="_Hlk193974566"/>
      <w:r>
        <w:rPr>
          <w:rFonts w:ascii="Titillium" w:hAnsi="Titillium"/>
          <w:b/>
          <w:bCs/>
          <w:iCs/>
          <w:sz w:val="18"/>
          <w:szCs w:val="18"/>
          <w:shd w:fill="FFFFFF" w:val="clear"/>
        </w:rPr>
        <w:t xml:space="preserve">I costi della manodopera non sono ribassabili </w:t>
      </w:r>
      <w:r>
        <w:rPr>
          <w:rFonts w:ascii="Titillium" w:hAnsi="Titillium"/>
          <w:bCs/>
          <w:iCs/>
          <w:sz w:val="18"/>
          <w:szCs w:val="18"/>
          <w:shd w:fill="FFFFFF" w:val="clear"/>
        </w:rPr>
        <w:t>se non per dimostrate ragioni attinenti ad una più efficiente organizzazione aziendale o a condizioni fiscali o contributive di maggior favore che non comportano penalizzazioni per la manodopera.</w:t>
      </w:r>
      <w:bookmarkEnd w:id="86"/>
    </w:p>
    <w:p>
      <w:pPr>
        <w:pStyle w:val="Normal"/>
        <w:spacing w:before="60" w:after="60"/>
        <w:rPr>
          <w:rFonts w:ascii="Titillium" w:hAnsi="Titillium"/>
          <w:iCs/>
          <w:sz w:val="18"/>
          <w:szCs w:val="18"/>
        </w:rPr>
      </w:pPr>
      <w:r>
        <w:rPr>
          <w:rFonts w:ascii="Titillium" w:hAnsi="Titillium"/>
          <w:iCs/>
          <w:sz w:val="18"/>
          <w:szCs w:val="18"/>
        </w:rPr>
        <w:t xml:space="preserve">Il contratto collettivo nazionale di lavoro applicato al personale dipendente impiegato nell'attività oggetto dell'appalto è il seguente: </w:t>
      </w:r>
      <w:r>
        <w:rPr>
          <w:rFonts w:ascii="Titillium" w:hAnsi="Titillium"/>
          <w:iCs/>
          <w:sz w:val="18"/>
          <w:szCs w:val="18"/>
          <w:u w:val="single"/>
        </w:rPr>
        <w:t>Industria Metalmeccanica C011</w:t>
      </w:r>
      <w:r>
        <w:rPr>
          <w:rFonts w:ascii="Titillium" w:hAnsi="Titillium"/>
          <w:iCs/>
          <w:sz w:val="18"/>
          <w:szCs w:val="18"/>
        </w:rPr>
        <w:t>.</w:t>
      </w:r>
    </w:p>
    <w:p>
      <w:pPr>
        <w:pStyle w:val="Normal"/>
        <w:spacing w:before="60" w:after="60"/>
        <w:rPr>
          <w:shd w:fill="FFFFFF" w:val="clear"/>
        </w:rPr>
      </w:pPr>
      <w:r>
        <w:rPr>
          <w:rFonts w:cs="Calibri" w:ascii="Titillium" w:hAnsi="Titillium"/>
          <w:sz w:val="18"/>
          <w:szCs w:val="18"/>
          <w:shd w:fill="FFFFFF" w:val="clear"/>
        </w:rPr>
        <w:t xml:space="preserve">L’importo dei costi della sicurezza da interferenze è pari a € 220,00 </w:t>
      </w:r>
    </w:p>
    <w:p>
      <w:pPr>
        <w:pStyle w:val="Normal"/>
        <w:spacing w:before="60" w:after="60"/>
        <w:rPr>
          <w:rFonts w:ascii="Titillium" w:hAnsi="Titillium" w:cs="Calibri"/>
          <w:sz w:val="18"/>
          <w:szCs w:val="18"/>
        </w:rPr>
      </w:pPr>
      <w:r>
        <w:rPr>
          <w:rFonts w:ascii="Titillium" w:hAnsi="Titillium"/>
          <w:sz w:val="18"/>
          <w:szCs w:val="18"/>
        </w:rPr>
        <w:t xml:space="preserve">L’importo complessivo è al </w:t>
      </w:r>
      <w:r>
        <w:rPr>
          <w:rFonts w:cs="Calibri" w:ascii="Titillium" w:hAnsi="Titillium"/>
          <w:sz w:val="18"/>
          <w:szCs w:val="18"/>
        </w:rPr>
        <w:t>netto di</w:t>
      </w:r>
      <w:r>
        <w:rPr>
          <w:rFonts w:cs="Calibri" w:ascii="Titillium" w:hAnsi="Titillium"/>
          <w:i/>
          <w:sz w:val="18"/>
          <w:szCs w:val="18"/>
        </w:rPr>
        <w:t xml:space="preserve"> </w:t>
      </w:r>
      <w:r>
        <w:rPr>
          <w:rFonts w:cs="Calibri" w:ascii="Titillium" w:hAnsi="Titillium"/>
          <w:sz w:val="18"/>
          <w:szCs w:val="18"/>
        </w:rPr>
        <w:t>Iva.</w:t>
      </w:r>
    </w:p>
    <w:p>
      <w:pPr>
        <w:pStyle w:val="Normal"/>
        <w:spacing w:before="60" w:after="60"/>
        <w:rPr>
          <w:rFonts w:ascii="Titillium" w:hAnsi="Titillium"/>
          <w:sz w:val="18"/>
          <w:szCs w:val="18"/>
        </w:rPr>
      </w:pPr>
      <w:r>
        <w:rPr>
          <w:rFonts w:ascii="Titillium" w:hAnsi="Titillium"/>
          <w:sz w:val="18"/>
          <w:szCs w:val="18"/>
        </w:rPr>
        <w:t>L’appalto è finanziato con fondi dell’Azienda Committente.</w:t>
      </w:r>
    </w:p>
    <w:p>
      <w:pPr>
        <w:pStyle w:val="Heading3"/>
        <w:numPr>
          <w:ilvl w:val="1"/>
          <w:numId w:val="3"/>
        </w:numPr>
        <w:spacing w:before="120" w:after="80"/>
        <w:ind w:hanging="426" w:left="426"/>
        <w:rPr/>
      </w:pPr>
      <w:bookmarkStart w:id="87" w:name="_Toc207275727"/>
      <w:bookmarkStart w:id="88" w:name="_Toc484688819"/>
      <w:bookmarkStart w:id="89" w:name="_Toc485218255"/>
      <w:bookmarkStart w:id="90" w:name="_Toc483302328"/>
      <w:bookmarkStart w:id="91" w:name="_Toc483315878"/>
      <w:bookmarkStart w:id="92" w:name="_Toc483316084"/>
      <w:bookmarkStart w:id="93" w:name="_Toc483316287"/>
      <w:bookmarkStart w:id="94" w:name="_Toc483316418"/>
      <w:bookmarkStart w:id="95" w:name="_Toc483325721"/>
      <w:bookmarkStart w:id="96" w:name="_Toc483401200"/>
      <w:bookmarkStart w:id="97" w:name="_Toc483473997"/>
      <w:bookmarkStart w:id="98" w:name="_Toc483571426"/>
      <w:bookmarkStart w:id="99" w:name="_Toc483571547"/>
      <w:bookmarkStart w:id="100" w:name="_Toc483906924"/>
      <w:bookmarkStart w:id="101" w:name="_Toc484010674"/>
      <w:bookmarkStart w:id="102" w:name="_Toc484010796"/>
      <w:bookmarkStart w:id="103" w:name="_Toc484010920"/>
      <w:bookmarkStart w:id="104" w:name="_Toc484011042"/>
      <w:bookmarkStart w:id="105" w:name="_Toc484011164"/>
      <w:bookmarkStart w:id="106" w:name="_Toc484011639"/>
      <w:bookmarkStart w:id="107" w:name="_Toc484097713"/>
      <w:bookmarkStart w:id="108" w:name="_Toc484428885"/>
      <w:bookmarkStart w:id="109" w:name="_Toc484429055"/>
      <w:bookmarkStart w:id="110" w:name="_Toc484438630"/>
      <w:bookmarkStart w:id="111" w:name="_Toc484438754"/>
      <w:bookmarkStart w:id="112" w:name="_Toc484438878"/>
      <w:bookmarkStart w:id="113" w:name="_Toc484439798"/>
      <w:bookmarkStart w:id="114" w:name="_Toc484439921"/>
      <w:bookmarkStart w:id="115" w:name="_Toc484440045"/>
      <w:bookmarkStart w:id="116" w:name="_Toc484440405"/>
      <w:bookmarkStart w:id="117" w:name="_Toc484448064"/>
      <w:bookmarkStart w:id="118" w:name="_Toc484448189"/>
      <w:bookmarkStart w:id="119" w:name="_Toc484448313"/>
      <w:bookmarkStart w:id="120" w:name="_Toc484448437"/>
      <w:bookmarkStart w:id="121" w:name="_Toc484448561"/>
      <w:bookmarkStart w:id="122" w:name="_Toc484448685"/>
      <w:bookmarkStart w:id="123" w:name="_Toc484448808"/>
      <w:bookmarkStart w:id="124" w:name="_Toc484448932"/>
      <w:bookmarkStart w:id="125" w:name="_Toc484449056"/>
      <w:bookmarkStart w:id="126" w:name="_Toc484526551"/>
      <w:bookmarkStart w:id="127" w:name="_Toc484605271"/>
      <w:bookmarkStart w:id="128" w:name="_Toc484605395"/>
      <w:bookmarkStart w:id="129" w:name="_Toc484688264"/>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Fonts w:ascii="Titillium" w:hAnsi="Titillium"/>
          <w:sz w:val="18"/>
          <w:szCs w:val="18"/>
        </w:rPr>
        <w:t>DURATA</w:t>
      </w:r>
      <w:bookmarkEnd w:id="87"/>
      <w:r>
        <w:rPr>
          <w:rFonts w:ascii="Titillium" w:hAnsi="Titillium"/>
          <w:sz w:val="18"/>
          <w:szCs w:val="18"/>
        </w:rPr>
        <w:t xml:space="preserve"> </w:t>
      </w:r>
    </w:p>
    <w:p>
      <w:pPr>
        <w:pStyle w:val="Normal"/>
        <w:rPr>
          <w:rFonts w:ascii="Titillium" w:hAnsi="Titillium"/>
          <w:sz w:val="18"/>
          <w:szCs w:val="18"/>
        </w:rPr>
      </w:pPr>
      <w:r>
        <w:rPr>
          <w:rFonts w:ascii="Titillium" w:hAnsi="Titillium"/>
          <w:sz w:val="18"/>
          <w:szCs w:val="18"/>
        </w:rPr>
        <w:t xml:space="preserve">Il servizio dovrà essere assunto entro 30 giorni naturali e consecutivi, decorrenti dalla data di efficacia dell’aggiudicazione. Entro i 30 giorni di cui sopra dovranno essere installati, previo accordi con l’Azienda, tutti i distributori. </w:t>
      </w:r>
    </w:p>
    <w:p>
      <w:pPr>
        <w:pStyle w:val="Normal"/>
        <w:rPr>
          <w:rFonts w:ascii="Titillium" w:hAnsi="Titillium"/>
          <w:sz w:val="18"/>
          <w:szCs w:val="18"/>
        </w:rPr>
      </w:pPr>
      <w:r>
        <w:rPr>
          <w:rFonts w:ascii="Titillium" w:hAnsi="Titillium"/>
          <w:sz w:val="18"/>
          <w:szCs w:val="18"/>
        </w:rPr>
        <w:t xml:space="preserve">Dal 31 giorno decorrerà l’applicazione delle condizioni economiche indicate nell’offerta dell’aggiudicatario.  </w:t>
      </w:r>
    </w:p>
    <w:p>
      <w:pPr>
        <w:pStyle w:val="BodyText"/>
        <w:rPr>
          <w:rFonts w:ascii="Titillium" w:hAnsi="Titillium"/>
          <w:sz w:val="18"/>
          <w:szCs w:val="18"/>
          <w:lang w:val="it-IT" w:eastAsia="en-US"/>
        </w:rPr>
      </w:pPr>
      <w:r>
        <w:rPr>
          <w:rFonts w:ascii="Titillium" w:hAnsi="Titillium"/>
          <w:sz w:val="18"/>
          <w:szCs w:val="18"/>
          <w:lang w:val="it-IT" w:eastAsia="en-US"/>
        </w:rPr>
        <w:t>La durata del servizio è pari a 3 anni decorrenti dalla sottoscrizione del contratto, l’Azienda avrà facoltà di richiedere, alle stesse condizioni economico-contrattuali, il rinnovo per una durata di 3 anni, rinnovabile anche di anno in anno, sulla base di affettive esigenze dell'Azienda medesima</w:t>
      </w:r>
    </w:p>
    <w:p>
      <w:pPr>
        <w:pStyle w:val="Heading3"/>
        <w:numPr>
          <w:ilvl w:val="1"/>
          <w:numId w:val="3"/>
        </w:numPr>
        <w:spacing w:before="120" w:after="80"/>
        <w:ind w:hanging="426" w:left="426"/>
        <w:rPr>
          <w:rFonts w:ascii="Titillium" w:hAnsi="Titillium"/>
          <w:b/>
          <w:bCs/>
          <w:sz w:val="18"/>
          <w:szCs w:val="18"/>
        </w:rPr>
      </w:pPr>
      <w:bookmarkStart w:id="130" w:name="_Toc207275728"/>
      <w:r>
        <w:rPr>
          <w:rFonts w:ascii="Titillium" w:hAnsi="Titillium"/>
          <w:sz w:val="18"/>
          <w:szCs w:val="18"/>
        </w:rPr>
        <w:t>REVISIONE PREZZI</w:t>
      </w:r>
      <w:bookmarkEnd w:id="130"/>
      <w:r>
        <w:rPr>
          <w:rFonts w:ascii="Titillium" w:hAnsi="Titillium"/>
          <w:sz w:val="18"/>
          <w:szCs w:val="18"/>
        </w:rPr>
        <w:t xml:space="preserve"> </w:t>
      </w:r>
    </w:p>
    <w:p>
      <w:pPr>
        <w:pStyle w:val="Normal"/>
        <w:spacing w:before="120" w:after="60"/>
        <w:rPr>
          <w:rFonts w:ascii="Titillium" w:hAnsi="Titillium"/>
          <w:sz w:val="18"/>
          <w:szCs w:val="18"/>
        </w:rPr>
      </w:pPr>
      <w:r>
        <w:rPr>
          <w:rFonts w:ascii="Titillium" w:hAnsi="Titillium"/>
          <w:bCs/>
          <w:iCs/>
          <w:sz w:val="18"/>
          <w:szCs w:val="18"/>
        </w:rPr>
        <w:t>Q</w:t>
      </w:r>
      <w:r>
        <w:rPr>
          <w:rFonts w:ascii="Titillium" w:hAnsi="Titillium"/>
          <w:iCs/>
          <w:sz w:val="18"/>
          <w:szCs w:val="18"/>
        </w:rPr>
        <w:t xml:space="preserve">ualora nel corso di esecuzione del contratto, al verificarsi di particolari condizioni di natura oggettiva, si determina </w:t>
      </w:r>
      <w:r>
        <w:rPr>
          <w:rFonts w:cs="Calibri" w:ascii="Titillium" w:hAnsi="Titillium"/>
          <w:iCs/>
          <w:sz w:val="18"/>
          <w:szCs w:val="18"/>
        </w:rPr>
        <w:t>una variazione, in aumento o in diminuzione, del costo del servizio o dei beni superiore al cinque per cento dell’importo complessivo, i prezzi sono aggiornati automaticamente, nella misura dell’ottanta per cento del</w:t>
      </w:r>
      <w:r>
        <w:rPr>
          <w:rFonts w:ascii="Titillium" w:hAnsi="Titillium"/>
          <w:sz w:val="18"/>
          <w:szCs w:val="18"/>
        </w:rPr>
        <w:t xml:space="preserve"> valore eccedente la variazione del 5 per cento applicata alle prestazioni da eseguire. Ai fini della determinazione della variazione dei costi e dei prezzi si utilizzano gli indici sintetici elaborati dall’ISTAT con riguardo ai contratti di servizi e forniture, anche disaggregati, dei prezzi al consumo, dei prezzi alla produzione dell’industria e dei servizi e gli indici delle retribuzioni contrattuali orarie.</w:t>
      </w:r>
    </w:p>
    <w:p>
      <w:pPr>
        <w:pStyle w:val="Normal"/>
        <w:spacing w:before="120" w:after="60"/>
        <w:rPr>
          <w:rFonts w:ascii="Titillium" w:hAnsi="Titillium"/>
          <w:sz w:val="18"/>
          <w:szCs w:val="18"/>
        </w:rPr>
      </w:pPr>
      <w:r>
        <w:rPr>
          <w:rFonts w:ascii="Titillium" w:hAnsi="Titillium"/>
          <w:sz w:val="18"/>
          <w:szCs w:val="18"/>
        </w:rPr>
        <w:t>L'appaltatore potrà presentare richiesta scritta di revisione dei prezzi alla stazione appaltante, corredata dalla documentazione che attesti la variazione degli indici di prezzo.</w:t>
      </w:r>
    </w:p>
    <w:p>
      <w:pPr>
        <w:pStyle w:val="Normal"/>
        <w:spacing w:before="120" w:after="60"/>
        <w:rPr>
          <w:rFonts w:ascii="Titillium" w:hAnsi="Titillium"/>
          <w:sz w:val="18"/>
          <w:szCs w:val="18"/>
        </w:rPr>
      </w:pPr>
      <w:r>
        <w:rPr>
          <w:rFonts w:ascii="Titillium" w:hAnsi="Titillium"/>
          <w:sz w:val="18"/>
          <w:szCs w:val="18"/>
        </w:rPr>
        <w:t>La stazione appaltante valuterà la richiesta entro 30 giorni dalla ricezione della stessa. In caso di esito positivo, la revisione dei prezzi sarà formalizzata mediante comunicazione.</w:t>
      </w:r>
    </w:p>
    <w:p>
      <w:pPr>
        <w:pStyle w:val="Normal"/>
        <w:spacing w:before="120" w:after="60"/>
        <w:rPr>
          <w:rFonts w:ascii="Titillium" w:hAnsi="Titillium"/>
          <w:sz w:val="18"/>
          <w:szCs w:val="18"/>
        </w:rPr>
      </w:pPr>
      <w:r>
        <w:rPr>
          <w:rFonts w:ascii="Titillium" w:hAnsi="Titillium"/>
          <w:sz w:val="18"/>
          <w:szCs w:val="18"/>
        </w:rPr>
        <w:t>La revisione dei prezzi non potrà, in nessun caso, alterare la natura generale del contratto né comportare una modifica sostanziale delle prestazioni previste.</w:t>
      </w:r>
    </w:p>
    <w:p>
      <w:pPr>
        <w:pStyle w:val="Normal"/>
        <w:spacing w:before="120" w:after="60"/>
        <w:rPr>
          <w:rFonts w:ascii="Titillium" w:hAnsi="Titillium"/>
          <w:sz w:val="18"/>
          <w:szCs w:val="18"/>
        </w:rPr>
      </w:pPr>
      <w:r>
        <w:rPr>
          <w:rFonts w:ascii="Titillium" w:hAnsi="Titillium"/>
          <w:sz w:val="18"/>
          <w:szCs w:val="18"/>
        </w:rPr>
        <w:t>Le nuove condizioni economiche determinate dalla revisione dei prezzi saranno applicabili a partire dal 30° giorno successivo alla data di accettazione da parte della stazione appaltante.</w:t>
      </w:r>
    </w:p>
    <w:p>
      <w:pPr>
        <w:pStyle w:val="Normal"/>
        <w:spacing w:before="120" w:after="60"/>
        <w:rPr>
          <w:rFonts w:ascii="Titillium" w:hAnsi="Titillium"/>
          <w:color w:val="FF0000"/>
          <w:sz w:val="18"/>
          <w:szCs w:val="18"/>
        </w:rPr>
      </w:pPr>
      <w:r>
        <w:rPr>
          <w:rFonts w:ascii="Titillium" w:hAnsi="Titillium"/>
          <w:color w:val="FF0000"/>
          <w:sz w:val="18"/>
          <w:szCs w:val="18"/>
        </w:rPr>
      </w:r>
    </w:p>
    <w:p>
      <w:pPr>
        <w:pStyle w:val="Heading3"/>
        <w:numPr>
          <w:ilvl w:val="1"/>
          <w:numId w:val="3"/>
        </w:numPr>
        <w:spacing w:before="120" w:after="80"/>
        <w:ind w:hanging="426" w:left="426"/>
        <w:rPr>
          <w:rFonts w:ascii="Titillium" w:hAnsi="Titillium"/>
          <w:sz w:val="18"/>
          <w:szCs w:val="18"/>
        </w:rPr>
      </w:pPr>
      <w:bookmarkStart w:id="131" w:name="_Toc207275729"/>
      <w:r>
        <w:rPr>
          <w:rFonts w:ascii="Titillium" w:hAnsi="Titillium"/>
          <w:sz w:val="18"/>
          <w:szCs w:val="18"/>
        </w:rPr>
        <w:t>MODIFICA DEL CONTRATTO IN FASE DI ESECUZIONE</w:t>
      </w:r>
      <w:bookmarkEnd w:id="131"/>
    </w:p>
    <w:p>
      <w:pPr>
        <w:pStyle w:val="Normal"/>
        <w:spacing w:before="120" w:after="60"/>
        <w:rPr>
          <w:rFonts w:ascii="Titillium" w:hAnsi="Titillium"/>
          <w:sz w:val="18"/>
          <w:szCs w:val="18"/>
        </w:rPr>
      </w:pPr>
      <w:r>
        <w:rPr>
          <w:rFonts w:ascii="Titillium" w:hAnsi="Titillium"/>
          <w:b/>
          <w:iCs/>
          <w:sz w:val="18"/>
          <w:szCs w:val="18"/>
        </w:rPr>
        <w:t>Opzione di proroga del contratto</w:t>
      </w:r>
      <w:r>
        <w:rPr>
          <w:rFonts w:ascii="Titillium" w:hAnsi="Titillium"/>
          <w:bCs/>
          <w:iCs/>
          <w:sz w:val="18"/>
          <w:szCs w:val="18"/>
        </w:rPr>
        <w:t>: la stazione appaltante si riserva di prorogare</w:t>
      </w:r>
      <w:r>
        <w:rPr>
          <w:rFonts w:ascii="Titillium" w:hAnsi="Titillium"/>
          <w:b/>
          <w:iCs/>
          <w:sz w:val="18"/>
          <w:szCs w:val="18"/>
        </w:rPr>
        <w:t xml:space="preserve"> i</w:t>
      </w:r>
      <w:r>
        <w:rPr>
          <w:rFonts w:ascii="Titillium" w:hAnsi="Titillium"/>
          <w:iCs/>
          <w:sz w:val="18"/>
          <w:szCs w:val="18"/>
        </w:rPr>
        <w:t>l contratto per una durata massima pari a</w:t>
      </w:r>
      <w:r>
        <w:rPr>
          <w:rFonts w:ascii="Titillium" w:hAnsi="Titillium"/>
          <w:i/>
          <w:sz w:val="18"/>
          <w:szCs w:val="18"/>
        </w:rPr>
        <w:t xml:space="preserve"> </w:t>
      </w:r>
      <w:r>
        <w:rPr>
          <w:rFonts w:ascii="Titillium" w:hAnsi="Titillium"/>
          <w:iCs/>
          <w:sz w:val="18"/>
          <w:szCs w:val="18"/>
        </w:rPr>
        <w:t xml:space="preserve">6 mesi </w:t>
      </w:r>
      <w:r>
        <w:rPr>
          <w:rFonts w:ascii="Titillium" w:hAnsi="Titillium"/>
          <w:sz w:val="18"/>
          <w:szCs w:val="18"/>
        </w:rPr>
        <w:t>ai prezzi, patti e condizioni stabiliti nel contratto</w:t>
      </w:r>
      <w:r>
        <w:rPr>
          <w:rFonts w:ascii="Titillium" w:hAnsi="Titillium"/>
          <w:b/>
          <w:bCs/>
          <w:iCs/>
          <w:sz w:val="18"/>
          <w:szCs w:val="18"/>
        </w:rPr>
        <w:t>.</w:t>
      </w:r>
      <w:r>
        <w:rPr>
          <w:rFonts w:ascii="Titillium" w:hAnsi="Titillium"/>
          <w:iCs/>
          <w:sz w:val="18"/>
          <w:szCs w:val="18"/>
        </w:rPr>
        <w:t xml:space="preserve"> L’importo stimato di tale opzione è pari a €</w:t>
      </w:r>
      <w:r>
        <w:rPr>
          <w:rFonts w:ascii="Titillium" w:hAnsi="Titillium"/>
          <w:iCs/>
          <w:sz w:val="18"/>
          <w:szCs w:val="18"/>
          <w:lang w:eastAsia="it-IT"/>
        </w:rPr>
        <w:t xml:space="preserve"> 35.400,00</w:t>
      </w:r>
      <w:r>
        <w:rPr>
          <w:rFonts w:ascii="Titillium" w:hAnsi="Titillium"/>
          <w:i/>
          <w:sz w:val="18"/>
          <w:szCs w:val="18"/>
        </w:rPr>
        <w:t xml:space="preserve">, </w:t>
      </w:r>
      <w:r>
        <w:rPr>
          <w:rFonts w:ascii="Titillium" w:hAnsi="Titillium"/>
          <w:iCs/>
          <w:sz w:val="18"/>
          <w:szCs w:val="18"/>
        </w:rPr>
        <w:t>al netto di Iva. L’</w:t>
      </w:r>
      <w:r>
        <w:rPr>
          <w:rFonts w:ascii="Titillium" w:hAnsi="Titillium"/>
          <w:sz w:val="18"/>
          <w:szCs w:val="18"/>
        </w:rPr>
        <w:t>esercizio di tale facoltà è comunicato all’appaltatore almeno 30 giorni prima della scadenza del contratto.</w:t>
      </w:r>
    </w:p>
    <w:p>
      <w:pPr>
        <w:pStyle w:val="Normal"/>
        <w:spacing w:before="60" w:after="60"/>
        <w:rPr>
          <w:rFonts w:ascii="Titillium" w:hAnsi="Titillium"/>
          <w:bCs/>
          <w:iCs/>
          <w:sz w:val="18"/>
          <w:szCs w:val="18"/>
        </w:rPr>
      </w:pPr>
      <w:bookmarkStart w:id="132" w:name="_Toc484688821"/>
      <w:bookmarkStart w:id="133" w:name="_Toc485218257"/>
      <w:bookmarkStart w:id="134" w:name="_Toc482025708"/>
      <w:bookmarkStart w:id="135" w:name="_Toc482097531"/>
      <w:bookmarkStart w:id="136" w:name="_Toc482097620"/>
      <w:bookmarkStart w:id="137" w:name="_Toc482097709"/>
      <w:bookmarkStart w:id="138" w:name="_Toc482097901"/>
      <w:bookmarkStart w:id="139" w:name="_Toc482098999"/>
      <w:bookmarkStart w:id="140" w:name="_Toc483302330"/>
      <w:bookmarkStart w:id="141" w:name="_Toc483315880"/>
      <w:bookmarkStart w:id="142" w:name="_Toc483316086"/>
      <w:bookmarkStart w:id="143" w:name="_Toc483316289"/>
      <w:bookmarkStart w:id="144" w:name="_Toc483316420"/>
      <w:bookmarkStart w:id="145" w:name="_Toc483325723"/>
      <w:bookmarkStart w:id="146" w:name="_Toc483401202"/>
      <w:bookmarkStart w:id="147" w:name="_Toc483473999"/>
      <w:bookmarkStart w:id="148" w:name="_Toc483571428"/>
      <w:bookmarkStart w:id="149" w:name="_Toc483571549"/>
      <w:bookmarkStart w:id="150" w:name="_Toc483906926"/>
      <w:bookmarkStart w:id="151" w:name="_Toc484010676"/>
      <w:bookmarkStart w:id="152" w:name="_Toc484010798"/>
      <w:bookmarkStart w:id="153" w:name="_Toc484010922"/>
      <w:bookmarkStart w:id="154" w:name="_Toc484011044"/>
      <w:bookmarkStart w:id="155" w:name="_Toc484011166"/>
      <w:bookmarkStart w:id="156" w:name="_Toc484011641"/>
      <w:bookmarkStart w:id="157" w:name="_Toc484097715"/>
      <w:bookmarkStart w:id="158" w:name="_Toc484428887"/>
      <w:bookmarkStart w:id="159" w:name="_Toc484429057"/>
      <w:bookmarkStart w:id="160" w:name="_Toc484438632"/>
      <w:bookmarkStart w:id="161" w:name="_Toc484438756"/>
      <w:bookmarkStart w:id="162" w:name="_Toc484438880"/>
      <w:bookmarkStart w:id="163" w:name="_Toc484439800"/>
      <w:bookmarkStart w:id="164" w:name="_Toc484439923"/>
      <w:bookmarkStart w:id="165" w:name="_Toc484440047"/>
      <w:bookmarkStart w:id="166" w:name="_Toc484440407"/>
      <w:bookmarkStart w:id="167" w:name="_Toc484448066"/>
      <w:bookmarkStart w:id="168" w:name="_Toc484448191"/>
      <w:bookmarkStart w:id="169" w:name="_Toc484448315"/>
      <w:bookmarkStart w:id="170" w:name="_Toc484448439"/>
      <w:bookmarkStart w:id="171" w:name="_Toc484448563"/>
      <w:bookmarkStart w:id="172" w:name="_Toc484448687"/>
      <w:bookmarkStart w:id="173" w:name="_Toc484448810"/>
      <w:bookmarkStart w:id="174" w:name="_Toc484448934"/>
      <w:bookmarkStart w:id="175" w:name="_Toc484449058"/>
      <w:bookmarkStart w:id="176" w:name="_Toc484526553"/>
      <w:bookmarkStart w:id="177" w:name="_Toc484605273"/>
      <w:bookmarkStart w:id="178" w:name="_Toc484605397"/>
      <w:bookmarkStart w:id="179" w:name="_Toc484688266"/>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Pr>
          <w:rFonts w:ascii="Titillium" w:hAnsi="Titillium"/>
          <w:b/>
          <w:iCs/>
          <w:sz w:val="18"/>
          <w:szCs w:val="18"/>
        </w:rPr>
        <w:t xml:space="preserve">Variazione fino a concorrenza del quinto dell’importo del contratto: </w:t>
      </w:r>
      <w:r>
        <w:rPr>
          <w:rFonts w:ascii="Titillium" w:hAnsi="Titillium"/>
          <w:bCs/>
          <w:iCs/>
          <w:sz w:val="18"/>
          <w:szCs w:val="18"/>
        </w:rPr>
        <w:t xml:space="preserve">qualora in corso di esecuzione si renda necessario un aumento o una diminuzione delle prestazioni fino alla concorrenza del quinto dell'importo del contratto, la stazione appaltante può imporre all'appaltatore l'esecuzione alle condizioni originariamente previste. In tal caso l'appaltatore non può fare valere il diritto alla risoluzione del contratto. </w:t>
      </w:r>
    </w:p>
    <w:p>
      <w:pPr>
        <w:pStyle w:val="Normal"/>
        <w:spacing w:before="60" w:after="60"/>
        <w:rPr>
          <w:rFonts w:ascii="Titillium" w:hAnsi="Titillium" w:cs="Calibri"/>
          <w:iCs/>
          <w:sz w:val="18"/>
          <w:szCs w:val="18"/>
        </w:rPr>
      </w:pPr>
      <w:r>
        <w:rPr>
          <w:rFonts w:ascii="Titillium" w:hAnsi="Titillium"/>
          <w:b/>
          <w:bCs/>
          <w:iCs/>
          <w:sz w:val="18"/>
          <w:szCs w:val="18"/>
        </w:rPr>
        <w:t>M</w:t>
      </w:r>
      <w:r>
        <w:rPr>
          <w:rFonts w:cs="Calibri" w:ascii="Titillium" w:hAnsi="Titillium"/>
          <w:b/>
          <w:bCs/>
          <w:iCs/>
          <w:sz w:val="18"/>
          <w:szCs w:val="18"/>
        </w:rPr>
        <w:t xml:space="preserve">odifiche del contratto ai sensi dell’articolo 120, comma 1, lettera a) del Codice: </w:t>
      </w:r>
      <w:r>
        <w:rPr>
          <w:rFonts w:cs="Calibri" w:ascii="Titillium" w:hAnsi="Titillium"/>
          <w:iCs/>
          <w:sz w:val="18"/>
          <w:szCs w:val="18"/>
        </w:rPr>
        <w:t>la stazione appaltante si riserva di modificare il contratto in corso di esecuzione, nei casi di fabbisogno di altre Aziende Sanitarie.</w:t>
      </w:r>
    </w:p>
    <w:p>
      <w:pPr>
        <w:pStyle w:val="Normal"/>
        <w:spacing w:before="60" w:after="60"/>
        <w:rPr>
          <w:i/>
        </w:rPr>
      </w:pPr>
      <w:r>
        <w:rPr>
          <w:rFonts w:ascii="Titillium" w:hAnsi="Titillium"/>
          <w:iCs/>
          <w:sz w:val="18"/>
          <w:szCs w:val="18"/>
        </w:rPr>
        <w:t xml:space="preserve">Il </w:t>
      </w:r>
      <w:r>
        <w:rPr>
          <w:rFonts w:ascii="Titillium" w:hAnsi="Titillium"/>
          <w:b/>
          <w:bCs/>
          <w:sz w:val="18"/>
          <w:szCs w:val="18"/>
        </w:rPr>
        <w:t>valore globale stimato</w:t>
      </w:r>
      <w:r>
        <w:rPr>
          <w:rFonts w:ascii="Titillium" w:hAnsi="Titillium"/>
          <w:sz w:val="18"/>
          <w:szCs w:val="18"/>
        </w:rPr>
        <w:t xml:space="preserve"> dell’appalto è pari ad </w:t>
      </w:r>
      <w:r>
        <w:rPr>
          <w:rFonts w:ascii="Titillium" w:hAnsi="Titillium"/>
          <w:i/>
          <w:iCs/>
          <w:sz w:val="18"/>
          <w:szCs w:val="18"/>
          <w:lang w:eastAsia="it-IT"/>
        </w:rPr>
        <w:t xml:space="preserve"> </w:t>
      </w:r>
      <w:r>
        <w:rPr>
          <w:rFonts w:ascii="Titillium" w:hAnsi="Titillium"/>
          <w:sz w:val="18"/>
          <w:szCs w:val="18"/>
          <w:lang w:eastAsia="it-IT"/>
        </w:rPr>
        <w:t>€ 672.820,00</w:t>
      </w:r>
    </w:p>
    <w:p>
      <w:pPr>
        <w:pStyle w:val="caption1"/>
        <w:rPr>
          <w:shd w:fill="FFFFFF" w:val="clear"/>
        </w:rPr>
      </w:pPr>
      <w:r>
        <w:rPr>
          <w:rFonts w:ascii="Titillium" w:hAnsi="Titillium"/>
          <w:sz w:val="18"/>
          <w:shd w:fill="FFFFFF" w:val="clear"/>
        </w:rPr>
        <w:t xml:space="preserve">Tabella </w:t>
      </w:r>
      <w:r>
        <w:rPr>
          <w:rFonts w:ascii="Titillium" w:hAnsi="Titillium"/>
          <w:sz w:val="18"/>
          <w:shd w:fill="FFFFFF" w:val="clear"/>
        </w:rPr>
        <w:fldChar w:fldCharType="begin"/>
      </w:r>
      <w:r>
        <w:rPr>
          <w:rFonts w:ascii="Titillium" w:hAnsi="Titillium"/>
          <w:sz w:val="18"/>
          <w:shd w:fill="FFFFFF" w:val="clear"/>
        </w:rPr>
        <w:instrText xml:space="preserve"> SEQ Tabella \* ARABIC </w:instrText>
      </w:r>
      <w:r>
        <w:rPr>
          <w:rFonts w:ascii="Titillium" w:hAnsi="Titillium"/>
          <w:sz w:val="18"/>
          <w:shd w:fill="FFFFFF" w:val="clear"/>
        </w:rPr>
        <w:fldChar w:fldCharType="separate"/>
      </w:r>
      <w:r>
        <w:rPr>
          <w:rFonts w:ascii="Titillium" w:hAnsi="Titillium"/>
          <w:sz w:val="18"/>
          <w:shd w:fill="FFFFFF" w:val="clear"/>
        </w:rPr>
        <w:t>1</w:t>
      </w:r>
      <w:r>
        <w:rPr>
          <w:rFonts w:ascii="Titillium" w:hAnsi="Titillium"/>
          <w:sz w:val="18"/>
          <w:shd w:fill="FFFFFF" w:val="clear"/>
        </w:rPr>
        <w:fldChar w:fldCharType="end"/>
      </w:r>
    </w:p>
    <w:tbl>
      <w:tblPr>
        <w:tblStyle w:val="Grigliatabella"/>
        <w:tblW w:w="9214" w:type="dxa"/>
        <w:jc w:val="left"/>
        <w:tblInd w:w="113" w:type="dxa"/>
        <w:tblLayout w:type="fixed"/>
        <w:tblCellMar>
          <w:top w:w="0" w:type="dxa"/>
          <w:left w:w="108" w:type="dxa"/>
          <w:bottom w:w="0" w:type="dxa"/>
          <w:right w:w="108" w:type="dxa"/>
        </w:tblCellMar>
        <w:tblLook w:val="04a0" w:firstRow="1" w:noVBand="1" w:lastRow="0" w:firstColumn="1" w:lastColumn="0" w:noHBand="0"/>
      </w:tblPr>
      <w:tblGrid>
        <w:gridCol w:w="5943"/>
        <w:gridCol w:w="3271"/>
      </w:tblGrid>
      <w:tr>
        <w:trPr>
          <w:trHeight w:val="330" w:hRule="atLeast"/>
        </w:trPr>
        <w:tc>
          <w:tcPr>
            <w:tcW w:w="5943" w:type="dxa"/>
            <w:tcBorders/>
          </w:tcPr>
          <w:p>
            <w:pPr>
              <w:pStyle w:val="Normal"/>
              <w:widowControl/>
              <w:suppressAutoHyphens w:val="true"/>
              <w:spacing w:before="0" w:after="0"/>
              <w:rPr>
                <w:rFonts w:ascii="Titillium" w:hAnsi="Titillium"/>
                <w:sz w:val="18"/>
                <w:szCs w:val="18"/>
              </w:rPr>
            </w:pPr>
            <w:r>
              <w:rPr>
                <w:rFonts w:ascii="Titillium" w:hAnsi="Titillium"/>
                <w:b/>
                <w:sz w:val="18"/>
                <w:szCs w:val="18"/>
                <w:lang w:val="it-IT" w:eastAsia="it-IT" w:bidi="ar-SA"/>
              </w:rPr>
              <w:t>Importo complessivo (A+B)</w:t>
            </w:r>
          </w:p>
        </w:tc>
        <w:tc>
          <w:tcPr>
            <w:tcW w:w="3271" w:type="dxa"/>
            <w:tcBorders/>
          </w:tcPr>
          <w:p>
            <w:pPr>
              <w:pStyle w:val="Normal"/>
              <w:widowControl/>
              <w:suppressAutoHyphens w:val="true"/>
              <w:spacing w:before="0" w:after="0"/>
              <w:rPr>
                <w:rFonts w:ascii="Titillium" w:hAnsi="Titillium"/>
                <w:sz w:val="18"/>
                <w:szCs w:val="18"/>
              </w:rPr>
            </w:pPr>
            <w:r>
              <w:rPr>
                <w:rFonts w:ascii="Titillium" w:hAnsi="Titillium"/>
                <w:sz w:val="18"/>
                <w:szCs w:val="18"/>
                <w:lang w:val="it-IT" w:eastAsia="it-IT" w:bidi="ar-SA"/>
              </w:rPr>
              <w:t xml:space="preserve">€ </w:t>
            </w:r>
            <w:r>
              <w:rPr>
                <w:rFonts w:ascii="Titillium" w:hAnsi="Titillium"/>
                <w:sz w:val="18"/>
                <w:szCs w:val="18"/>
                <w:lang w:val="it-IT" w:eastAsia="it-IT" w:bidi="ar-SA"/>
              </w:rPr>
              <w:t>212.620,00</w:t>
            </w:r>
          </w:p>
        </w:tc>
      </w:tr>
      <w:tr>
        <w:trPr/>
        <w:tc>
          <w:tcPr>
            <w:tcW w:w="5943" w:type="dxa"/>
            <w:tcBorders/>
          </w:tcPr>
          <w:p>
            <w:pPr>
              <w:pStyle w:val="Normal"/>
              <w:widowControl/>
              <w:suppressAutoHyphens w:val="true"/>
              <w:spacing w:before="0" w:after="0"/>
              <w:rPr>
                <w:rFonts w:ascii="Titillium" w:hAnsi="Titillium"/>
                <w:sz w:val="18"/>
                <w:szCs w:val="18"/>
              </w:rPr>
            </w:pPr>
            <w:r>
              <w:rPr>
                <w:rFonts w:ascii="Titillium" w:hAnsi="Titillium"/>
                <w:sz w:val="18"/>
                <w:szCs w:val="18"/>
                <w:lang w:val="it-IT" w:eastAsia="it-IT" w:bidi="ar-SA"/>
              </w:rPr>
              <w:t>Importo per l’opzione di proroga contrattuale</w:t>
            </w:r>
          </w:p>
        </w:tc>
        <w:tc>
          <w:tcPr>
            <w:tcW w:w="3271" w:type="dxa"/>
            <w:tcBorders/>
          </w:tcPr>
          <w:p>
            <w:pPr>
              <w:pStyle w:val="Normal"/>
              <w:widowControl/>
              <w:suppressAutoHyphens w:val="true"/>
              <w:spacing w:before="0" w:after="0"/>
              <w:rPr>
                <w:rFonts w:ascii="Titillium" w:hAnsi="Titillium"/>
                <w:sz w:val="18"/>
                <w:szCs w:val="18"/>
              </w:rPr>
            </w:pPr>
            <w:r>
              <w:rPr>
                <w:rFonts w:ascii="Titillium" w:hAnsi="Titillium"/>
                <w:sz w:val="18"/>
                <w:szCs w:val="18"/>
                <w:lang w:val="it-IT" w:eastAsia="it-IT" w:bidi="ar-SA"/>
              </w:rPr>
              <w:t xml:space="preserve">€   </w:t>
            </w:r>
            <w:r>
              <w:rPr>
                <w:rFonts w:ascii="Titillium" w:hAnsi="Titillium"/>
                <w:sz w:val="18"/>
                <w:szCs w:val="18"/>
                <w:lang w:val="it-IT" w:eastAsia="it-IT" w:bidi="ar-SA"/>
              </w:rPr>
              <w:t>35.400,00</w:t>
            </w:r>
          </w:p>
        </w:tc>
      </w:tr>
      <w:tr>
        <w:trPr/>
        <w:tc>
          <w:tcPr>
            <w:tcW w:w="5943" w:type="dxa"/>
            <w:tcBorders/>
          </w:tcPr>
          <w:p>
            <w:pPr>
              <w:pStyle w:val="Normal"/>
              <w:widowControl/>
              <w:suppressAutoHyphens w:val="true"/>
              <w:spacing w:before="0" w:after="0"/>
              <w:rPr>
                <w:rFonts w:ascii="Titillium" w:hAnsi="Titillium"/>
                <w:sz w:val="18"/>
                <w:szCs w:val="18"/>
              </w:rPr>
            </w:pPr>
            <w:r>
              <w:rPr>
                <w:rFonts w:ascii="Titillium" w:hAnsi="Titillium"/>
                <w:sz w:val="18"/>
                <w:szCs w:val="18"/>
                <w:lang w:val="it-IT" w:eastAsia="it-IT" w:bidi="ar-SA"/>
              </w:rPr>
              <w:t>Importo per eventuale rinnovo</w:t>
            </w:r>
          </w:p>
        </w:tc>
        <w:tc>
          <w:tcPr>
            <w:tcW w:w="3271" w:type="dxa"/>
            <w:tcBorders/>
          </w:tcPr>
          <w:p>
            <w:pPr>
              <w:pStyle w:val="Normal"/>
              <w:widowControl/>
              <w:suppressAutoHyphens w:val="true"/>
              <w:spacing w:before="0" w:after="0"/>
              <w:rPr>
                <w:rFonts w:ascii="Titillium" w:hAnsi="Titillium"/>
                <w:sz w:val="18"/>
                <w:szCs w:val="18"/>
              </w:rPr>
            </w:pPr>
            <w:r>
              <w:rPr>
                <w:rFonts w:ascii="Titillium" w:hAnsi="Titillium"/>
                <w:sz w:val="18"/>
                <w:szCs w:val="18"/>
                <w:lang w:val="it-IT" w:eastAsia="it-IT" w:bidi="ar-SA"/>
              </w:rPr>
              <w:t xml:space="preserve">€ </w:t>
            </w:r>
            <w:r>
              <w:rPr>
                <w:rFonts w:ascii="Titillium" w:hAnsi="Titillium"/>
                <w:sz w:val="18"/>
                <w:szCs w:val="18"/>
                <w:lang w:val="it-IT" w:eastAsia="it-IT" w:bidi="ar-SA"/>
              </w:rPr>
              <w:t>212.400,00</w:t>
            </w:r>
          </w:p>
        </w:tc>
      </w:tr>
      <w:tr>
        <w:trPr/>
        <w:tc>
          <w:tcPr>
            <w:tcW w:w="5943" w:type="dxa"/>
            <w:tcBorders/>
          </w:tcPr>
          <w:p>
            <w:pPr>
              <w:pStyle w:val="Normal"/>
              <w:widowControl/>
              <w:suppressAutoHyphens w:val="true"/>
              <w:spacing w:before="0" w:after="0"/>
              <w:rPr>
                <w:rFonts w:ascii="Titillium" w:hAnsi="Titillium"/>
                <w:sz w:val="18"/>
                <w:szCs w:val="18"/>
              </w:rPr>
            </w:pPr>
            <w:r>
              <w:rPr>
                <w:rFonts w:ascii="Titillium" w:hAnsi="Titillium"/>
                <w:sz w:val="18"/>
                <w:szCs w:val="18"/>
                <w:lang w:val="it-IT" w:eastAsia="it-IT" w:bidi="ar-SA"/>
              </w:rPr>
              <w:t>Importo massimo del quinto d’obbligo, in caso di variazioni in aumento</w:t>
            </w:r>
          </w:p>
        </w:tc>
        <w:tc>
          <w:tcPr>
            <w:tcW w:w="3271" w:type="dxa"/>
            <w:tcBorders/>
          </w:tcPr>
          <w:p>
            <w:pPr>
              <w:pStyle w:val="Normal"/>
              <w:widowControl/>
              <w:suppressAutoHyphens w:val="true"/>
              <w:spacing w:before="0" w:after="0"/>
              <w:rPr>
                <w:rFonts w:ascii="Titillium" w:hAnsi="Titillium"/>
                <w:sz w:val="18"/>
                <w:szCs w:val="18"/>
              </w:rPr>
            </w:pPr>
            <w:r>
              <w:rPr>
                <w:rFonts w:ascii="Titillium" w:hAnsi="Titillium"/>
                <w:sz w:val="18"/>
                <w:szCs w:val="18"/>
                <w:lang w:val="it-IT" w:eastAsia="it-IT" w:bidi="ar-SA"/>
              </w:rPr>
              <w:t xml:space="preserve">€   </w:t>
            </w:r>
            <w:r>
              <w:rPr>
                <w:rFonts w:ascii="Titillium" w:hAnsi="Titillium"/>
                <w:sz w:val="18"/>
                <w:szCs w:val="18"/>
                <w:lang w:val="it-IT" w:eastAsia="it-IT" w:bidi="ar-SA"/>
              </w:rPr>
              <w:t>42.480,00</w:t>
            </w:r>
          </w:p>
        </w:tc>
      </w:tr>
      <w:tr>
        <w:trPr/>
        <w:tc>
          <w:tcPr>
            <w:tcW w:w="5943" w:type="dxa"/>
            <w:tcBorders/>
          </w:tcPr>
          <w:p>
            <w:pPr>
              <w:pStyle w:val="Normal"/>
              <w:widowControl/>
              <w:suppressAutoHyphens w:val="true"/>
              <w:spacing w:before="0" w:after="0"/>
              <w:rPr>
                <w:rFonts w:ascii="Titillium" w:hAnsi="Titillium"/>
                <w:sz w:val="18"/>
                <w:szCs w:val="18"/>
              </w:rPr>
            </w:pPr>
            <w:r>
              <w:rPr>
                <w:rFonts w:ascii="Titillium" w:hAnsi="Titillium"/>
                <w:sz w:val="18"/>
                <w:szCs w:val="18"/>
                <w:lang w:val="it-IT" w:eastAsia="it-IT" w:bidi="ar-SA"/>
              </w:rPr>
              <w:t>Modifiche del contratto ai sensi dell’articolo 120, comma 1, lettera a) del Codice</w:t>
            </w:r>
          </w:p>
        </w:tc>
        <w:tc>
          <w:tcPr>
            <w:tcW w:w="3271" w:type="dxa"/>
            <w:tcBorders/>
          </w:tcPr>
          <w:p>
            <w:pPr>
              <w:pStyle w:val="Normal"/>
              <w:widowControl/>
              <w:suppressAutoHyphens w:val="true"/>
              <w:spacing w:before="0" w:after="0"/>
              <w:rPr>
                <w:rFonts w:ascii="Titillium" w:hAnsi="Titillium"/>
                <w:sz w:val="18"/>
                <w:szCs w:val="18"/>
              </w:rPr>
            </w:pPr>
            <w:r>
              <w:rPr>
                <w:rFonts w:ascii="Titillium" w:hAnsi="Titillium"/>
                <w:sz w:val="18"/>
                <w:szCs w:val="18"/>
                <w:lang w:val="it-IT" w:eastAsia="it-IT" w:bidi="ar-SA"/>
              </w:rPr>
              <w:t xml:space="preserve">€ </w:t>
            </w:r>
            <w:r>
              <w:rPr>
                <w:rFonts w:ascii="Titillium" w:hAnsi="Titillium"/>
                <w:sz w:val="18"/>
                <w:szCs w:val="18"/>
                <w:lang w:val="it-IT" w:eastAsia="it-IT" w:bidi="ar-SA"/>
              </w:rPr>
              <w:t>169.920,00</w:t>
            </w:r>
          </w:p>
        </w:tc>
      </w:tr>
      <w:tr>
        <w:trPr/>
        <w:tc>
          <w:tcPr>
            <w:tcW w:w="5943" w:type="dxa"/>
            <w:tcBorders/>
          </w:tcPr>
          <w:p>
            <w:pPr>
              <w:pStyle w:val="Normal"/>
              <w:widowControl/>
              <w:suppressAutoHyphens w:val="true"/>
              <w:spacing w:before="0" w:after="0"/>
              <w:jc w:val="right"/>
              <w:rPr>
                <w:rFonts w:ascii="Titillium" w:hAnsi="Titillium"/>
                <w:sz w:val="18"/>
                <w:szCs w:val="18"/>
              </w:rPr>
            </w:pPr>
            <w:r>
              <w:rPr>
                <w:rFonts w:ascii="Titillium" w:hAnsi="Titillium"/>
                <w:b/>
                <w:bCs/>
                <w:sz w:val="18"/>
                <w:szCs w:val="18"/>
                <w:lang w:val="it-IT" w:eastAsia="it-IT" w:bidi="ar-SA"/>
              </w:rPr>
              <w:t>Valore globale stimato</w:t>
            </w:r>
          </w:p>
        </w:tc>
        <w:tc>
          <w:tcPr>
            <w:tcW w:w="3271" w:type="dxa"/>
            <w:tcBorders/>
          </w:tcPr>
          <w:p>
            <w:pPr>
              <w:pStyle w:val="Normal"/>
              <w:widowControl/>
              <w:suppressAutoHyphens w:val="true"/>
              <w:spacing w:before="0" w:after="0"/>
              <w:rPr>
                <w:rFonts w:ascii="Titillium" w:hAnsi="Titillium"/>
                <w:i/>
                <w:iCs/>
                <w:sz w:val="18"/>
                <w:szCs w:val="18"/>
              </w:rPr>
            </w:pPr>
            <w:r>
              <w:rPr>
                <w:rFonts w:ascii="Titillium" w:hAnsi="Titillium"/>
                <w:i/>
                <w:iCs/>
                <w:sz w:val="18"/>
                <w:szCs w:val="18"/>
                <w:lang w:val="it-IT" w:eastAsia="it-IT" w:bidi="ar-SA"/>
              </w:rPr>
              <w:t xml:space="preserve"> € </w:t>
            </w:r>
            <w:r>
              <w:rPr>
                <w:rFonts w:ascii="Titillium" w:hAnsi="Titillium"/>
                <w:i/>
                <w:iCs/>
                <w:sz w:val="18"/>
                <w:szCs w:val="18"/>
                <w:lang w:val="it-IT" w:eastAsia="it-IT" w:bidi="ar-SA"/>
              </w:rPr>
              <w:t>672.820,00</w:t>
            </w:r>
          </w:p>
        </w:tc>
      </w:tr>
    </w:tbl>
    <w:p>
      <w:pPr>
        <w:pStyle w:val="Normal"/>
        <w:rPr/>
      </w:pPr>
      <w:r>
        <w:rPr/>
      </w:r>
    </w:p>
    <w:p>
      <w:pPr>
        <w:pStyle w:val="Heading2"/>
        <w:numPr>
          <w:ilvl w:val="0"/>
          <w:numId w:val="3"/>
        </w:numPr>
        <w:rPr>
          <w:iCs/>
        </w:rPr>
      </w:pPr>
      <w:bookmarkStart w:id="180" w:name="_Toc207275730"/>
      <w:bookmarkStart w:id="181" w:name="_Toc497831535"/>
      <w:bookmarkStart w:id="182" w:name="_Toc498419727"/>
      <w:bookmarkEnd w:id="181"/>
      <w:bookmarkEnd w:id="182"/>
      <w:r>
        <w:rPr/>
        <w:t>SOGGETTI AMMESSI IN FORMA SINGOLA E ASSOCIATA E CONDIZIONI DI PARTECIPAZIONE</w:t>
      </w:r>
      <w:bookmarkEnd w:id="180"/>
    </w:p>
    <w:p>
      <w:pPr>
        <w:pStyle w:val="Normal"/>
        <w:spacing w:before="60" w:after="60"/>
        <w:rPr>
          <w:rFonts w:ascii="Titillium" w:hAnsi="Titillium" w:cs="Calibri"/>
          <w:sz w:val="18"/>
          <w:szCs w:val="18"/>
        </w:rPr>
      </w:pPr>
      <w:r>
        <w:rPr>
          <w:rFonts w:cs="Calibri" w:ascii="Titillium" w:hAnsi="Titillium"/>
          <w:sz w:val="18"/>
          <w:szCs w:val="18"/>
        </w:rPr>
        <w:t>Gli operatori economici possono partecipare alla presente gara in forma singola o associata.</w:t>
      </w:r>
    </w:p>
    <w:p>
      <w:pPr>
        <w:pStyle w:val="Normal"/>
        <w:spacing w:before="60" w:after="60"/>
        <w:rPr>
          <w:rFonts w:ascii="Titillium" w:hAnsi="Titillium" w:cs="Calibri"/>
          <w:sz w:val="18"/>
          <w:szCs w:val="18"/>
        </w:rPr>
      </w:pPr>
      <w:r>
        <w:rPr>
          <w:rFonts w:cs="Calibri" w:ascii="Titillium" w:hAnsi="Titillium"/>
          <w:sz w:val="18"/>
          <w:szCs w:val="18"/>
        </w:rPr>
        <w:t xml:space="preserve">Ai soggetti costituiti in forma associata si applicano le disposizioni di cui agli articoli 67 e 68 del Codice. </w:t>
      </w:r>
    </w:p>
    <w:p>
      <w:pPr>
        <w:pStyle w:val="Normal"/>
        <w:spacing w:before="60" w:after="60"/>
        <w:rPr>
          <w:rFonts w:ascii="Titillium" w:hAnsi="Titillium" w:cs="Courier New"/>
          <w:sz w:val="18"/>
          <w:szCs w:val="18"/>
        </w:rPr>
      </w:pPr>
      <w:r>
        <w:rPr>
          <w:rFonts w:cs="Courier New" w:ascii="Titillium" w:hAnsi="Titillium"/>
          <w:sz w:val="18"/>
          <w:szCs w:val="18"/>
        </w:rPr>
        <w:t>I consorzi di cui agli articoli 65, comma 2, lett.  d) del Codice che intendono eseguire le prestazioni tramite le proprie consorziate sono tenuti ad indicare in sede di offerta per quali consorziati il consorzio concorre.</w:t>
      </w:r>
    </w:p>
    <w:p>
      <w:pPr>
        <w:pStyle w:val="Normal"/>
        <w:spacing w:before="60" w:after="60"/>
        <w:rPr>
          <w:rFonts w:ascii="Titillium" w:hAnsi="Titillium" w:cs="Courier New"/>
          <w:sz w:val="18"/>
          <w:szCs w:val="18"/>
        </w:rPr>
      </w:pPr>
      <w:r>
        <w:rPr>
          <w:rFonts w:cs="Courier New" w:ascii="Titillium" w:hAnsi="Titillium"/>
          <w:sz w:val="18"/>
          <w:szCs w:val="18"/>
        </w:rPr>
        <w:t>I consorzi di cui agli articoli 65, comma 2, lett. b) e c) del Codice sono tenuti ad indicare in sede di offerta per quali consorziati il consorzio concorre.</w:t>
      </w:r>
    </w:p>
    <w:p>
      <w:pPr>
        <w:pStyle w:val="Normal"/>
        <w:spacing w:before="60" w:after="60"/>
        <w:rPr>
          <w:rFonts w:ascii="Titillium" w:hAnsi="Titillium" w:cs="Courier New"/>
          <w:sz w:val="18"/>
          <w:szCs w:val="18"/>
        </w:rPr>
      </w:pPr>
      <w:r>
        <w:rPr>
          <w:rFonts w:cs="Courier New" w:ascii="Titillium" w:hAnsi="Titillium"/>
          <w:sz w:val="18"/>
          <w:szCs w:val="18"/>
        </w:rPr>
        <w:t>Quando la consorziata designata è, a sua volta, un consorzio di cui all'articolo 65, comma 2, lettere b) e c), è tenuto anch'esso a indicare, in sede di offerta, le consorziate per le quali concorre.</w:t>
      </w:r>
    </w:p>
    <w:p>
      <w:pPr>
        <w:pStyle w:val="Normal"/>
        <w:spacing w:before="60" w:after="60"/>
        <w:rPr>
          <w:rFonts w:ascii="Titillium" w:hAnsi="Titillium" w:cs="Courier New"/>
          <w:sz w:val="18"/>
          <w:szCs w:val="18"/>
        </w:rPr>
      </w:pPr>
      <w:r>
        <w:rPr>
          <w:rFonts w:cs="Courier New" w:ascii="Titillium" w:hAnsi="Titillium"/>
          <w:sz w:val="18"/>
          <w:szCs w:val="18"/>
        </w:rPr>
        <w:t xml:space="preserve">È fatto divieto di partecipare a più di un consorzio stabile. </w:t>
      </w:r>
    </w:p>
    <w:p>
      <w:pPr>
        <w:pStyle w:val="Normal"/>
        <w:spacing w:before="60" w:after="60"/>
        <w:rPr>
          <w:rFonts w:ascii="Titillium" w:hAnsi="Titillium" w:cs="Calibri"/>
          <w:iCs/>
          <w:sz w:val="18"/>
          <w:szCs w:val="18"/>
        </w:rPr>
      </w:pPr>
      <w:r>
        <w:rPr>
          <w:rFonts w:cs="Courier New" w:ascii="Titillium" w:hAnsi="Titillium"/>
          <w:sz w:val="18"/>
          <w:szCs w:val="18"/>
        </w:rPr>
        <w:t xml:space="preserve">Il concorrente che partecipa alla </w:t>
      </w:r>
      <w:r>
        <w:rPr>
          <w:rFonts w:cs="Calibri" w:ascii="Titillium" w:hAnsi="Titillium"/>
          <w:iCs/>
          <w:sz w:val="18"/>
          <w:szCs w:val="18"/>
        </w:rPr>
        <w:t xml:space="preserve">in una delle forme di seguito indicate è escluso nel caso in cui la stazione </w:t>
      </w:r>
      <w:bookmarkStart w:id="183" w:name="_Hlk130830647"/>
      <w:r>
        <w:rPr>
          <w:rFonts w:cs="Calibri" w:ascii="Titillium" w:hAnsi="Titillium"/>
          <w:iCs/>
          <w:sz w:val="18"/>
          <w:szCs w:val="18"/>
        </w:rPr>
        <w:t>appaltante accerti la sussistenza di rilevanti indizi tali da far ritenere che le offerte degli operatori economici siano imputabili ad un unico centro decisiona</w:t>
      </w:r>
      <w:bookmarkEnd w:id="183"/>
      <w:r>
        <w:rPr>
          <w:rFonts w:cs="Calibri" w:ascii="Titillium" w:hAnsi="Titillium"/>
          <w:iCs/>
          <w:sz w:val="18"/>
          <w:szCs w:val="18"/>
        </w:rPr>
        <w:t>le a cagione di accordi intercorsi con altri operatori economici partecipanti alla stessa gara:</w:t>
      </w:r>
    </w:p>
    <w:p>
      <w:pPr>
        <w:pStyle w:val="ListParagraph"/>
        <w:numPr>
          <w:ilvl w:val="0"/>
          <w:numId w:val="26"/>
        </w:numPr>
        <w:spacing w:before="60" w:after="60"/>
        <w:contextualSpacing w:val="false"/>
        <w:rPr>
          <w:rFonts w:ascii="Titillium" w:hAnsi="Titillium" w:cs="Courier New"/>
          <w:sz w:val="18"/>
          <w:szCs w:val="18"/>
        </w:rPr>
      </w:pPr>
      <w:r>
        <w:rPr>
          <w:rFonts w:cs="Courier New" w:ascii="Titillium" w:hAnsi="Titillium"/>
          <w:sz w:val="18"/>
          <w:szCs w:val="18"/>
        </w:rPr>
        <w:t>partecipazione in più</w:t>
      </w:r>
      <w:r>
        <w:rPr>
          <w:rFonts w:cs="Courier New" w:ascii="Titillium" w:hAnsi="Titillium"/>
          <w:b/>
          <w:sz w:val="18"/>
          <w:szCs w:val="18"/>
        </w:rPr>
        <w:t xml:space="preserve"> </w:t>
      </w:r>
      <w:r>
        <w:rPr>
          <w:rFonts w:cs="Courier New" w:ascii="Titillium" w:hAnsi="Titillium"/>
          <w:sz w:val="18"/>
          <w:szCs w:val="18"/>
        </w:rPr>
        <w:t xml:space="preserve">di un raggruppamento temporaneo o consorzio ordinario di concorrenti o </w:t>
      </w:r>
      <w:r>
        <w:rPr>
          <w:rFonts w:cs="Calibri" w:ascii="Titillium" w:hAnsi="Titillium"/>
          <w:sz w:val="18"/>
          <w:szCs w:val="18"/>
        </w:rPr>
        <w:t xml:space="preserve">aggregazione di operatori economici aderenti al contratto di rete (nel prosieguo, aggregazione </w:t>
      </w:r>
      <w:r>
        <w:rPr>
          <w:rFonts w:ascii="Titillium" w:hAnsi="Titillium"/>
          <w:sz w:val="18"/>
          <w:szCs w:val="18"/>
        </w:rPr>
        <w:t>di reti</w:t>
      </w:r>
      <w:r>
        <w:rPr>
          <w:rFonts w:cs="Calibri" w:ascii="Titillium" w:hAnsi="Titillium"/>
          <w:sz w:val="18"/>
          <w:szCs w:val="18"/>
        </w:rPr>
        <w:t>sti);</w:t>
      </w:r>
    </w:p>
    <w:p>
      <w:pPr>
        <w:pStyle w:val="ListParagraph"/>
        <w:numPr>
          <w:ilvl w:val="0"/>
          <w:numId w:val="26"/>
        </w:numPr>
        <w:spacing w:before="60" w:after="60"/>
        <w:contextualSpacing w:val="false"/>
        <w:rPr>
          <w:rFonts w:ascii="Titillium" w:hAnsi="Titillium" w:cs="Courier New"/>
          <w:sz w:val="18"/>
          <w:szCs w:val="18"/>
        </w:rPr>
      </w:pPr>
      <w:r>
        <w:rPr>
          <w:rFonts w:cs="Courier New" w:ascii="Titillium" w:hAnsi="Titillium"/>
          <w:sz w:val="18"/>
          <w:szCs w:val="18"/>
        </w:rPr>
        <w:t>partecipazione sia in raggruppamento o consorzio ordinario di concorrenti sia in forma individuale;</w:t>
      </w:r>
    </w:p>
    <w:p>
      <w:pPr>
        <w:pStyle w:val="ListParagraph"/>
        <w:numPr>
          <w:ilvl w:val="0"/>
          <w:numId w:val="26"/>
        </w:numPr>
        <w:spacing w:before="60" w:after="60"/>
        <w:contextualSpacing w:val="false"/>
        <w:rPr>
          <w:rFonts w:ascii="Titillium" w:hAnsi="Titillium" w:cs="Calibri"/>
          <w:sz w:val="18"/>
          <w:szCs w:val="18"/>
        </w:rPr>
      </w:pPr>
      <w:r>
        <w:rPr>
          <w:rFonts w:cs="Courier New" w:ascii="Titillium" w:hAnsi="Titillium"/>
          <w:sz w:val="18"/>
          <w:szCs w:val="18"/>
        </w:rPr>
        <w:t xml:space="preserve">partecipazione sia in aggregazione di retisti sia in forma individuale. </w:t>
      </w:r>
      <w:r>
        <w:rPr>
          <w:rFonts w:cs="Calibri" w:ascii="Titillium" w:hAnsi="Titillium"/>
          <w:sz w:val="18"/>
          <w:szCs w:val="18"/>
        </w:rPr>
        <w:t xml:space="preserve">Tale esclusione non si applica alle retiste </w:t>
      </w:r>
      <w:r>
        <w:rPr>
          <w:rFonts w:cs="Courier New" w:ascii="Titillium" w:hAnsi="Titillium"/>
          <w:sz w:val="18"/>
          <w:szCs w:val="18"/>
        </w:rPr>
        <w:t>non partecipanti all’aggregazione, le quali possono presentare offerta, per la medesima in forma singola o associata;</w:t>
      </w:r>
    </w:p>
    <w:p>
      <w:pPr>
        <w:pStyle w:val="ListParagraph"/>
        <w:numPr>
          <w:ilvl w:val="0"/>
          <w:numId w:val="26"/>
        </w:numPr>
        <w:spacing w:before="60" w:after="60"/>
        <w:contextualSpacing w:val="false"/>
        <w:rPr>
          <w:rFonts w:ascii="Titillium" w:hAnsi="Titillium" w:cs="Calibri"/>
          <w:color w:val="FF0000"/>
          <w:sz w:val="18"/>
          <w:szCs w:val="18"/>
        </w:rPr>
      </w:pPr>
      <w:r>
        <w:rPr>
          <w:rFonts w:cs="Courier New" w:ascii="Titillium" w:hAnsi="Titillium"/>
          <w:sz w:val="18"/>
          <w:szCs w:val="18"/>
        </w:rPr>
        <w:t>partecipazione di un consorzio di cui all’articolo 65, comma 2, lett. b), c) e d) del Codice che ha designato una consorziata esecutrice la quale, a sua volta, partecipa in una qualsiasi altra forma.</w:t>
      </w:r>
    </w:p>
    <w:p>
      <w:pPr>
        <w:pStyle w:val="Normal"/>
        <w:spacing w:before="60" w:after="60"/>
        <w:rPr>
          <w:rFonts w:ascii="Titillium" w:hAnsi="Titillium" w:cs="Calibri"/>
          <w:color w:val="FF0000"/>
          <w:sz w:val="18"/>
          <w:szCs w:val="18"/>
        </w:rPr>
      </w:pPr>
      <w:r>
        <w:rPr>
          <w:rFonts w:cs="Calibri" w:ascii="Titillium" w:hAnsi="Titillium"/>
          <w:color w:val="FF0000"/>
          <w:sz w:val="18"/>
          <w:szCs w:val="18"/>
        </w:rPr>
      </w:r>
    </w:p>
    <w:p>
      <w:pPr>
        <w:pStyle w:val="Normal"/>
        <w:spacing w:before="60" w:after="60"/>
        <w:rPr>
          <w:rFonts w:ascii="Titillium" w:hAnsi="Titillium" w:cs="Courier New"/>
          <w:sz w:val="18"/>
          <w:szCs w:val="18"/>
        </w:rPr>
      </w:pPr>
      <w:r>
        <w:rPr>
          <w:rFonts w:cs="Calibri" w:ascii="Titillium" w:hAnsi="Titillium"/>
          <w:sz w:val="18"/>
          <w:szCs w:val="18"/>
        </w:rPr>
        <w:t>Nel caso venga accertato quanto sopra, si provvede ad informare gli operatori economici coinvolti i quali possono, entro 10</w:t>
      </w:r>
      <w:r>
        <w:rPr>
          <w:rFonts w:cs="Calibri" w:ascii="Titillium" w:hAnsi="Titillium"/>
          <w:i/>
          <w:iCs/>
          <w:sz w:val="18"/>
          <w:szCs w:val="18"/>
        </w:rPr>
        <w:t xml:space="preserve"> </w:t>
      </w:r>
      <w:r>
        <w:rPr>
          <w:rFonts w:cs="Calibri" w:ascii="Titillium" w:hAnsi="Titillium"/>
          <w:sz w:val="18"/>
          <w:szCs w:val="18"/>
        </w:rPr>
        <w:t xml:space="preserve">giorni, dimostrare </w:t>
      </w:r>
      <w:r>
        <w:rPr>
          <w:rFonts w:cs="Courier New" w:ascii="Titillium" w:hAnsi="Titillium"/>
          <w:sz w:val="18"/>
          <w:szCs w:val="18"/>
        </w:rPr>
        <w:t xml:space="preserve">che la circostanza non ha influito sulla gara, né è idonea a incidere sulla capacità di rispettare gli obblighi contrattuali. </w:t>
      </w:r>
    </w:p>
    <w:p>
      <w:pPr>
        <w:pStyle w:val="Normal"/>
        <w:spacing w:before="60" w:after="60"/>
        <w:rPr>
          <w:rFonts w:ascii="Titillium" w:hAnsi="Titillium" w:cs="Courier New"/>
          <w:sz w:val="18"/>
          <w:szCs w:val="18"/>
        </w:rPr>
      </w:pPr>
      <w:r>
        <w:rPr>
          <w:rFonts w:cs="Courier New" w:ascii="Titillium" w:hAnsi="Titillium"/>
          <w:sz w:val="18"/>
          <w:szCs w:val="18"/>
        </w:rPr>
        <w:t>Le aggregazioni di retisti di cui all’articolo 65, comma 2, lettera g) del Codice, rispettano la disciplina prevista per i raggruppamenti temporanei in quanto compatibile. In particolare:</w:t>
      </w:r>
    </w:p>
    <w:p>
      <w:pPr>
        <w:pStyle w:val="ListParagraph"/>
        <w:numPr>
          <w:ilvl w:val="3"/>
          <w:numId w:val="16"/>
        </w:numPr>
        <w:spacing w:before="60" w:after="60"/>
        <w:ind w:hanging="284" w:left="567"/>
        <w:contextualSpacing w:val="false"/>
        <w:rPr>
          <w:rFonts w:ascii="Titillium" w:hAnsi="Titillium" w:cs="Courier New"/>
          <w:sz w:val="18"/>
          <w:szCs w:val="18"/>
        </w:rPr>
      </w:pPr>
      <w:r>
        <w:rPr>
          <w:rFonts w:cs="Courier New" w:ascii="Titillium" w:hAnsi="Titillium"/>
          <w:sz w:val="18"/>
          <w:szCs w:val="18"/>
        </w:rPr>
        <w:t>nel caso in cui la rete sia dotata di organo comune con potere di rappresentanza e soggettività giuridica (cd. Rete – soggetto), l’aggregazione di retisti partecipa a mezzo dell’organo comune, che assume il ruolo del mandatario, qualora in possesso dei relativi requisiti. L’organo comune può indicare anche solo alcuni tra i retisti per la partecipazione alla gara ma deve obbligatoriamente far parte di questi;</w:t>
      </w:r>
    </w:p>
    <w:p>
      <w:pPr>
        <w:pStyle w:val="ListParagraph"/>
        <w:numPr>
          <w:ilvl w:val="3"/>
          <w:numId w:val="16"/>
        </w:numPr>
        <w:spacing w:before="60" w:after="60"/>
        <w:ind w:hanging="284" w:left="567"/>
        <w:contextualSpacing w:val="false"/>
        <w:rPr>
          <w:rFonts w:ascii="Titillium" w:hAnsi="Titillium" w:cs="Courier New"/>
          <w:sz w:val="18"/>
          <w:szCs w:val="18"/>
        </w:rPr>
      </w:pPr>
      <w:r>
        <w:rPr>
          <w:rFonts w:cs="Courier New" w:ascii="Titillium" w:hAnsi="Titillium"/>
          <w:sz w:val="18"/>
          <w:szCs w:val="18"/>
        </w:rPr>
        <w:t xml:space="preserve">nel caso in cui la rete sia dotata di organo comune con potere di rappresentanza ma priva di soggettività giuridica (cd. Rete – contratto), l’aggregazione di retisti partecipa a mezzo dell’organo comune, che assume il ruolo del mandatario, qualora in possesso dei requisiti previsti per la mandataria e qualora il contratto di rete rechi mandato allo stesso a presentare domanda di partecipazione o offerta per determinate tipologie di procedure di gara. L’organo comune può indicare anche solo alcuni tra i retisti per la partecipazione alla gara ma deve obbligatoriamente far parte di questi; </w:t>
      </w:r>
    </w:p>
    <w:p>
      <w:pPr>
        <w:pStyle w:val="ListParagraph"/>
        <w:numPr>
          <w:ilvl w:val="3"/>
          <w:numId w:val="16"/>
        </w:numPr>
        <w:spacing w:before="60" w:after="60"/>
        <w:ind w:hanging="284" w:left="567"/>
        <w:contextualSpacing w:val="false"/>
        <w:rPr>
          <w:rFonts w:ascii="Titillium" w:hAnsi="Titillium" w:cs="Courier New"/>
          <w:sz w:val="18"/>
          <w:szCs w:val="18"/>
        </w:rPr>
      </w:pPr>
      <w:r>
        <w:rPr>
          <w:rFonts w:cs="Courier New" w:ascii="Titillium" w:hAnsi="Titillium"/>
          <w:sz w:val="18"/>
          <w:szCs w:val="18"/>
        </w:rPr>
        <w:t>nel caso in cui la rete sia dotata di organo comune privo di potere di rappresentanza ovvero sia sprovvista di organo comune, oppure se l’organo comune è privo dei requisiti di qualificazione, l’aggregazione di retisti partecipa nella forma del raggruppamento costituito o costituendo, con applicazione integrale delle relative regole.</w:t>
      </w:r>
    </w:p>
    <w:p>
      <w:pPr>
        <w:pStyle w:val="Normal"/>
        <w:spacing w:before="60" w:after="60"/>
        <w:rPr/>
      </w:pPr>
      <w:r>
        <w:rPr>
          <w:rFonts w:cs="Courier New" w:ascii="Titillium" w:hAnsi="Titillium"/>
          <w:sz w:val="18"/>
          <w:szCs w:val="18"/>
        </w:rPr>
        <w:t>Per tutte le tipologie di rete, la partecipazione congiunta alle gare deve risultare individuata nel contratto di rete come uno degli scopi strategici inclusi nel programma comune, mentre la durata dello stesso dovrà essere commisurata ai tempi di realizzazione dell’appalto.</w:t>
      </w:r>
    </w:p>
    <w:p>
      <w:pPr>
        <w:pStyle w:val="Normal"/>
        <w:spacing w:before="60" w:after="60"/>
        <w:rPr>
          <w:rFonts w:ascii="Titillium" w:hAnsi="Titillium" w:cs="Courier New"/>
          <w:sz w:val="18"/>
          <w:szCs w:val="18"/>
        </w:rPr>
      </w:pPr>
      <w:r>
        <w:rPr>
          <w:rFonts w:cs="Courier New" w:ascii="Titillium" w:hAnsi="Titillium"/>
          <w:sz w:val="18"/>
          <w:szCs w:val="18"/>
        </w:rPr>
        <w:t>Ad un raggruppamento temporaneo può partecipare anche un consorzio di cui all’articolo 65, comma 2, lettera b), c), d).</w:t>
      </w:r>
    </w:p>
    <w:p>
      <w:pPr>
        <w:pStyle w:val="Normal"/>
        <w:spacing w:before="60" w:after="60"/>
        <w:rPr/>
      </w:pPr>
      <w:r>
        <w:rPr>
          <w:rFonts w:cs="Courier New" w:ascii="Titillium" w:hAnsi="Titillium"/>
          <w:sz w:val="18"/>
          <w:szCs w:val="18"/>
        </w:rPr>
        <w:t xml:space="preserve">L’impresa in concordato preventivo può concorrere anche riunita in raggruppamento temporaneo di imprese e sempre che le altre imprese aderenti al raggruppamento temporaneo di imprese non siano assoggettate ad una procedura concorsuale.   </w:t>
      </w:r>
    </w:p>
    <w:p>
      <w:pPr>
        <w:pStyle w:val="Normal"/>
        <w:spacing w:before="120" w:after="60"/>
        <w:rPr>
          <w:rFonts w:ascii="Titillium" w:hAnsi="Titillium" w:cs="Calibri"/>
          <w:i/>
          <w:sz w:val="18"/>
          <w:szCs w:val="18"/>
        </w:rPr>
      </w:pPr>
      <w:r>
        <w:rPr>
          <w:rFonts w:cs="Calibri" w:ascii="Titillium" w:hAnsi="Titillium"/>
          <w:i/>
          <w:sz w:val="18"/>
          <w:szCs w:val="18"/>
        </w:rPr>
      </w:r>
    </w:p>
    <w:p>
      <w:pPr>
        <w:pStyle w:val="Heading2"/>
        <w:numPr>
          <w:ilvl w:val="0"/>
          <w:numId w:val="3"/>
        </w:numPr>
        <w:rPr/>
      </w:pPr>
      <w:bookmarkStart w:id="184" w:name="_Hlk194054262"/>
      <w:bookmarkStart w:id="185" w:name="_Toc207275731"/>
      <w:bookmarkStart w:id="186" w:name="_Ref128477566"/>
      <w:bookmarkStart w:id="187" w:name="_Ref531184613"/>
      <w:bookmarkStart w:id="188" w:name="_Toc406754172"/>
      <w:bookmarkStart w:id="189" w:name="_Toc416423357"/>
      <w:bookmarkStart w:id="190" w:name="_Toc482025712"/>
      <w:bookmarkStart w:id="191" w:name="_Toc482097535"/>
      <w:bookmarkStart w:id="192" w:name="_Toc482097624"/>
      <w:bookmarkStart w:id="193" w:name="_Toc482097713"/>
      <w:bookmarkStart w:id="194" w:name="_Toc482097905"/>
      <w:bookmarkStart w:id="195" w:name="_Toc482099003"/>
      <w:bookmarkStart w:id="196" w:name="_Toc482100720"/>
      <w:bookmarkStart w:id="197" w:name="_Toc482100877"/>
      <w:bookmarkStart w:id="198" w:name="_Toc482101303"/>
      <w:bookmarkStart w:id="199" w:name="_Toc482101440"/>
      <w:bookmarkStart w:id="200" w:name="_Toc482101555"/>
      <w:bookmarkStart w:id="201" w:name="_Toc482101730"/>
      <w:bookmarkStart w:id="202" w:name="_Toc482101823"/>
      <w:bookmarkStart w:id="203" w:name="_Toc482101918"/>
      <w:bookmarkStart w:id="204" w:name="_Toc482102013"/>
      <w:bookmarkStart w:id="205" w:name="_Toc482102107"/>
      <w:bookmarkStart w:id="206" w:name="_Toc482351971"/>
      <w:bookmarkStart w:id="207" w:name="_Toc482352061"/>
      <w:bookmarkStart w:id="208" w:name="_Toc482352151"/>
      <w:bookmarkStart w:id="209" w:name="_Toc482352241"/>
      <w:bookmarkStart w:id="210" w:name="_Toc482633081"/>
      <w:bookmarkStart w:id="211" w:name="_Toc482641258"/>
      <w:bookmarkStart w:id="212" w:name="_Toc482712704"/>
      <w:bookmarkStart w:id="213" w:name="_Toc482959474"/>
      <w:bookmarkStart w:id="214" w:name="_Toc482959584"/>
      <w:bookmarkStart w:id="215" w:name="_Toc482959694"/>
      <w:bookmarkStart w:id="216" w:name="_Toc482978813"/>
      <w:bookmarkStart w:id="217" w:name="_Toc482978922"/>
      <w:bookmarkStart w:id="218" w:name="_Toc482979030"/>
      <w:bookmarkStart w:id="219" w:name="_Toc482979141"/>
      <w:bookmarkStart w:id="220" w:name="_Toc482979250"/>
      <w:bookmarkStart w:id="221" w:name="_Toc482979359"/>
      <w:bookmarkStart w:id="222" w:name="_Toc482979467"/>
      <w:bookmarkStart w:id="223" w:name="_Toc482979576"/>
      <w:bookmarkStart w:id="224" w:name="_Toc482979674"/>
      <w:bookmarkStart w:id="225" w:name="_Toc483233635"/>
      <w:bookmarkStart w:id="226" w:name="_Toc483302335"/>
      <w:bookmarkStart w:id="227" w:name="_Toc483315885"/>
      <w:bookmarkStart w:id="228" w:name="_Toc483316090"/>
      <w:bookmarkStart w:id="229" w:name="_Toc483316293"/>
      <w:bookmarkStart w:id="230" w:name="_Toc483316424"/>
      <w:bookmarkStart w:id="231" w:name="_Toc483325727"/>
      <w:bookmarkStart w:id="232" w:name="_Toc483401206"/>
      <w:bookmarkStart w:id="233" w:name="_Toc483474003"/>
      <w:bookmarkStart w:id="234" w:name="_Toc483571432"/>
      <w:bookmarkStart w:id="235" w:name="_Toc483571553"/>
      <w:bookmarkStart w:id="236" w:name="_Toc483906930"/>
      <w:bookmarkStart w:id="237" w:name="_Toc484010680"/>
      <w:bookmarkStart w:id="238" w:name="_Toc484010802"/>
      <w:bookmarkStart w:id="239" w:name="_Toc484010926"/>
      <w:bookmarkStart w:id="240" w:name="_Toc484011048"/>
      <w:bookmarkStart w:id="241" w:name="_Toc484011170"/>
      <w:bookmarkStart w:id="242" w:name="_Toc484011645"/>
      <w:bookmarkStart w:id="243" w:name="_Toc484097719"/>
      <w:bookmarkStart w:id="244" w:name="_Toc484428891"/>
      <w:bookmarkStart w:id="245" w:name="_Toc484429061"/>
      <w:bookmarkStart w:id="246" w:name="_Toc484438636"/>
      <w:bookmarkStart w:id="247" w:name="_Toc484438760"/>
      <w:bookmarkStart w:id="248" w:name="_Toc484438884"/>
      <w:bookmarkStart w:id="249" w:name="_Toc484439804"/>
      <w:bookmarkStart w:id="250" w:name="_Toc484439927"/>
      <w:bookmarkStart w:id="251" w:name="_Toc484440051"/>
      <w:bookmarkStart w:id="252" w:name="_Toc484440411"/>
      <w:bookmarkStart w:id="253" w:name="_Toc484448070"/>
      <w:bookmarkStart w:id="254" w:name="_Toc484448195"/>
      <w:bookmarkStart w:id="255" w:name="_Toc484448319"/>
      <w:bookmarkStart w:id="256" w:name="_Toc484448443"/>
      <w:bookmarkStart w:id="257" w:name="_Toc484448567"/>
      <w:bookmarkStart w:id="258" w:name="_Toc484448691"/>
      <w:bookmarkStart w:id="259" w:name="_Toc484448814"/>
      <w:bookmarkStart w:id="260" w:name="_Toc484448938"/>
      <w:bookmarkStart w:id="261" w:name="_Toc484449062"/>
      <w:bookmarkStart w:id="262" w:name="_Toc484526557"/>
      <w:bookmarkStart w:id="263" w:name="_Toc484605277"/>
      <w:bookmarkStart w:id="264" w:name="_Toc484605401"/>
      <w:bookmarkStart w:id="265" w:name="_Toc484688270"/>
      <w:bookmarkStart w:id="266" w:name="_Toc484688825"/>
      <w:bookmarkStart w:id="267" w:name="_Toc485218261"/>
      <w:bookmarkStart w:id="268" w:name="_Toc482025713"/>
      <w:bookmarkStart w:id="269" w:name="_Toc482097536"/>
      <w:bookmarkStart w:id="270" w:name="_Toc482097625"/>
      <w:bookmarkStart w:id="271" w:name="_Toc482097714"/>
      <w:bookmarkStart w:id="272" w:name="_Toc482097906"/>
      <w:bookmarkStart w:id="273" w:name="_Toc482099004"/>
      <w:bookmarkStart w:id="274" w:name="_Toc482100721"/>
      <w:bookmarkStart w:id="275" w:name="_Toc482100878"/>
      <w:bookmarkStart w:id="276" w:name="_Toc482101304"/>
      <w:bookmarkStart w:id="277" w:name="_Toc482101441"/>
      <w:bookmarkStart w:id="278" w:name="_Toc482101556"/>
      <w:bookmarkStart w:id="279" w:name="_Toc482101731"/>
      <w:bookmarkStart w:id="280" w:name="_Toc482101824"/>
      <w:bookmarkStart w:id="281" w:name="_Toc482101919"/>
      <w:bookmarkStart w:id="282" w:name="_Toc482102014"/>
      <w:bookmarkStart w:id="283" w:name="_Toc482102108"/>
      <w:bookmarkStart w:id="284" w:name="_Toc482351972"/>
      <w:bookmarkStart w:id="285" w:name="_Toc482352062"/>
      <w:bookmarkStart w:id="286" w:name="_Toc482352152"/>
      <w:bookmarkStart w:id="287" w:name="_Toc482352242"/>
      <w:bookmarkStart w:id="288" w:name="_Toc482633082"/>
      <w:bookmarkStart w:id="289" w:name="_Toc482641259"/>
      <w:bookmarkStart w:id="290" w:name="_Toc482712705"/>
      <w:bookmarkStart w:id="291" w:name="_Toc482959475"/>
      <w:bookmarkStart w:id="292" w:name="_Toc482959585"/>
      <w:bookmarkStart w:id="293" w:name="_Toc482959695"/>
      <w:bookmarkStart w:id="294" w:name="_Toc482978814"/>
      <w:bookmarkStart w:id="295" w:name="_Toc482978923"/>
      <w:bookmarkStart w:id="296" w:name="_Toc482979031"/>
      <w:bookmarkStart w:id="297" w:name="_Toc482979142"/>
      <w:bookmarkStart w:id="298" w:name="_Toc482979251"/>
      <w:bookmarkStart w:id="299" w:name="_Toc482979360"/>
      <w:bookmarkStart w:id="300" w:name="_Toc482979468"/>
      <w:bookmarkStart w:id="301" w:name="_Toc482979577"/>
      <w:bookmarkStart w:id="302" w:name="_Toc482979675"/>
      <w:bookmarkStart w:id="303" w:name="_Toc483233636"/>
      <w:bookmarkStart w:id="304" w:name="_Toc483302336"/>
      <w:bookmarkStart w:id="305" w:name="_Toc483315886"/>
      <w:bookmarkStart w:id="306" w:name="_Toc483316091"/>
      <w:bookmarkStart w:id="307" w:name="_Toc483316294"/>
      <w:bookmarkStart w:id="308" w:name="_Toc483316425"/>
      <w:bookmarkStart w:id="309" w:name="_Toc483325728"/>
      <w:bookmarkStart w:id="310" w:name="_Toc483401207"/>
      <w:bookmarkStart w:id="311" w:name="_Toc483474004"/>
      <w:bookmarkStart w:id="312" w:name="_Toc483571433"/>
      <w:bookmarkStart w:id="313" w:name="_Toc483571554"/>
      <w:bookmarkStart w:id="314" w:name="_Toc483906931"/>
      <w:bookmarkStart w:id="315" w:name="_Toc484010681"/>
      <w:bookmarkStart w:id="316" w:name="_Toc484010803"/>
      <w:bookmarkStart w:id="317" w:name="_Toc484010927"/>
      <w:bookmarkStart w:id="318" w:name="_Toc484011049"/>
      <w:bookmarkStart w:id="319" w:name="_Toc484011171"/>
      <w:bookmarkStart w:id="320" w:name="_Toc484011646"/>
      <w:bookmarkStart w:id="321" w:name="_Toc484097720"/>
      <w:bookmarkStart w:id="322" w:name="_Toc484428892"/>
      <w:bookmarkStart w:id="323" w:name="_Toc484429062"/>
      <w:bookmarkStart w:id="324" w:name="_Toc484438637"/>
      <w:bookmarkStart w:id="325" w:name="_Toc484438761"/>
      <w:bookmarkStart w:id="326" w:name="_Toc484438885"/>
      <w:bookmarkStart w:id="327" w:name="_Toc484439805"/>
      <w:bookmarkStart w:id="328" w:name="_Toc484439928"/>
      <w:bookmarkStart w:id="329" w:name="_Toc484440052"/>
      <w:bookmarkStart w:id="330" w:name="_Toc484440412"/>
      <w:bookmarkStart w:id="331" w:name="_Toc484448071"/>
      <w:bookmarkStart w:id="332" w:name="_Toc484448196"/>
      <w:bookmarkStart w:id="333" w:name="_Toc484448320"/>
      <w:bookmarkStart w:id="334" w:name="_Toc484448444"/>
      <w:bookmarkStart w:id="335" w:name="_Toc484448568"/>
      <w:bookmarkStart w:id="336" w:name="_Toc484448692"/>
      <w:bookmarkStart w:id="337" w:name="_Toc484448815"/>
      <w:bookmarkStart w:id="338" w:name="_Toc484448939"/>
      <w:bookmarkStart w:id="339" w:name="_Toc484449063"/>
      <w:bookmarkStart w:id="340" w:name="_Toc484526558"/>
      <w:bookmarkStart w:id="341" w:name="_Toc484605278"/>
      <w:bookmarkStart w:id="342" w:name="_Toc484605402"/>
      <w:bookmarkStart w:id="343" w:name="_Toc484688271"/>
      <w:bookmarkStart w:id="344" w:name="_Toc484688826"/>
      <w:bookmarkStart w:id="345" w:name="_Toc485218262"/>
      <w:bookmarkStart w:id="346" w:name="_Toc482025714"/>
      <w:bookmarkStart w:id="347" w:name="_Toc482097537"/>
      <w:bookmarkStart w:id="348" w:name="_Toc482097626"/>
      <w:bookmarkStart w:id="349" w:name="_Toc482097715"/>
      <w:bookmarkStart w:id="350" w:name="_Toc482097907"/>
      <w:bookmarkStart w:id="351" w:name="_Toc482099005"/>
      <w:bookmarkStart w:id="352" w:name="_Toc482100722"/>
      <w:bookmarkStart w:id="353" w:name="_Toc482100879"/>
      <w:bookmarkStart w:id="354" w:name="_Toc482101305"/>
      <w:bookmarkStart w:id="355" w:name="_Toc482101442"/>
      <w:bookmarkStart w:id="356" w:name="_Toc482101557"/>
      <w:bookmarkStart w:id="357" w:name="_Toc482101732"/>
      <w:bookmarkStart w:id="358" w:name="_Toc482101825"/>
      <w:bookmarkStart w:id="359" w:name="_Toc482101920"/>
      <w:bookmarkStart w:id="360" w:name="_Toc482102015"/>
      <w:bookmarkStart w:id="361" w:name="_Toc482102109"/>
      <w:bookmarkStart w:id="362" w:name="_Toc482351973"/>
      <w:bookmarkStart w:id="363" w:name="_Toc482352063"/>
      <w:bookmarkStart w:id="364" w:name="_Toc482352153"/>
      <w:bookmarkStart w:id="365" w:name="_Toc482352243"/>
      <w:bookmarkStart w:id="366" w:name="_Toc482633083"/>
      <w:bookmarkStart w:id="367" w:name="_Toc482641260"/>
      <w:bookmarkStart w:id="368" w:name="_Toc482712706"/>
      <w:bookmarkStart w:id="369" w:name="_Toc482959476"/>
      <w:bookmarkStart w:id="370" w:name="_Toc482959586"/>
      <w:bookmarkStart w:id="371" w:name="_Toc482959696"/>
      <w:bookmarkStart w:id="372" w:name="_Toc482978815"/>
      <w:bookmarkStart w:id="373" w:name="_Toc482978924"/>
      <w:bookmarkStart w:id="374" w:name="_Toc482979032"/>
      <w:bookmarkStart w:id="375" w:name="_Toc482979143"/>
      <w:bookmarkStart w:id="376" w:name="_Toc482979252"/>
      <w:bookmarkStart w:id="377" w:name="_Toc482979361"/>
      <w:bookmarkStart w:id="378" w:name="_Toc482979469"/>
      <w:bookmarkStart w:id="379" w:name="_Toc482979578"/>
      <w:bookmarkStart w:id="380" w:name="_Toc482979676"/>
      <w:bookmarkStart w:id="381" w:name="_Toc483233637"/>
      <w:bookmarkStart w:id="382" w:name="_Toc483302337"/>
      <w:bookmarkStart w:id="383" w:name="_Toc483315887"/>
      <w:bookmarkStart w:id="384" w:name="_Toc483316092"/>
      <w:bookmarkStart w:id="385" w:name="_Toc483316295"/>
      <w:bookmarkStart w:id="386" w:name="_Toc483316426"/>
      <w:bookmarkStart w:id="387" w:name="_Toc483325729"/>
      <w:bookmarkStart w:id="388" w:name="_Toc483401208"/>
      <w:bookmarkStart w:id="389" w:name="_Toc483474005"/>
      <w:bookmarkStart w:id="390" w:name="_Toc483571434"/>
      <w:bookmarkStart w:id="391" w:name="_Toc483571555"/>
      <w:bookmarkStart w:id="392" w:name="_Toc483906932"/>
      <w:bookmarkStart w:id="393" w:name="_Toc484010682"/>
      <w:bookmarkStart w:id="394" w:name="_Toc484010804"/>
      <w:bookmarkStart w:id="395" w:name="_Toc484010928"/>
      <w:bookmarkStart w:id="396" w:name="_Toc484011050"/>
      <w:bookmarkStart w:id="397" w:name="_Toc484011172"/>
      <w:bookmarkStart w:id="398" w:name="_Toc484011647"/>
      <w:bookmarkStart w:id="399" w:name="_Toc484097721"/>
      <w:bookmarkStart w:id="400" w:name="_Toc484428893"/>
      <w:bookmarkStart w:id="401" w:name="_Toc484429063"/>
      <w:bookmarkStart w:id="402" w:name="_Toc484438638"/>
      <w:bookmarkStart w:id="403" w:name="_Toc484438762"/>
      <w:bookmarkStart w:id="404" w:name="_Toc484438886"/>
      <w:bookmarkStart w:id="405" w:name="_Toc484439806"/>
      <w:bookmarkStart w:id="406" w:name="_Toc484439929"/>
      <w:bookmarkStart w:id="407" w:name="_Toc484440053"/>
      <w:bookmarkStart w:id="408" w:name="_Toc484440413"/>
      <w:bookmarkStart w:id="409" w:name="_Toc484448072"/>
      <w:bookmarkStart w:id="410" w:name="_Toc484448197"/>
      <w:bookmarkStart w:id="411" w:name="_Toc484448321"/>
      <w:bookmarkStart w:id="412" w:name="_Toc484448445"/>
      <w:bookmarkStart w:id="413" w:name="_Toc484448569"/>
      <w:bookmarkStart w:id="414" w:name="_Toc484448693"/>
      <w:bookmarkStart w:id="415" w:name="_Toc484448816"/>
      <w:bookmarkStart w:id="416" w:name="_Toc484448940"/>
      <w:bookmarkStart w:id="417" w:name="_Toc484449064"/>
      <w:bookmarkStart w:id="418" w:name="_Toc484526559"/>
      <w:bookmarkStart w:id="419" w:name="_Toc484605279"/>
      <w:bookmarkStart w:id="420" w:name="_Toc484605403"/>
      <w:bookmarkStart w:id="421" w:name="_Toc484688272"/>
      <w:bookmarkStart w:id="422" w:name="_Toc484688827"/>
      <w:bookmarkStart w:id="423" w:name="_Toc485218263"/>
      <w:bookmarkStart w:id="424" w:name="_Toc482025715"/>
      <w:bookmarkStart w:id="425" w:name="_Toc482097538"/>
      <w:bookmarkStart w:id="426" w:name="_Toc482097627"/>
      <w:bookmarkStart w:id="427" w:name="_Toc482097716"/>
      <w:bookmarkStart w:id="428" w:name="_Toc482097908"/>
      <w:bookmarkStart w:id="429" w:name="_Toc482099006"/>
      <w:bookmarkStart w:id="430" w:name="_Toc482100723"/>
      <w:bookmarkStart w:id="431" w:name="_Toc482100880"/>
      <w:bookmarkStart w:id="432" w:name="_Toc482101306"/>
      <w:bookmarkStart w:id="433" w:name="_Toc482101443"/>
      <w:bookmarkStart w:id="434" w:name="_Toc482101558"/>
      <w:bookmarkStart w:id="435" w:name="_Toc482101733"/>
      <w:bookmarkStart w:id="436" w:name="_Toc482101826"/>
      <w:bookmarkStart w:id="437" w:name="_Toc482101921"/>
      <w:bookmarkStart w:id="438" w:name="_Toc482102016"/>
      <w:bookmarkStart w:id="439" w:name="_Toc482102110"/>
      <w:bookmarkStart w:id="440" w:name="_Toc482351974"/>
      <w:bookmarkStart w:id="441" w:name="_Toc482352064"/>
      <w:bookmarkStart w:id="442" w:name="_Toc482352154"/>
      <w:bookmarkStart w:id="443" w:name="_Toc482352244"/>
      <w:bookmarkStart w:id="444" w:name="_Toc482633084"/>
      <w:bookmarkStart w:id="445" w:name="_Toc482641261"/>
      <w:bookmarkStart w:id="446" w:name="_Toc482712707"/>
      <w:bookmarkStart w:id="447" w:name="_Toc482959477"/>
      <w:bookmarkStart w:id="448" w:name="_Toc482959587"/>
      <w:bookmarkStart w:id="449" w:name="_Toc482959697"/>
      <w:bookmarkStart w:id="450" w:name="_Toc482978816"/>
      <w:bookmarkStart w:id="451" w:name="_Toc482978925"/>
      <w:bookmarkStart w:id="452" w:name="_Toc482979033"/>
      <w:bookmarkStart w:id="453" w:name="_Toc482979144"/>
      <w:bookmarkStart w:id="454" w:name="_Toc482979253"/>
      <w:bookmarkStart w:id="455" w:name="_Toc482979362"/>
      <w:bookmarkStart w:id="456" w:name="_Toc482979470"/>
      <w:bookmarkStart w:id="457" w:name="_Toc482979579"/>
      <w:bookmarkStart w:id="458" w:name="_Toc482979677"/>
      <w:bookmarkStart w:id="459" w:name="_Toc483233638"/>
      <w:bookmarkStart w:id="460" w:name="_Toc483302338"/>
      <w:bookmarkStart w:id="461" w:name="_Toc483315888"/>
      <w:bookmarkStart w:id="462" w:name="_Toc483316093"/>
      <w:bookmarkStart w:id="463" w:name="_Toc483316296"/>
      <w:bookmarkStart w:id="464" w:name="_Toc483316427"/>
      <w:bookmarkStart w:id="465" w:name="_Toc483325730"/>
      <w:bookmarkStart w:id="466" w:name="_Toc483401209"/>
      <w:bookmarkStart w:id="467" w:name="_Toc483474006"/>
      <w:bookmarkStart w:id="468" w:name="_Toc483571435"/>
      <w:bookmarkStart w:id="469" w:name="_Toc483571556"/>
      <w:bookmarkStart w:id="470" w:name="_Toc483906933"/>
      <w:bookmarkStart w:id="471" w:name="_Toc484010683"/>
      <w:bookmarkStart w:id="472" w:name="_Toc484010805"/>
      <w:bookmarkStart w:id="473" w:name="_Toc484010929"/>
      <w:bookmarkStart w:id="474" w:name="_Toc484011051"/>
      <w:bookmarkStart w:id="475" w:name="_Toc484011173"/>
      <w:bookmarkStart w:id="476" w:name="_Toc484011648"/>
      <w:bookmarkStart w:id="477" w:name="_Toc484097722"/>
      <w:bookmarkStart w:id="478" w:name="_Toc484428894"/>
      <w:bookmarkStart w:id="479" w:name="_Toc484429064"/>
      <w:bookmarkStart w:id="480" w:name="_Toc484438639"/>
      <w:bookmarkStart w:id="481" w:name="_Toc484438763"/>
      <w:bookmarkStart w:id="482" w:name="_Toc484438887"/>
      <w:bookmarkStart w:id="483" w:name="_Toc484439807"/>
      <w:bookmarkStart w:id="484" w:name="_Toc484439930"/>
      <w:bookmarkStart w:id="485" w:name="_Toc484440054"/>
      <w:bookmarkStart w:id="486" w:name="_Toc484440414"/>
      <w:bookmarkStart w:id="487" w:name="_Toc484448073"/>
      <w:bookmarkStart w:id="488" w:name="_Toc484448198"/>
      <w:bookmarkStart w:id="489" w:name="_Toc484448322"/>
      <w:bookmarkStart w:id="490" w:name="_Toc484448446"/>
      <w:bookmarkStart w:id="491" w:name="_Toc484448570"/>
      <w:bookmarkStart w:id="492" w:name="_Toc484448694"/>
      <w:bookmarkStart w:id="493" w:name="_Toc484448817"/>
      <w:bookmarkStart w:id="494" w:name="_Toc484448941"/>
      <w:bookmarkStart w:id="495" w:name="_Toc484449065"/>
      <w:bookmarkStart w:id="496" w:name="_Toc484526560"/>
      <w:bookmarkStart w:id="497" w:name="_Toc484605280"/>
      <w:bookmarkStart w:id="498" w:name="_Toc484605404"/>
      <w:bookmarkStart w:id="499" w:name="_Toc484688273"/>
      <w:bookmarkStart w:id="500" w:name="_Toc484688828"/>
      <w:bookmarkStart w:id="501" w:name="_Toc485218264"/>
      <w:bookmarkStart w:id="502" w:name="_Toc482025716"/>
      <w:bookmarkStart w:id="503" w:name="_Toc482097539"/>
      <w:bookmarkStart w:id="504" w:name="_Toc482097628"/>
      <w:bookmarkStart w:id="505" w:name="_Toc482097717"/>
      <w:bookmarkStart w:id="506" w:name="_Toc482097909"/>
      <w:bookmarkStart w:id="507" w:name="_Toc482099007"/>
      <w:bookmarkStart w:id="508" w:name="_Toc482100724"/>
      <w:bookmarkStart w:id="509" w:name="_Toc482100881"/>
      <w:bookmarkStart w:id="510" w:name="_Toc482101307"/>
      <w:bookmarkStart w:id="511" w:name="_Toc482101444"/>
      <w:bookmarkStart w:id="512" w:name="_Toc482101559"/>
      <w:bookmarkStart w:id="513" w:name="_Toc482101734"/>
      <w:bookmarkStart w:id="514" w:name="_Toc482101827"/>
      <w:bookmarkStart w:id="515" w:name="_Toc482101922"/>
      <w:bookmarkStart w:id="516" w:name="_Toc482102017"/>
      <w:bookmarkStart w:id="517" w:name="_Toc482102111"/>
      <w:bookmarkStart w:id="518" w:name="_Toc482351975"/>
      <w:bookmarkStart w:id="519" w:name="_Toc482352065"/>
      <w:bookmarkStart w:id="520" w:name="_Toc482352155"/>
      <w:bookmarkStart w:id="521" w:name="_Toc482352245"/>
      <w:bookmarkStart w:id="522" w:name="_Toc482633085"/>
      <w:bookmarkStart w:id="523" w:name="_Toc482641262"/>
      <w:bookmarkStart w:id="524" w:name="_Toc482712708"/>
      <w:bookmarkStart w:id="525" w:name="_Toc482959478"/>
      <w:bookmarkStart w:id="526" w:name="_Toc482959588"/>
      <w:bookmarkStart w:id="527" w:name="_Toc482959698"/>
      <w:bookmarkStart w:id="528" w:name="_Toc482978817"/>
      <w:bookmarkStart w:id="529" w:name="_Toc482978926"/>
      <w:bookmarkStart w:id="530" w:name="_Toc482979034"/>
      <w:bookmarkStart w:id="531" w:name="_Toc482979145"/>
      <w:bookmarkStart w:id="532" w:name="_Toc482979254"/>
      <w:bookmarkStart w:id="533" w:name="_Toc482979363"/>
      <w:bookmarkStart w:id="534" w:name="_Toc482979471"/>
      <w:bookmarkStart w:id="535" w:name="_Toc482979580"/>
      <w:bookmarkStart w:id="536" w:name="_Toc482979678"/>
      <w:bookmarkStart w:id="537" w:name="_Toc483233639"/>
      <w:bookmarkStart w:id="538" w:name="_Toc483302339"/>
      <w:bookmarkStart w:id="539" w:name="_Toc483315889"/>
      <w:bookmarkStart w:id="540" w:name="_Toc483316094"/>
      <w:bookmarkStart w:id="541" w:name="_Toc483316297"/>
      <w:bookmarkStart w:id="542" w:name="_Toc483316428"/>
      <w:bookmarkStart w:id="543" w:name="_Toc483325731"/>
      <w:bookmarkStart w:id="544" w:name="_Toc483401210"/>
      <w:bookmarkStart w:id="545" w:name="_Toc483474007"/>
      <w:bookmarkStart w:id="546" w:name="_Toc483571436"/>
      <w:bookmarkStart w:id="547" w:name="_Toc483571557"/>
      <w:bookmarkStart w:id="548" w:name="_Toc483906934"/>
      <w:bookmarkStart w:id="549" w:name="_Toc484010684"/>
      <w:bookmarkStart w:id="550" w:name="_Toc484010806"/>
      <w:bookmarkStart w:id="551" w:name="_Toc484010930"/>
      <w:bookmarkStart w:id="552" w:name="_Toc484011052"/>
      <w:bookmarkStart w:id="553" w:name="_Toc484011174"/>
      <w:bookmarkStart w:id="554" w:name="_Toc484011649"/>
      <w:bookmarkStart w:id="555" w:name="_Toc484097723"/>
      <w:bookmarkStart w:id="556" w:name="_Toc484428895"/>
      <w:bookmarkStart w:id="557" w:name="_Toc484429065"/>
      <w:bookmarkStart w:id="558" w:name="_Toc484438640"/>
      <w:bookmarkStart w:id="559" w:name="_Toc484438764"/>
      <w:bookmarkStart w:id="560" w:name="_Toc484438888"/>
      <w:bookmarkStart w:id="561" w:name="_Toc484439808"/>
      <w:bookmarkStart w:id="562" w:name="_Toc484439931"/>
      <w:bookmarkStart w:id="563" w:name="_Toc484440055"/>
      <w:bookmarkStart w:id="564" w:name="_Toc484440415"/>
      <w:bookmarkStart w:id="565" w:name="_Toc484448074"/>
      <w:bookmarkStart w:id="566" w:name="_Toc484448199"/>
      <w:bookmarkStart w:id="567" w:name="_Toc484448323"/>
      <w:bookmarkStart w:id="568" w:name="_Toc484448447"/>
      <w:bookmarkStart w:id="569" w:name="_Toc484448571"/>
      <w:bookmarkStart w:id="570" w:name="_Toc484448695"/>
      <w:bookmarkStart w:id="571" w:name="_Toc484448818"/>
      <w:bookmarkStart w:id="572" w:name="_Toc484448942"/>
      <w:bookmarkStart w:id="573" w:name="_Toc484449066"/>
      <w:bookmarkStart w:id="574" w:name="_Toc484526561"/>
      <w:bookmarkStart w:id="575" w:name="_Toc484605281"/>
      <w:bookmarkStart w:id="576" w:name="_Toc484605405"/>
      <w:bookmarkStart w:id="577" w:name="_Toc484688274"/>
      <w:bookmarkStart w:id="578" w:name="_Toc484688829"/>
      <w:bookmarkStart w:id="579" w:name="_Toc485218265"/>
      <w:bookmarkStart w:id="580" w:name="_Toc482025717"/>
      <w:bookmarkStart w:id="581" w:name="_Toc482097540"/>
      <w:bookmarkStart w:id="582" w:name="_Toc482097629"/>
      <w:bookmarkStart w:id="583" w:name="_Toc482097718"/>
      <w:bookmarkStart w:id="584" w:name="_Toc482097910"/>
      <w:bookmarkStart w:id="585" w:name="_Toc482099008"/>
      <w:bookmarkStart w:id="586" w:name="_Toc482100725"/>
      <w:bookmarkStart w:id="587" w:name="_Toc482100882"/>
      <w:bookmarkStart w:id="588" w:name="_Toc482101308"/>
      <w:bookmarkStart w:id="589" w:name="_Toc482101445"/>
      <w:bookmarkStart w:id="590" w:name="_Toc482101560"/>
      <w:bookmarkStart w:id="591" w:name="_Toc482101735"/>
      <w:bookmarkStart w:id="592" w:name="_Toc482101828"/>
      <w:bookmarkStart w:id="593" w:name="_Toc482101923"/>
      <w:bookmarkStart w:id="594" w:name="_Toc482102018"/>
      <w:bookmarkStart w:id="595" w:name="_Toc482102112"/>
      <w:bookmarkStart w:id="596" w:name="_Toc482351976"/>
      <w:bookmarkStart w:id="597" w:name="_Toc482352066"/>
      <w:bookmarkStart w:id="598" w:name="_Toc482352156"/>
      <w:bookmarkStart w:id="599" w:name="_Toc482352246"/>
      <w:bookmarkStart w:id="600" w:name="_Toc482633086"/>
      <w:bookmarkStart w:id="601" w:name="_Toc482641263"/>
      <w:bookmarkStart w:id="602" w:name="_Toc482712709"/>
      <w:bookmarkStart w:id="603" w:name="_Toc482959479"/>
      <w:bookmarkStart w:id="604" w:name="_Toc482959589"/>
      <w:bookmarkStart w:id="605" w:name="_Toc482959699"/>
      <w:bookmarkStart w:id="606" w:name="_Toc482978818"/>
      <w:bookmarkStart w:id="607" w:name="_Toc482978927"/>
      <w:bookmarkStart w:id="608" w:name="_Toc482979035"/>
      <w:bookmarkStart w:id="609" w:name="_Toc482979146"/>
      <w:bookmarkStart w:id="610" w:name="_Toc482979255"/>
      <w:bookmarkStart w:id="611" w:name="_Toc482979364"/>
      <w:bookmarkStart w:id="612" w:name="_Toc482979472"/>
      <w:bookmarkStart w:id="613" w:name="_Toc482979581"/>
      <w:bookmarkStart w:id="614" w:name="_Toc482979679"/>
      <w:bookmarkStart w:id="615" w:name="_Toc483233640"/>
      <w:bookmarkStart w:id="616" w:name="_Toc483302340"/>
      <w:bookmarkStart w:id="617" w:name="_Toc483315890"/>
      <w:bookmarkStart w:id="618" w:name="_Toc483316095"/>
      <w:bookmarkStart w:id="619" w:name="_Toc483316298"/>
      <w:bookmarkStart w:id="620" w:name="_Toc483316429"/>
      <w:bookmarkStart w:id="621" w:name="_Toc483325732"/>
      <w:bookmarkStart w:id="622" w:name="_Toc483401211"/>
      <w:bookmarkStart w:id="623" w:name="_Toc483474008"/>
      <w:bookmarkStart w:id="624" w:name="_Toc483571437"/>
      <w:bookmarkStart w:id="625" w:name="_Toc483571558"/>
      <w:bookmarkStart w:id="626" w:name="_Toc483906935"/>
      <w:bookmarkStart w:id="627" w:name="_Toc484010685"/>
      <w:bookmarkStart w:id="628" w:name="_Toc484010807"/>
      <w:bookmarkStart w:id="629" w:name="_Toc484010931"/>
      <w:bookmarkStart w:id="630" w:name="_Toc484011053"/>
      <w:bookmarkStart w:id="631" w:name="_Toc484011175"/>
      <w:bookmarkStart w:id="632" w:name="_Toc484011650"/>
      <w:bookmarkStart w:id="633" w:name="_Toc484097724"/>
      <w:bookmarkStart w:id="634" w:name="_Toc484428896"/>
      <w:bookmarkStart w:id="635" w:name="_Toc484429066"/>
      <w:bookmarkStart w:id="636" w:name="_Toc484438641"/>
      <w:bookmarkStart w:id="637" w:name="_Toc484438765"/>
      <w:bookmarkStart w:id="638" w:name="_Toc484438889"/>
      <w:bookmarkStart w:id="639" w:name="_Toc484439809"/>
      <w:bookmarkStart w:id="640" w:name="_Toc484439932"/>
      <w:bookmarkStart w:id="641" w:name="_Toc484440056"/>
      <w:bookmarkStart w:id="642" w:name="_Toc484440416"/>
      <w:bookmarkStart w:id="643" w:name="_Toc484448075"/>
      <w:bookmarkStart w:id="644" w:name="_Toc484448200"/>
      <w:bookmarkStart w:id="645" w:name="_Toc484448324"/>
      <w:bookmarkStart w:id="646" w:name="_Toc484448448"/>
      <w:bookmarkStart w:id="647" w:name="_Toc484448572"/>
      <w:bookmarkStart w:id="648" w:name="_Toc484448696"/>
      <w:bookmarkStart w:id="649" w:name="_Toc484448819"/>
      <w:bookmarkStart w:id="650" w:name="_Toc484448943"/>
      <w:bookmarkStart w:id="651" w:name="_Toc484449067"/>
      <w:bookmarkStart w:id="652" w:name="_Toc484526562"/>
      <w:bookmarkStart w:id="653" w:name="_Toc484605282"/>
      <w:bookmarkStart w:id="654" w:name="_Toc484605406"/>
      <w:bookmarkStart w:id="655" w:name="_Toc484688275"/>
      <w:bookmarkStart w:id="656" w:name="_Toc484688830"/>
      <w:bookmarkStart w:id="657" w:name="_Toc485218266"/>
      <w:bookmarkStart w:id="658" w:name="_Toc482025718"/>
      <w:bookmarkStart w:id="659" w:name="_Toc482097541"/>
      <w:bookmarkStart w:id="660" w:name="_Toc482097630"/>
      <w:bookmarkStart w:id="661" w:name="_Toc482097719"/>
      <w:bookmarkStart w:id="662" w:name="_Toc482097911"/>
      <w:bookmarkStart w:id="663" w:name="_Toc482099009"/>
      <w:bookmarkStart w:id="664" w:name="_Toc482100726"/>
      <w:bookmarkStart w:id="665" w:name="_Toc482100883"/>
      <w:bookmarkStart w:id="666" w:name="_Toc482101309"/>
      <w:bookmarkStart w:id="667" w:name="_Toc482101446"/>
      <w:bookmarkStart w:id="668" w:name="_Toc482101561"/>
      <w:bookmarkStart w:id="669" w:name="_Toc482101736"/>
      <w:bookmarkStart w:id="670" w:name="_Toc482101829"/>
      <w:bookmarkStart w:id="671" w:name="_Toc482101924"/>
      <w:bookmarkStart w:id="672" w:name="_Toc482102019"/>
      <w:bookmarkStart w:id="673" w:name="_Toc482102113"/>
      <w:bookmarkStart w:id="674" w:name="_Toc482351977"/>
      <w:bookmarkStart w:id="675" w:name="_Toc482352067"/>
      <w:bookmarkStart w:id="676" w:name="_Toc482352157"/>
      <w:bookmarkStart w:id="677" w:name="_Toc482352247"/>
      <w:bookmarkStart w:id="678" w:name="_Toc482633087"/>
      <w:bookmarkStart w:id="679" w:name="_Toc482641264"/>
      <w:bookmarkStart w:id="680" w:name="_Toc482712710"/>
      <w:bookmarkStart w:id="681" w:name="_Toc482959480"/>
      <w:bookmarkStart w:id="682" w:name="_Toc482959590"/>
      <w:bookmarkStart w:id="683" w:name="_Toc482959700"/>
      <w:bookmarkStart w:id="684" w:name="_Toc482978819"/>
      <w:bookmarkStart w:id="685" w:name="_Toc482978928"/>
      <w:bookmarkStart w:id="686" w:name="_Toc482979036"/>
      <w:bookmarkStart w:id="687" w:name="_Toc482979147"/>
      <w:bookmarkStart w:id="688" w:name="_Toc482979256"/>
      <w:bookmarkStart w:id="689" w:name="_Toc482979365"/>
      <w:bookmarkStart w:id="690" w:name="_Toc482979473"/>
      <w:bookmarkStart w:id="691" w:name="_Toc482979582"/>
      <w:bookmarkStart w:id="692" w:name="_Toc482979680"/>
      <w:bookmarkStart w:id="693" w:name="_Toc483233641"/>
      <w:bookmarkStart w:id="694" w:name="_Toc483302341"/>
      <w:bookmarkStart w:id="695" w:name="_Toc483315891"/>
      <w:bookmarkStart w:id="696" w:name="_Toc483316096"/>
      <w:bookmarkStart w:id="697" w:name="_Toc483316299"/>
      <w:bookmarkStart w:id="698" w:name="_Toc483316430"/>
      <w:bookmarkStart w:id="699" w:name="_Toc483325733"/>
      <w:bookmarkStart w:id="700" w:name="_Toc483401212"/>
      <w:bookmarkStart w:id="701" w:name="_Toc483474009"/>
      <w:bookmarkStart w:id="702" w:name="_Toc483571438"/>
      <w:bookmarkStart w:id="703" w:name="_Toc483571559"/>
      <w:bookmarkStart w:id="704" w:name="_Toc483906936"/>
      <w:bookmarkStart w:id="705" w:name="_Toc484010686"/>
      <w:bookmarkStart w:id="706" w:name="_Toc484010808"/>
      <w:bookmarkStart w:id="707" w:name="_Toc484010932"/>
      <w:bookmarkStart w:id="708" w:name="_Toc484011054"/>
      <w:bookmarkStart w:id="709" w:name="_Toc484011176"/>
      <w:bookmarkStart w:id="710" w:name="_Toc484011651"/>
      <w:bookmarkStart w:id="711" w:name="_Toc484097725"/>
      <w:bookmarkStart w:id="712" w:name="_Toc484428897"/>
      <w:bookmarkStart w:id="713" w:name="_Toc484429067"/>
      <w:bookmarkStart w:id="714" w:name="_Toc484438642"/>
      <w:bookmarkStart w:id="715" w:name="_Toc484438766"/>
      <w:bookmarkStart w:id="716" w:name="_Toc484438890"/>
      <w:bookmarkStart w:id="717" w:name="_Toc484439810"/>
      <w:bookmarkStart w:id="718" w:name="_Toc484439933"/>
      <w:bookmarkStart w:id="719" w:name="_Toc484440057"/>
      <w:bookmarkStart w:id="720" w:name="_Toc484440417"/>
      <w:bookmarkStart w:id="721" w:name="_Toc484448076"/>
      <w:bookmarkStart w:id="722" w:name="_Toc484448201"/>
      <w:bookmarkStart w:id="723" w:name="_Toc484448325"/>
      <w:bookmarkStart w:id="724" w:name="_Toc484448449"/>
      <w:bookmarkStart w:id="725" w:name="_Toc484448573"/>
      <w:bookmarkStart w:id="726" w:name="_Toc484448697"/>
      <w:bookmarkStart w:id="727" w:name="_Toc484448820"/>
      <w:bookmarkStart w:id="728" w:name="_Toc484448944"/>
      <w:bookmarkStart w:id="729" w:name="_Toc484449068"/>
      <w:bookmarkStart w:id="730" w:name="_Toc484526563"/>
      <w:bookmarkStart w:id="731" w:name="_Toc484605283"/>
      <w:bookmarkStart w:id="732" w:name="_Toc484605407"/>
      <w:bookmarkStart w:id="733" w:name="_Toc484688276"/>
      <w:bookmarkStart w:id="734" w:name="_Toc484688831"/>
      <w:bookmarkStart w:id="735" w:name="_Toc485218267"/>
      <w:bookmarkStart w:id="736" w:name="_Toc482025719"/>
      <w:bookmarkStart w:id="737" w:name="_Toc482097542"/>
      <w:bookmarkStart w:id="738" w:name="_Toc482097631"/>
      <w:bookmarkStart w:id="739" w:name="_Toc482097720"/>
      <w:bookmarkStart w:id="740" w:name="_Toc482097912"/>
      <w:bookmarkStart w:id="741" w:name="_Toc482099010"/>
      <w:bookmarkStart w:id="742" w:name="_Toc482100727"/>
      <w:bookmarkStart w:id="743" w:name="_Toc482100884"/>
      <w:bookmarkStart w:id="744" w:name="_Toc482101310"/>
      <w:bookmarkStart w:id="745" w:name="_Toc482101447"/>
      <w:bookmarkStart w:id="746" w:name="_Toc482101562"/>
      <w:bookmarkStart w:id="747" w:name="_Toc482101737"/>
      <w:bookmarkStart w:id="748" w:name="_Toc482101830"/>
      <w:bookmarkStart w:id="749" w:name="_Toc482101925"/>
      <w:bookmarkStart w:id="750" w:name="_Toc482102020"/>
      <w:bookmarkStart w:id="751" w:name="_Toc482102114"/>
      <w:bookmarkStart w:id="752" w:name="_Toc482351978"/>
      <w:bookmarkStart w:id="753" w:name="_Toc482352068"/>
      <w:bookmarkStart w:id="754" w:name="_Toc482352158"/>
      <w:bookmarkStart w:id="755" w:name="_Toc482352248"/>
      <w:bookmarkStart w:id="756" w:name="_Toc482633088"/>
      <w:bookmarkStart w:id="757" w:name="_Toc482641265"/>
      <w:bookmarkStart w:id="758" w:name="_Toc482712711"/>
      <w:bookmarkStart w:id="759" w:name="_Toc482959481"/>
      <w:bookmarkStart w:id="760" w:name="_Toc482959591"/>
      <w:bookmarkStart w:id="761" w:name="_Toc482959701"/>
      <w:bookmarkStart w:id="762" w:name="_Toc482978820"/>
      <w:bookmarkStart w:id="763" w:name="_Toc482978929"/>
      <w:bookmarkStart w:id="764" w:name="_Toc482979037"/>
      <w:bookmarkStart w:id="765" w:name="_Toc482979148"/>
      <w:bookmarkStart w:id="766" w:name="_Toc482979257"/>
      <w:bookmarkStart w:id="767" w:name="_Toc482979366"/>
      <w:bookmarkStart w:id="768" w:name="_Toc482979474"/>
      <w:bookmarkStart w:id="769" w:name="_Toc482979583"/>
      <w:bookmarkStart w:id="770" w:name="_Toc482979681"/>
      <w:bookmarkStart w:id="771" w:name="_Toc483233642"/>
      <w:bookmarkStart w:id="772" w:name="_Toc483302342"/>
      <w:bookmarkStart w:id="773" w:name="_Toc483315892"/>
      <w:bookmarkStart w:id="774" w:name="_Toc483316097"/>
      <w:bookmarkStart w:id="775" w:name="_Toc483316300"/>
      <w:bookmarkStart w:id="776" w:name="_Toc483316431"/>
      <w:bookmarkStart w:id="777" w:name="_Toc483325734"/>
      <w:bookmarkStart w:id="778" w:name="_Toc483401213"/>
      <w:bookmarkStart w:id="779" w:name="_Toc483474010"/>
      <w:bookmarkStart w:id="780" w:name="_Toc483571439"/>
      <w:bookmarkStart w:id="781" w:name="_Toc483571560"/>
      <w:bookmarkStart w:id="782" w:name="_Toc483906937"/>
      <w:bookmarkStart w:id="783" w:name="_Toc484010687"/>
      <w:bookmarkStart w:id="784" w:name="_Toc484010809"/>
      <w:bookmarkStart w:id="785" w:name="_Toc484010933"/>
      <w:bookmarkStart w:id="786" w:name="_Toc484011055"/>
      <w:bookmarkStart w:id="787" w:name="_Toc484011177"/>
      <w:bookmarkStart w:id="788" w:name="_Toc484011652"/>
      <w:bookmarkStart w:id="789" w:name="_Toc484097726"/>
      <w:bookmarkStart w:id="790" w:name="_Toc484428898"/>
      <w:bookmarkStart w:id="791" w:name="_Toc484429068"/>
      <w:bookmarkStart w:id="792" w:name="_Toc484438643"/>
      <w:bookmarkStart w:id="793" w:name="_Toc484438767"/>
      <w:bookmarkStart w:id="794" w:name="_Toc484438891"/>
      <w:bookmarkStart w:id="795" w:name="_Toc484439811"/>
      <w:bookmarkStart w:id="796" w:name="_Toc484439934"/>
      <w:bookmarkStart w:id="797" w:name="_Toc484440058"/>
      <w:bookmarkStart w:id="798" w:name="_Toc484440418"/>
      <w:bookmarkStart w:id="799" w:name="_Toc484448077"/>
      <w:bookmarkStart w:id="800" w:name="_Toc484448202"/>
      <w:bookmarkStart w:id="801" w:name="_Toc484448326"/>
      <w:bookmarkStart w:id="802" w:name="_Toc484448450"/>
      <w:bookmarkStart w:id="803" w:name="_Toc484448574"/>
      <w:bookmarkStart w:id="804" w:name="_Toc484448698"/>
      <w:bookmarkStart w:id="805" w:name="_Toc484448821"/>
      <w:bookmarkStart w:id="806" w:name="_Toc484448945"/>
      <w:bookmarkStart w:id="807" w:name="_Toc484449069"/>
      <w:bookmarkStart w:id="808" w:name="_Toc484526564"/>
      <w:bookmarkStart w:id="809" w:name="_Toc484605284"/>
      <w:bookmarkStart w:id="810" w:name="_Toc484605408"/>
      <w:bookmarkStart w:id="811" w:name="_Toc484688277"/>
      <w:bookmarkStart w:id="812" w:name="_Toc484688832"/>
      <w:bookmarkStart w:id="813" w:name="_Toc485218268"/>
      <w:bookmarkStart w:id="814" w:name="_Toc482025720"/>
      <w:bookmarkStart w:id="815" w:name="_Toc482097543"/>
      <w:bookmarkStart w:id="816" w:name="_Toc482097632"/>
      <w:bookmarkStart w:id="817" w:name="_Toc482097721"/>
      <w:bookmarkStart w:id="818" w:name="_Toc482097913"/>
      <w:bookmarkStart w:id="819" w:name="_Toc482099011"/>
      <w:bookmarkStart w:id="820" w:name="_Toc482100728"/>
      <w:bookmarkStart w:id="821" w:name="_Toc482100885"/>
      <w:bookmarkStart w:id="822" w:name="_Toc482101311"/>
      <w:bookmarkStart w:id="823" w:name="_Toc482101448"/>
      <w:bookmarkStart w:id="824" w:name="_Toc482101563"/>
      <w:bookmarkStart w:id="825" w:name="_Toc482101738"/>
      <w:bookmarkStart w:id="826" w:name="_Toc482101831"/>
      <w:bookmarkStart w:id="827" w:name="_Toc482101926"/>
      <w:bookmarkStart w:id="828" w:name="_Toc482102021"/>
      <w:bookmarkStart w:id="829" w:name="_Toc482102115"/>
      <w:bookmarkStart w:id="830" w:name="_Toc482351979"/>
      <w:bookmarkStart w:id="831" w:name="_Toc482352069"/>
      <w:bookmarkStart w:id="832" w:name="_Toc482352159"/>
      <w:bookmarkStart w:id="833" w:name="_Toc482352249"/>
      <w:bookmarkStart w:id="834" w:name="_Toc482633089"/>
      <w:bookmarkStart w:id="835" w:name="_Toc482641266"/>
      <w:bookmarkStart w:id="836" w:name="_Toc482712712"/>
      <w:bookmarkStart w:id="837" w:name="_Toc482959482"/>
      <w:bookmarkStart w:id="838" w:name="_Toc482959592"/>
      <w:bookmarkStart w:id="839" w:name="_Toc482959702"/>
      <w:bookmarkStart w:id="840" w:name="_Toc482978821"/>
      <w:bookmarkStart w:id="841" w:name="_Toc482978930"/>
      <w:bookmarkStart w:id="842" w:name="_Toc482979038"/>
      <w:bookmarkStart w:id="843" w:name="_Toc482979149"/>
      <w:bookmarkStart w:id="844" w:name="_Toc482979258"/>
      <w:bookmarkStart w:id="845" w:name="_Toc482979367"/>
      <w:bookmarkStart w:id="846" w:name="_Toc482979475"/>
      <w:bookmarkStart w:id="847" w:name="_Toc482979584"/>
      <w:bookmarkStart w:id="848" w:name="_Toc482979682"/>
      <w:bookmarkStart w:id="849" w:name="_Toc483233643"/>
      <w:bookmarkStart w:id="850" w:name="_Toc483302343"/>
      <w:bookmarkStart w:id="851" w:name="_Toc483315893"/>
      <w:bookmarkStart w:id="852" w:name="_Toc483316098"/>
      <w:bookmarkStart w:id="853" w:name="_Toc483316301"/>
      <w:bookmarkStart w:id="854" w:name="_Toc483316432"/>
      <w:bookmarkStart w:id="855" w:name="_Toc483325735"/>
      <w:bookmarkStart w:id="856" w:name="_Toc483401214"/>
      <w:bookmarkStart w:id="857" w:name="_Toc483474011"/>
      <w:bookmarkStart w:id="858" w:name="_Toc483571440"/>
      <w:bookmarkStart w:id="859" w:name="_Toc483571561"/>
      <w:bookmarkStart w:id="860" w:name="_Toc483906938"/>
      <w:bookmarkStart w:id="861" w:name="_Toc484010688"/>
      <w:bookmarkStart w:id="862" w:name="_Toc484010810"/>
      <w:bookmarkStart w:id="863" w:name="_Toc484010934"/>
      <w:bookmarkStart w:id="864" w:name="_Toc484011056"/>
      <w:bookmarkStart w:id="865" w:name="_Toc484011178"/>
      <w:bookmarkStart w:id="866" w:name="_Toc484011653"/>
      <w:bookmarkStart w:id="867" w:name="_Toc484097727"/>
      <w:bookmarkStart w:id="868" w:name="_Toc484428899"/>
      <w:bookmarkStart w:id="869" w:name="_Toc484429069"/>
      <w:bookmarkStart w:id="870" w:name="_Toc484438644"/>
      <w:bookmarkStart w:id="871" w:name="_Toc484438768"/>
      <w:bookmarkStart w:id="872" w:name="_Toc484438892"/>
      <w:bookmarkStart w:id="873" w:name="_Toc484439812"/>
      <w:bookmarkStart w:id="874" w:name="_Toc484439935"/>
      <w:bookmarkStart w:id="875" w:name="_Toc484440059"/>
      <w:bookmarkStart w:id="876" w:name="_Toc484440419"/>
      <w:bookmarkStart w:id="877" w:name="_Toc484448078"/>
      <w:bookmarkStart w:id="878" w:name="_Toc484448203"/>
      <w:bookmarkStart w:id="879" w:name="_Toc484448327"/>
      <w:bookmarkStart w:id="880" w:name="_Toc484448451"/>
      <w:bookmarkStart w:id="881" w:name="_Toc484448575"/>
      <w:bookmarkStart w:id="882" w:name="_Toc484448699"/>
      <w:bookmarkStart w:id="883" w:name="_Toc484448822"/>
      <w:bookmarkStart w:id="884" w:name="_Toc484448946"/>
      <w:bookmarkStart w:id="885" w:name="_Toc484449070"/>
      <w:bookmarkStart w:id="886" w:name="_Toc484526565"/>
      <w:bookmarkStart w:id="887" w:name="_Toc484605285"/>
      <w:bookmarkStart w:id="888" w:name="_Toc484605409"/>
      <w:bookmarkStart w:id="889" w:name="_Toc484688278"/>
      <w:bookmarkStart w:id="890" w:name="_Toc484688833"/>
      <w:bookmarkStart w:id="891" w:name="_Toc485218269"/>
      <w:bookmarkStart w:id="892" w:name="_Toc482025721"/>
      <w:bookmarkStart w:id="893" w:name="_Toc482097544"/>
      <w:bookmarkStart w:id="894" w:name="_Toc482097633"/>
      <w:bookmarkStart w:id="895" w:name="_Toc482097722"/>
      <w:bookmarkStart w:id="896" w:name="_Toc482097914"/>
      <w:bookmarkStart w:id="897" w:name="_Toc482099012"/>
      <w:bookmarkStart w:id="898" w:name="_Toc482100729"/>
      <w:bookmarkStart w:id="899" w:name="_Toc482100886"/>
      <w:bookmarkStart w:id="900" w:name="_Toc482101312"/>
      <w:bookmarkStart w:id="901" w:name="_Toc482101449"/>
      <w:bookmarkStart w:id="902" w:name="_Toc482101564"/>
      <w:bookmarkStart w:id="903" w:name="_Toc482101739"/>
      <w:bookmarkStart w:id="904" w:name="_Toc482101832"/>
      <w:bookmarkStart w:id="905" w:name="_Toc482101927"/>
      <w:bookmarkStart w:id="906" w:name="_Toc482102022"/>
      <w:bookmarkStart w:id="907" w:name="_Toc482102116"/>
      <w:bookmarkStart w:id="908" w:name="_Toc482351980"/>
      <w:bookmarkStart w:id="909" w:name="_Toc482352070"/>
      <w:bookmarkStart w:id="910" w:name="_Toc482352160"/>
      <w:bookmarkStart w:id="911" w:name="_Toc482352250"/>
      <w:bookmarkStart w:id="912" w:name="_Toc482633090"/>
      <w:bookmarkStart w:id="913" w:name="_Toc482641267"/>
      <w:bookmarkStart w:id="914" w:name="_Toc482712713"/>
      <w:bookmarkStart w:id="915" w:name="_Toc482959483"/>
      <w:bookmarkStart w:id="916" w:name="_Toc482959593"/>
      <w:bookmarkStart w:id="917" w:name="_Toc482959703"/>
      <w:bookmarkStart w:id="918" w:name="_Toc482978822"/>
      <w:bookmarkStart w:id="919" w:name="_Toc482978931"/>
      <w:bookmarkStart w:id="920" w:name="_Toc482979039"/>
      <w:bookmarkStart w:id="921" w:name="_Toc482979150"/>
      <w:bookmarkStart w:id="922" w:name="_Toc482979259"/>
      <w:bookmarkStart w:id="923" w:name="_Toc482979368"/>
      <w:bookmarkStart w:id="924" w:name="_Toc482979476"/>
      <w:bookmarkStart w:id="925" w:name="_Toc482979585"/>
      <w:bookmarkStart w:id="926" w:name="_Toc482979683"/>
      <w:bookmarkStart w:id="927" w:name="_Toc483233644"/>
      <w:bookmarkStart w:id="928" w:name="_Toc483302344"/>
      <w:bookmarkStart w:id="929" w:name="_Toc483315894"/>
      <w:bookmarkStart w:id="930" w:name="_Toc483316099"/>
      <w:bookmarkStart w:id="931" w:name="_Toc483316302"/>
      <w:bookmarkStart w:id="932" w:name="_Toc483316433"/>
      <w:bookmarkStart w:id="933" w:name="_Toc483325736"/>
      <w:bookmarkStart w:id="934" w:name="_Toc483401215"/>
      <w:bookmarkStart w:id="935" w:name="_Toc483474012"/>
      <w:bookmarkStart w:id="936" w:name="_Toc483571441"/>
      <w:bookmarkStart w:id="937" w:name="_Toc483571562"/>
      <w:bookmarkStart w:id="938" w:name="_Toc483906939"/>
      <w:bookmarkStart w:id="939" w:name="_Toc484010689"/>
      <w:bookmarkStart w:id="940" w:name="_Toc484010811"/>
      <w:bookmarkStart w:id="941" w:name="_Toc484010935"/>
      <w:bookmarkStart w:id="942" w:name="_Toc484011057"/>
      <w:bookmarkStart w:id="943" w:name="_Toc484011179"/>
      <w:bookmarkStart w:id="944" w:name="_Toc484011654"/>
      <w:bookmarkStart w:id="945" w:name="_Toc484097728"/>
      <w:bookmarkStart w:id="946" w:name="_Toc484428900"/>
      <w:bookmarkStart w:id="947" w:name="_Toc484429070"/>
      <w:bookmarkStart w:id="948" w:name="_Toc484438645"/>
      <w:bookmarkStart w:id="949" w:name="_Toc484438769"/>
      <w:bookmarkStart w:id="950" w:name="_Toc484438893"/>
      <w:bookmarkStart w:id="951" w:name="_Toc484439813"/>
      <w:bookmarkStart w:id="952" w:name="_Toc484439936"/>
      <w:bookmarkStart w:id="953" w:name="_Toc484440060"/>
      <w:bookmarkStart w:id="954" w:name="_Toc484440420"/>
      <w:bookmarkStart w:id="955" w:name="_Toc484448079"/>
      <w:bookmarkStart w:id="956" w:name="_Toc484448204"/>
      <w:bookmarkStart w:id="957" w:name="_Toc484448328"/>
      <w:bookmarkStart w:id="958" w:name="_Toc484448452"/>
      <w:bookmarkStart w:id="959" w:name="_Toc484448576"/>
      <w:bookmarkStart w:id="960" w:name="_Toc484448700"/>
      <w:bookmarkStart w:id="961" w:name="_Toc484448823"/>
      <w:bookmarkStart w:id="962" w:name="_Toc484448947"/>
      <w:bookmarkStart w:id="963" w:name="_Toc484449071"/>
      <w:bookmarkStart w:id="964" w:name="_Toc484526566"/>
      <w:bookmarkStart w:id="965" w:name="_Toc484605286"/>
      <w:bookmarkStart w:id="966" w:name="_Toc484605410"/>
      <w:bookmarkStart w:id="967" w:name="_Toc484688279"/>
      <w:bookmarkStart w:id="968" w:name="_Toc484688834"/>
      <w:bookmarkStart w:id="969" w:name="_Toc485218270"/>
      <w:bookmarkStart w:id="970" w:name="_Toc482025722"/>
      <w:bookmarkStart w:id="971" w:name="_Toc482097545"/>
      <w:bookmarkStart w:id="972" w:name="_Toc482097634"/>
      <w:bookmarkStart w:id="973" w:name="_Toc482097723"/>
      <w:bookmarkStart w:id="974" w:name="_Toc482097915"/>
      <w:bookmarkStart w:id="975" w:name="_Toc482099013"/>
      <w:bookmarkStart w:id="976" w:name="_Toc482100730"/>
      <w:bookmarkStart w:id="977" w:name="_Toc482100887"/>
      <w:bookmarkStart w:id="978" w:name="_Toc482101313"/>
      <w:bookmarkStart w:id="979" w:name="_Toc482101450"/>
      <w:bookmarkStart w:id="980" w:name="_Toc482101565"/>
      <w:bookmarkStart w:id="981" w:name="_Toc482101740"/>
      <w:bookmarkStart w:id="982" w:name="_Toc482101833"/>
      <w:bookmarkStart w:id="983" w:name="_Toc482101928"/>
      <w:bookmarkStart w:id="984" w:name="_Toc482102023"/>
      <w:bookmarkStart w:id="985" w:name="_Toc482102117"/>
      <w:bookmarkStart w:id="986" w:name="_Toc482351981"/>
      <w:bookmarkStart w:id="987" w:name="_Toc482352071"/>
      <w:bookmarkStart w:id="988" w:name="_Toc482352161"/>
      <w:bookmarkStart w:id="989" w:name="_Toc482352251"/>
      <w:bookmarkStart w:id="990" w:name="_Toc482633091"/>
      <w:bookmarkStart w:id="991" w:name="_Toc482641268"/>
      <w:bookmarkStart w:id="992" w:name="_Toc482712714"/>
      <w:bookmarkStart w:id="993" w:name="_Toc482959484"/>
      <w:bookmarkStart w:id="994" w:name="_Toc482959594"/>
      <w:bookmarkStart w:id="995" w:name="_Toc482959704"/>
      <w:bookmarkStart w:id="996" w:name="_Toc482978823"/>
      <w:bookmarkStart w:id="997" w:name="_Toc482978932"/>
      <w:bookmarkStart w:id="998" w:name="_Toc482979040"/>
      <w:bookmarkStart w:id="999" w:name="_Toc482979151"/>
      <w:bookmarkStart w:id="1000" w:name="_Toc482979260"/>
      <w:bookmarkStart w:id="1001" w:name="_Toc482979369"/>
      <w:bookmarkStart w:id="1002" w:name="_Toc482979477"/>
      <w:bookmarkStart w:id="1003" w:name="_Toc482979586"/>
      <w:bookmarkStart w:id="1004" w:name="_Toc482979684"/>
      <w:bookmarkStart w:id="1005" w:name="_Toc483233645"/>
      <w:bookmarkStart w:id="1006" w:name="_Toc483302345"/>
      <w:bookmarkStart w:id="1007" w:name="_Toc483315895"/>
      <w:bookmarkStart w:id="1008" w:name="_Toc483316100"/>
      <w:bookmarkStart w:id="1009" w:name="_Toc483316303"/>
      <w:bookmarkStart w:id="1010" w:name="_Toc483316434"/>
      <w:bookmarkStart w:id="1011" w:name="_Toc483325737"/>
      <w:bookmarkStart w:id="1012" w:name="_Toc483401216"/>
      <w:bookmarkStart w:id="1013" w:name="_Toc483474013"/>
      <w:bookmarkStart w:id="1014" w:name="_Toc483571442"/>
      <w:bookmarkStart w:id="1015" w:name="_Toc483571563"/>
      <w:bookmarkStart w:id="1016" w:name="_Toc483906940"/>
      <w:bookmarkStart w:id="1017" w:name="_Toc484010690"/>
      <w:bookmarkStart w:id="1018" w:name="_Toc484010812"/>
      <w:bookmarkStart w:id="1019" w:name="_Toc484010936"/>
      <w:bookmarkStart w:id="1020" w:name="_Toc484011058"/>
      <w:bookmarkStart w:id="1021" w:name="_Toc484011180"/>
      <w:bookmarkStart w:id="1022" w:name="_Toc484011655"/>
      <w:bookmarkStart w:id="1023" w:name="_Toc484097729"/>
      <w:bookmarkStart w:id="1024" w:name="_Toc484428901"/>
      <w:bookmarkStart w:id="1025" w:name="_Toc484429071"/>
      <w:bookmarkStart w:id="1026" w:name="_Toc484438646"/>
      <w:bookmarkStart w:id="1027" w:name="_Toc484438770"/>
      <w:bookmarkStart w:id="1028" w:name="_Toc484438894"/>
      <w:bookmarkStart w:id="1029" w:name="_Toc484439814"/>
      <w:bookmarkStart w:id="1030" w:name="_Toc484439937"/>
      <w:bookmarkStart w:id="1031" w:name="_Toc484440061"/>
      <w:bookmarkStart w:id="1032" w:name="_Toc484440421"/>
      <w:bookmarkStart w:id="1033" w:name="_Toc484448080"/>
      <w:bookmarkStart w:id="1034" w:name="_Toc484448205"/>
      <w:bookmarkStart w:id="1035" w:name="_Toc484448329"/>
      <w:bookmarkStart w:id="1036" w:name="_Toc484448453"/>
      <w:bookmarkStart w:id="1037" w:name="_Toc484448577"/>
      <w:bookmarkStart w:id="1038" w:name="_Toc484448701"/>
      <w:bookmarkStart w:id="1039" w:name="_Toc484448824"/>
      <w:bookmarkStart w:id="1040" w:name="_Toc484448948"/>
      <w:bookmarkStart w:id="1041" w:name="_Toc484449072"/>
      <w:bookmarkStart w:id="1042" w:name="_Toc484526567"/>
      <w:bookmarkStart w:id="1043" w:name="_Toc484605287"/>
      <w:bookmarkStart w:id="1044" w:name="_Toc484605411"/>
      <w:bookmarkStart w:id="1045" w:name="_Toc484688280"/>
      <w:bookmarkStart w:id="1046" w:name="_Toc484688835"/>
      <w:bookmarkStart w:id="1047" w:name="_Toc485218271"/>
      <w:bookmarkStart w:id="1048" w:name="_Toc482025723"/>
      <w:bookmarkStart w:id="1049" w:name="_Toc482097546"/>
      <w:bookmarkStart w:id="1050" w:name="_Toc482097635"/>
      <w:bookmarkStart w:id="1051" w:name="_Toc482097724"/>
      <w:bookmarkStart w:id="1052" w:name="_Toc482097916"/>
      <w:bookmarkStart w:id="1053" w:name="_Toc482099014"/>
      <w:bookmarkStart w:id="1054" w:name="_Toc482100731"/>
      <w:bookmarkStart w:id="1055" w:name="_Toc482100888"/>
      <w:bookmarkStart w:id="1056" w:name="_Toc482101314"/>
      <w:bookmarkStart w:id="1057" w:name="_Toc482101451"/>
      <w:bookmarkStart w:id="1058" w:name="_Toc482101566"/>
      <w:bookmarkStart w:id="1059" w:name="_Toc482101741"/>
      <w:bookmarkStart w:id="1060" w:name="_Toc482101834"/>
      <w:bookmarkStart w:id="1061" w:name="_Toc482101929"/>
      <w:bookmarkStart w:id="1062" w:name="_Toc482102024"/>
      <w:bookmarkStart w:id="1063" w:name="_Toc482102118"/>
      <w:bookmarkStart w:id="1064" w:name="_Toc482351982"/>
      <w:bookmarkStart w:id="1065" w:name="_Toc482352072"/>
      <w:bookmarkStart w:id="1066" w:name="_Toc482352162"/>
      <w:bookmarkStart w:id="1067" w:name="_Toc482352252"/>
      <w:bookmarkStart w:id="1068" w:name="_Toc482633092"/>
      <w:bookmarkStart w:id="1069" w:name="_Toc482641269"/>
      <w:bookmarkStart w:id="1070" w:name="_Toc482712715"/>
      <w:bookmarkStart w:id="1071" w:name="_Toc482959485"/>
      <w:bookmarkStart w:id="1072" w:name="_Toc482959595"/>
      <w:bookmarkStart w:id="1073" w:name="_Toc482959705"/>
      <w:bookmarkStart w:id="1074" w:name="_Toc482978824"/>
      <w:bookmarkStart w:id="1075" w:name="_Toc482978933"/>
      <w:bookmarkStart w:id="1076" w:name="_Toc482979041"/>
      <w:bookmarkStart w:id="1077" w:name="_Toc482979152"/>
      <w:bookmarkStart w:id="1078" w:name="_Toc482979261"/>
      <w:bookmarkStart w:id="1079" w:name="_Toc482979370"/>
      <w:bookmarkStart w:id="1080" w:name="_Toc482979478"/>
      <w:bookmarkStart w:id="1081" w:name="_Toc482979587"/>
      <w:bookmarkStart w:id="1082" w:name="_Toc482979685"/>
      <w:bookmarkStart w:id="1083" w:name="_Toc483233646"/>
      <w:bookmarkStart w:id="1084" w:name="_Toc483302346"/>
      <w:bookmarkStart w:id="1085" w:name="_Toc483315896"/>
      <w:bookmarkStart w:id="1086" w:name="_Toc483316101"/>
      <w:bookmarkStart w:id="1087" w:name="_Toc483316304"/>
      <w:bookmarkStart w:id="1088" w:name="_Toc483316435"/>
      <w:bookmarkStart w:id="1089" w:name="_Toc483325738"/>
      <w:bookmarkStart w:id="1090" w:name="_Toc483401217"/>
      <w:bookmarkStart w:id="1091" w:name="_Toc483474014"/>
      <w:bookmarkStart w:id="1092" w:name="_Toc483571443"/>
      <w:bookmarkStart w:id="1093" w:name="_Toc483571564"/>
      <w:bookmarkStart w:id="1094" w:name="_Toc483906941"/>
      <w:bookmarkStart w:id="1095" w:name="_Toc484010691"/>
      <w:bookmarkStart w:id="1096" w:name="_Toc484010813"/>
      <w:bookmarkStart w:id="1097" w:name="_Toc484010937"/>
      <w:bookmarkStart w:id="1098" w:name="_Toc484011059"/>
      <w:bookmarkStart w:id="1099" w:name="_Toc484011181"/>
      <w:bookmarkStart w:id="1100" w:name="_Toc484011656"/>
      <w:bookmarkStart w:id="1101" w:name="_Toc484097730"/>
      <w:bookmarkStart w:id="1102" w:name="_Toc484428902"/>
      <w:bookmarkStart w:id="1103" w:name="_Toc484429072"/>
      <w:bookmarkStart w:id="1104" w:name="_Toc484438647"/>
      <w:bookmarkStart w:id="1105" w:name="_Toc484438771"/>
      <w:bookmarkStart w:id="1106" w:name="_Toc484438895"/>
      <w:bookmarkStart w:id="1107" w:name="_Toc484439815"/>
      <w:bookmarkStart w:id="1108" w:name="_Toc484439938"/>
      <w:bookmarkStart w:id="1109" w:name="_Toc484440062"/>
      <w:bookmarkStart w:id="1110" w:name="_Toc484440422"/>
      <w:bookmarkStart w:id="1111" w:name="_Toc484448081"/>
      <w:bookmarkStart w:id="1112" w:name="_Toc484448206"/>
      <w:bookmarkStart w:id="1113" w:name="_Toc484448330"/>
      <w:bookmarkStart w:id="1114" w:name="_Toc484448454"/>
      <w:bookmarkStart w:id="1115" w:name="_Toc484448578"/>
      <w:bookmarkStart w:id="1116" w:name="_Toc484448702"/>
      <w:bookmarkStart w:id="1117" w:name="_Toc484448825"/>
      <w:bookmarkStart w:id="1118" w:name="_Toc484448949"/>
      <w:bookmarkStart w:id="1119" w:name="_Toc484449073"/>
      <w:bookmarkStart w:id="1120" w:name="_Toc484526568"/>
      <w:bookmarkStart w:id="1121" w:name="_Toc484605288"/>
      <w:bookmarkStart w:id="1122" w:name="_Toc484605412"/>
      <w:bookmarkStart w:id="1123" w:name="_Toc484688281"/>
      <w:bookmarkStart w:id="1124" w:name="_Toc484688836"/>
      <w:bookmarkStart w:id="1125" w:name="_Toc485218272"/>
      <w:bookmarkStart w:id="1126" w:name="_Toc482025724"/>
      <w:bookmarkStart w:id="1127" w:name="_Toc482097547"/>
      <w:bookmarkStart w:id="1128" w:name="_Toc482097636"/>
      <w:bookmarkStart w:id="1129" w:name="_Toc482097725"/>
      <w:bookmarkStart w:id="1130" w:name="_Toc482097917"/>
      <w:bookmarkStart w:id="1131" w:name="_Toc482099015"/>
      <w:bookmarkStart w:id="1132" w:name="_Toc482100732"/>
      <w:bookmarkStart w:id="1133" w:name="_Toc482100889"/>
      <w:bookmarkStart w:id="1134" w:name="_Toc482101315"/>
      <w:bookmarkStart w:id="1135" w:name="_Toc482101452"/>
      <w:bookmarkStart w:id="1136" w:name="_Toc482101567"/>
      <w:bookmarkStart w:id="1137" w:name="_Toc482101742"/>
      <w:bookmarkStart w:id="1138" w:name="_Toc482101835"/>
      <w:bookmarkStart w:id="1139" w:name="_Toc482101930"/>
      <w:bookmarkStart w:id="1140" w:name="_Toc482102025"/>
      <w:bookmarkStart w:id="1141" w:name="_Toc482102119"/>
      <w:bookmarkStart w:id="1142" w:name="_Toc482351983"/>
      <w:bookmarkStart w:id="1143" w:name="_Toc482352073"/>
      <w:bookmarkStart w:id="1144" w:name="_Toc482352163"/>
      <w:bookmarkStart w:id="1145" w:name="_Toc482352253"/>
      <w:bookmarkStart w:id="1146" w:name="_Toc482633093"/>
      <w:bookmarkStart w:id="1147" w:name="_Toc482641270"/>
      <w:bookmarkStart w:id="1148" w:name="_Toc482712716"/>
      <w:bookmarkStart w:id="1149" w:name="_Toc482959486"/>
      <w:bookmarkStart w:id="1150" w:name="_Toc482959596"/>
      <w:bookmarkStart w:id="1151" w:name="_Toc482959706"/>
      <w:bookmarkStart w:id="1152" w:name="_Toc482978825"/>
      <w:bookmarkStart w:id="1153" w:name="_Toc482978934"/>
      <w:bookmarkStart w:id="1154" w:name="_Toc482979042"/>
      <w:bookmarkStart w:id="1155" w:name="_Toc482979153"/>
      <w:bookmarkStart w:id="1156" w:name="_Toc482979262"/>
      <w:bookmarkStart w:id="1157" w:name="_Toc482979371"/>
      <w:bookmarkStart w:id="1158" w:name="_Toc482979479"/>
      <w:bookmarkStart w:id="1159" w:name="_Toc482979588"/>
      <w:bookmarkStart w:id="1160" w:name="_Toc482979686"/>
      <w:bookmarkStart w:id="1161" w:name="_Toc483233647"/>
      <w:bookmarkStart w:id="1162" w:name="_Toc483302347"/>
      <w:bookmarkStart w:id="1163" w:name="_Toc483315897"/>
      <w:bookmarkStart w:id="1164" w:name="_Toc483316102"/>
      <w:bookmarkStart w:id="1165" w:name="_Toc483316305"/>
      <w:bookmarkStart w:id="1166" w:name="_Toc483316436"/>
      <w:bookmarkStart w:id="1167" w:name="_Toc483325739"/>
      <w:bookmarkStart w:id="1168" w:name="_Toc483401218"/>
      <w:bookmarkStart w:id="1169" w:name="_Toc483474015"/>
      <w:bookmarkStart w:id="1170" w:name="_Toc483571444"/>
      <w:bookmarkStart w:id="1171" w:name="_Toc483571565"/>
      <w:bookmarkStart w:id="1172" w:name="_Toc483906942"/>
      <w:bookmarkStart w:id="1173" w:name="_Toc484010692"/>
      <w:bookmarkStart w:id="1174" w:name="_Toc484010814"/>
      <w:bookmarkStart w:id="1175" w:name="_Toc484010938"/>
      <w:bookmarkStart w:id="1176" w:name="_Toc484011060"/>
      <w:bookmarkStart w:id="1177" w:name="_Toc484011182"/>
      <w:bookmarkStart w:id="1178" w:name="_Toc484011657"/>
      <w:bookmarkStart w:id="1179" w:name="_Toc484097731"/>
      <w:bookmarkStart w:id="1180" w:name="_Toc484428903"/>
      <w:bookmarkStart w:id="1181" w:name="_Toc484429073"/>
      <w:bookmarkStart w:id="1182" w:name="_Toc484438648"/>
      <w:bookmarkStart w:id="1183" w:name="_Toc484438772"/>
      <w:bookmarkStart w:id="1184" w:name="_Toc484438896"/>
      <w:bookmarkStart w:id="1185" w:name="_Toc484439816"/>
      <w:bookmarkStart w:id="1186" w:name="_Toc484439939"/>
      <w:bookmarkStart w:id="1187" w:name="_Toc484440063"/>
      <w:bookmarkStart w:id="1188" w:name="_Toc484440423"/>
      <w:bookmarkStart w:id="1189" w:name="_Toc484448082"/>
      <w:bookmarkStart w:id="1190" w:name="_Toc484448207"/>
      <w:bookmarkStart w:id="1191" w:name="_Toc484448331"/>
      <w:bookmarkStart w:id="1192" w:name="_Toc484448455"/>
      <w:bookmarkStart w:id="1193" w:name="_Toc484448579"/>
      <w:bookmarkStart w:id="1194" w:name="_Toc484448703"/>
      <w:bookmarkStart w:id="1195" w:name="_Toc484448826"/>
      <w:bookmarkStart w:id="1196" w:name="_Toc484448950"/>
      <w:bookmarkStart w:id="1197" w:name="_Toc484449074"/>
      <w:bookmarkStart w:id="1198" w:name="_Toc484526569"/>
      <w:bookmarkStart w:id="1199" w:name="_Toc484605289"/>
      <w:bookmarkStart w:id="1200" w:name="_Toc484605413"/>
      <w:bookmarkStart w:id="1201" w:name="_Toc484688282"/>
      <w:bookmarkStart w:id="1202" w:name="_Toc484688837"/>
      <w:bookmarkStart w:id="1203" w:name="_Toc485218273"/>
      <w:bookmarkStart w:id="1204" w:name="_Toc482025725"/>
      <w:bookmarkStart w:id="1205" w:name="_Toc482097548"/>
      <w:bookmarkStart w:id="1206" w:name="_Toc482097637"/>
      <w:bookmarkStart w:id="1207" w:name="_Toc482097726"/>
      <w:bookmarkStart w:id="1208" w:name="_Toc482097918"/>
      <w:bookmarkStart w:id="1209" w:name="_Toc482099016"/>
      <w:bookmarkStart w:id="1210" w:name="_Toc482100733"/>
      <w:bookmarkStart w:id="1211" w:name="_Toc482100890"/>
      <w:bookmarkStart w:id="1212" w:name="_Toc482101316"/>
      <w:bookmarkStart w:id="1213" w:name="_Toc482101453"/>
      <w:bookmarkStart w:id="1214" w:name="_Toc482101568"/>
      <w:bookmarkStart w:id="1215" w:name="_Toc482101743"/>
      <w:bookmarkStart w:id="1216" w:name="_Toc482101836"/>
      <w:bookmarkStart w:id="1217" w:name="_Toc482101931"/>
      <w:bookmarkStart w:id="1218" w:name="_Toc482102026"/>
      <w:bookmarkStart w:id="1219" w:name="_Toc482102120"/>
      <w:bookmarkStart w:id="1220" w:name="_Toc482351984"/>
      <w:bookmarkStart w:id="1221" w:name="_Toc482352074"/>
      <w:bookmarkStart w:id="1222" w:name="_Toc482352164"/>
      <w:bookmarkStart w:id="1223" w:name="_Toc482352254"/>
      <w:bookmarkStart w:id="1224" w:name="_Toc482633094"/>
      <w:bookmarkStart w:id="1225" w:name="_Toc482641271"/>
      <w:bookmarkStart w:id="1226" w:name="_Toc482712717"/>
      <w:bookmarkStart w:id="1227" w:name="_Toc482959487"/>
      <w:bookmarkStart w:id="1228" w:name="_Toc482959597"/>
      <w:bookmarkStart w:id="1229" w:name="_Toc482959707"/>
      <w:bookmarkStart w:id="1230" w:name="_Toc482978826"/>
      <w:bookmarkStart w:id="1231" w:name="_Toc482978935"/>
      <w:bookmarkStart w:id="1232" w:name="_Toc482979043"/>
      <w:bookmarkStart w:id="1233" w:name="_Toc482979154"/>
      <w:bookmarkStart w:id="1234" w:name="_Toc482979263"/>
      <w:bookmarkStart w:id="1235" w:name="_Toc482979372"/>
      <w:bookmarkStart w:id="1236" w:name="_Toc482979480"/>
      <w:bookmarkStart w:id="1237" w:name="_Toc482979589"/>
      <w:bookmarkStart w:id="1238" w:name="_Toc482979687"/>
      <w:bookmarkStart w:id="1239" w:name="_Toc483233648"/>
      <w:bookmarkStart w:id="1240" w:name="_Toc483302348"/>
      <w:bookmarkStart w:id="1241" w:name="_Toc483315898"/>
      <w:bookmarkStart w:id="1242" w:name="_Toc483316103"/>
      <w:bookmarkStart w:id="1243" w:name="_Toc483316306"/>
      <w:bookmarkStart w:id="1244" w:name="_Toc483316437"/>
      <w:bookmarkStart w:id="1245" w:name="_Toc483325740"/>
      <w:bookmarkStart w:id="1246" w:name="_Toc483401219"/>
      <w:bookmarkStart w:id="1247" w:name="_Toc483474016"/>
      <w:bookmarkStart w:id="1248" w:name="_Toc483571445"/>
      <w:bookmarkStart w:id="1249" w:name="_Toc483571566"/>
      <w:bookmarkStart w:id="1250" w:name="_Toc483906943"/>
      <w:bookmarkStart w:id="1251" w:name="_Toc484010693"/>
      <w:bookmarkStart w:id="1252" w:name="_Toc484010815"/>
      <w:bookmarkStart w:id="1253" w:name="_Toc484010939"/>
      <w:bookmarkStart w:id="1254" w:name="_Toc484011061"/>
      <w:bookmarkStart w:id="1255" w:name="_Toc484011183"/>
      <w:bookmarkStart w:id="1256" w:name="_Toc484011658"/>
      <w:bookmarkStart w:id="1257" w:name="_Toc484097732"/>
      <w:bookmarkStart w:id="1258" w:name="_Toc484428904"/>
      <w:bookmarkStart w:id="1259" w:name="_Toc484429074"/>
      <w:bookmarkStart w:id="1260" w:name="_Toc484438649"/>
      <w:bookmarkStart w:id="1261" w:name="_Toc484438773"/>
      <w:bookmarkStart w:id="1262" w:name="_Toc484438897"/>
      <w:bookmarkStart w:id="1263" w:name="_Toc484439817"/>
      <w:bookmarkStart w:id="1264" w:name="_Toc484439940"/>
      <w:bookmarkStart w:id="1265" w:name="_Toc484440064"/>
      <w:bookmarkStart w:id="1266" w:name="_Toc484440424"/>
      <w:bookmarkStart w:id="1267" w:name="_Toc484448083"/>
      <w:bookmarkStart w:id="1268" w:name="_Toc484448208"/>
      <w:bookmarkStart w:id="1269" w:name="_Toc484448332"/>
      <w:bookmarkStart w:id="1270" w:name="_Toc484448456"/>
      <w:bookmarkStart w:id="1271" w:name="_Toc484448580"/>
      <w:bookmarkStart w:id="1272" w:name="_Toc484448704"/>
      <w:bookmarkStart w:id="1273" w:name="_Toc484448827"/>
      <w:bookmarkStart w:id="1274" w:name="_Toc484448951"/>
      <w:bookmarkStart w:id="1275" w:name="_Toc484449075"/>
      <w:bookmarkStart w:id="1276" w:name="_Toc484526570"/>
      <w:bookmarkStart w:id="1277" w:name="_Toc484605290"/>
      <w:bookmarkStart w:id="1278" w:name="_Toc484605414"/>
      <w:bookmarkStart w:id="1279" w:name="_Toc484688283"/>
      <w:bookmarkStart w:id="1280" w:name="_Toc484688838"/>
      <w:bookmarkStart w:id="1281" w:name="_Toc485218274"/>
      <w:bookmarkStart w:id="1282" w:name="_Toc391035976"/>
      <w:bookmarkStart w:id="1283" w:name="_Toc391036049"/>
      <w:bookmarkStart w:id="1284" w:name="_Toc380501865"/>
      <w:bookmarkStart w:id="1285" w:name="_Toc391035978"/>
      <w:bookmarkStart w:id="1286" w:name="_Toc391036051"/>
      <w:bookmarkStart w:id="1287" w:name="_Toc392577492"/>
      <w:bookmarkStart w:id="1288" w:name="_Toc393110559"/>
      <w:bookmarkStart w:id="1289" w:name="_Toc393112123"/>
      <w:bookmarkStart w:id="1290" w:name="_Toc393187840"/>
      <w:bookmarkStart w:id="1291" w:name="_Toc393272596"/>
      <w:bookmarkStart w:id="1292" w:name="_Toc393272654"/>
      <w:bookmarkStart w:id="1293" w:name="_Toc393283170"/>
      <w:bookmarkStart w:id="1294" w:name="_Toc393700829"/>
      <w:bookmarkStart w:id="1295" w:name="_Toc393706902"/>
      <w:bookmarkStart w:id="1296" w:name="_Toc397346817"/>
      <w:bookmarkStart w:id="1297" w:name="_Toc397422858"/>
      <w:bookmarkStart w:id="1298" w:name="_Toc403471265"/>
      <w:bookmarkStart w:id="1299" w:name="_Toc406058371"/>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r>
        <w:rPr/>
        <w:t>REQUISITI DI ORDINE GENERALE</w:t>
      </w:r>
      <w:bookmarkEnd w:id="186"/>
      <w:bookmarkEnd w:id="187"/>
      <w:r>
        <w:rPr/>
        <w:t xml:space="preserve"> E ALTRE CAUSE DI ESCLUSIONE</w:t>
      </w:r>
      <w:bookmarkEnd w:id="184"/>
      <w:bookmarkEnd w:id="185"/>
    </w:p>
    <w:p>
      <w:pPr>
        <w:pStyle w:val="Normal"/>
        <w:spacing w:before="60" w:after="0"/>
        <w:rPr>
          <w:rFonts w:ascii="Titillium" w:hAnsi="Titillium" w:cs="Arial"/>
          <w:sz w:val="18"/>
          <w:szCs w:val="18"/>
        </w:rPr>
      </w:pPr>
      <w:r>
        <w:rPr>
          <w:rFonts w:cs="Arial" w:ascii="Titillium" w:hAnsi="Titillium"/>
          <w:sz w:val="18"/>
          <w:szCs w:val="18"/>
        </w:rPr>
        <w:t>I concorrenti devono essere in possesso, a pena di esclusione, dei requisiti di ordine generale previsti dal Codice nonché degli ulteriori requisiti indicati nel presente paragrafo.</w:t>
      </w:r>
    </w:p>
    <w:p>
      <w:pPr>
        <w:pStyle w:val="Normal"/>
        <w:spacing w:before="60" w:after="0"/>
        <w:rPr>
          <w:rFonts w:ascii="Titillium" w:hAnsi="Titillium" w:cs="Arial"/>
          <w:sz w:val="18"/>
          <w:szCs w:val="18"/>
        </w:rPr>
      </w:pPr>
      <w:r>
        <w:rPr>
          <w:rFonts w:cs="Arial" w:ascii="Titillium" w:hAnsi="Titillium"/>
          <w:sz w:val="18"/>
          <w:szCs w:val="18"/>
        </w:rPr>
        <w:t>La stazione appaltante verifica il possesso dei requisiti di ordine generale accedendo al fascicolo virtuale dell’operatore economico (di seguito: FVOE), fatto salvo quanto previsto nel paragrafo 25.</w:t>
      </w:r>
    </w:p>
    <w:p>
      <w:pPr>
        <w:pStyle w:val="Normal"/>
        <w:spacing w:before="60" w:after="60"/>
        <w:rPr>
          <w:rFonts w:ascii="Titillium" w:hAnsi="Titillium" w:cs="Arial"/>
          <w:sz w:val="18"/>
          <w:szCs w:val="18"/>
        </w:rPr>
      </w:pPr>
      <w:r>
        <w:rPr>
          <w:rFonts w:cs="Arial" w:ascii="Titillium" w:hAnsi="Titillium"/>
          <w:sz w:val="18"/>
          <w:szCs w:val="18"/>
        </w:rPr>
        <w:t>Nella domanda di partecipazione, gli operatori economici acconsentono al trattamento dei dati tramite il FVOE, nel rispetto di quanto previsto dal codice in materia di protezione dei dati personali, di cui al decreto legislativo 30 giugno 2003, n.196.</w:t>
      </w:r>
      <w:r>
        <w:rPr>
          <w:rFonts w:cs="Calibri" w:ascii="Calibri" w:hAnsi="Calibri"/>
          <w:sz w:val="18"/>
          <w:szCs w:val="18"/>
        </w:rPr>
        <w:t> </w:t>
      </w:r>
      <w:r>
        <w:rPr>
          <w:rFonts w:cs="Arial" w:ascii="Titillium" w:hAnsi="Titillium"/>
          <w:sz w:val="18"/>
          <w:szCs w:val="18"/>
        </w:rPr>
        <w:t xml:space="preserve"> </w:t>
      </w:r>
    </w:p>
    <w:p>
      <w:pPr>
        <w:pStyle w:val="Normal"/>
        <w:spacing w:before="60" w:after="0"/>
        <w:rPr>
          <w:rFonts w:ascii="Titillium" w:hAnsi="Titillium" w:cs="Arial"/>
          <w:sz w:val="18"/>
          <w:szCs w:val="18"/>
        </w:rPr>
      </w:pPr>
      <w:r>
        <w:rPr>
          <w:rFonts w:cs="Arial" w:ascii="Titillium" w:hAnsi="Titillium"/>
          <w:sz w:val="18"/>
          <w:szCs w:val="18"/>
        </w:rPr>
        <w:t>Le circostanze di cui all’articolo 94 del Codice sono cause di esclusione automatica. La sussistenza delle circostanze di cui all’articolo 95 del Codice è accertata previo contraddittorio con l’operatore economico.</w:t>
      </w:r>
    </w:p>
    <w:p>
      <w:pPr>
        <w:pStyle w:val="Normal"/>
        <w:spacing w:before="60" w:after="0"/>
        <w:rPr>
          <w:rFonts w:ascii="Titillium" w:hAnsi="Titillium" w:cs="Arial"/>
          <w:sz w:val="18"/>
          <w:szCs w:val="18"/>
        </w:rPr>
      </w:pPr>
      <w:r>
        <w:rPr>
          <w:rFonts w:cs="Arial" w:ascii="Titillium" w:hAnsi="Titillium"/>
          <w:sz w:val="18"/>
          <w:szCs w:val="18"/>
        </w:rPr>
        <w:t>In caso di partecipazione di consorzi di cui all’articolo 65, comma 2, lettere b) e c) e d) del Codice, i requisiti di cui al presente paragrafo sono posseduti dal consorzio, dalle consorziate indicate quali esecutrici e dalle consorziate che prestano i requisiti.</w:t>
      </w:r>
    </w:p>
    <w:p>
      <w:pPr>
        <w:pStyle w:val="Normal"/>
        <w:spacing w:before="60" w:after="0"/>
        <w:rPr>
          <w:rFonts w:ascii="Titillium" w:hAnsi="Titillium" w:cs="Arial"/>
          <w:sz w:val="18"/>
          <w:szCs w:val="18"/>
        </w:rPr>
      </w:pPr>
      <w:r>
        <w:rPr>
          <w:rFonts w:cs="Arial" w:ascii="Titillium" w:hAnsi="Titillium"/>
          <w:sz w:val="18"/>
          <w:szCs w:val="18"/>
        </w:rPr>
        <w:t>In caso di partecipazione dei soggetti di cui all’articolo 65, comma 2, lettere e) f) g) e h) del Codice, i requisiti di cui al presente paragrafo sono posseduti da ciascun componente del ragruppamento/consorzio/GEIE anche da costituire, nonché dal GEIE medesimo, e da ciascun componente dell’aggregazione di rete che partecipa alla gara nonché dall’organo comune nel caso in cui questi abbia soggettività giuridica.</w:t>
      </w:r>
    </w:p>
    <w:p>
      <w:pPr>
        <w:pStyle w:val="Normal"/>
        <w:spacing w:before="60" w:after="0"/>
        <w:rPr>
          <w:rFonts w:ascii="Titillium" w:hAnsi="Titillium" w:cs="Arial"/>
          <w:b/>
          <w:bCs/>
          <w:sz w:val="18"/>
          <w:szCs w:val="18"/>
        </w:rPr>
      </w:pPr>
      <w:r>
        <w:rPr>
          <w:rFonts w:cs="Arial" w:ascii="Titillium" w:hAnsi="Titillium"/>
          <w:b/>
          <w:bCs/>
          <w:sz w:val="18"/>
          <w:szCs w:val="18"/>
        </w:rPr>
      </w:r>
    </w:p>
    <w:p>
      <w:pPr>
        <w:pStyle w:val="Normal"/>
        <w:spacing w:before="60" w:after="0"/>
        <w:rPr>
          <w:rFonts w:ascii="Titillium" w:hAnsi="Titillium" w:cs="Arial"/>
          <w:b/>
          <w:bCs/>
          <w:sz w:val="18"/>
          <w:szCs w:val="18"/>
        </w:rPr>
      </w:pPr>
      <w:r>
        <w:rPr>
          <w:rFonts w:cs="Arial" w:ascii="Titillium" w:hAnsi="Titillium"/>
          <w:b/>
          <w:bCs/>
          <w:sz w:val="18"/>
          <w:szCs w:val="18"/>
        </w:rPr>
        <w:t>Self cleaning</w:t>
      </w:r>
    </w:p>
    <w:p>
      <w:pPr>
        <w:pStyle w:val="Normal"/>
        <w:spacing w:before="60" w:after="0"/>
        <w:rPr>
          <w:rFonts w:ascii="Titillium" w:hAnsi="Titillium" w:cs="Arial"/>
          <w:sz w:val="18"/>
          <w:szCs w:val="18"/>
        </w:rPr>
      </w:pPr>
      <w:r>
        <w:rPr>
          <w:rFonts w:cs="Arial" w:ascii="Titillium" w:hAnsi="Titillium"/>
          <w:sz w:val="18"/>
          <w:szCs w:val="18"/>
        </w:rPr>
        <w:t xml:space="preserve">Un operatore economico che si trovi in una delle situazioni di cui agli articoli 94 e 95 del Codice, ad eccezione delle irregolarità contributive e fiscali definitivamente e non definitivamente accertate, può fornire prova di aver adottato misure (c.d. self cleaning) sufficienti a dimostrare la sua affidabilità. </w:t>
      </w:r>
    </w:p>
    <w:p>
      <w:pPr>
        <w:pStyle w:val="Normal"/>
        <w:spacing w:before="60" w:after="0"/>
        <w:rPr>
          <w:rFonts w:ascii="Titillium" w:hAnsi="Titillium" w:cs="Arial"/>
          <w:sz w:val="18"/>
          <w:szCs w:val="18"/>
        </w:rPr>
      </w:pPr>
      <w:r>
        <w:rPr>
          <w:rFonts w:cs="Arial" w:ascii="Titillium" w:hAnsi="Titillium"/>
          <w:sz w:val="18"/>
          <w:szCs w:val="18"/>
        </w:rPr>
        <w:t>Se la causa di esclusione si è verificata prima della presentazione dell’offerta, l’operatore economico indica nel DGUE la causa ostativa e, alternativamente:</w:t>
      </w:r>
    </w:p>
    <w:p>
      <w:pPr>
        <w:pStyle w:val="ListParagraph"/>
        <w:numPr>
          <w:ilvl w:val="1"/>
          <w:numId w:val="34"/>
        </w:numPr>
        <w:spacing w:before="60" w:after="0"/>
        <w:ind w:hanging="360" w:left="426"/>
        <w:contextualSpacing/>
        <w:rPr>
          <w:rFonts w:ascii="Titillium" w:hAnsi="Titillium" w:cs="Arial"/>
          <w:sz w:val="18"/>
          <w:szCs w:val="18"/>
        </w:rPr>
      </w:pPr>
      <w:r>
        <w:rPr>
          <w:rFonts w:cs="Arial" w:ascii="Titillium" w:hAnsi="Titillium"/>
          <w:sz w:val="18"/>
          <w:szCs w:val="18"/>
        </w:rPr>
        <w:t>descrive le misure adottate ai sensi dell’articolo 96, comma 6 del Codice;</w:t>
      </w:r>
    </w:p>
    <w:p>
      <w:pPr>
        <w:pStyle w:val="ListParagraph"/>
        <w:numPr>
          <w:ilvl w:val="1"/>
          <w:numId w:val="34"/>
        </w:numPr>
        <w:spacing w:before="60" w:after="0"/>
        <w:ind w:hanging="360" w:left="426"/>
        <w:contextualSpacing/>
        <w:rPr>
          <w:rFonts w:ascii="Titillium" w:hAnsi="Titillium" w:cs="Arial"/>
          <w:sz w:val="18"/>
          <w:szCs w:val="18"/>
        </w:rPr>
      </w:pPr>
      <w:r>
        <w:rPr>
          <w:rFonts w:cs="Arial" w:ascii="Titillium" w:hAnsi="Titillium"/>
          <w:sz w:val="18"/>
          <w:szCs w:val="18"/>
        </w:rPr>
        <w:t xml:space="preserve">motiva l’impossibilità ad adottare dette misure e si impegna a provvedere successivamente. L’adozione delle misure è comunicata alla stazione appaltante. </w:t>
      </w:r>
    </w:p>
    <w:p>
      <w:pPr>
        <w:pStyle w:val="Normal"/>
        <w:spacing w:before="60" w:after="0"/>
        <w:rPr>
          <w:rFonts w:ascii="Titillium" w:hAnsi="Titillium" w:cs="Arial"/>
          <w:sz w:val="18"/>
          <w:szCs w:val="18"/>
        </w:rPr>
      </w:pPr>
      <w:r>
        <w:rPr>
          <w:rFonts w:cs="Arial" w:ascii="Titillium" w:hAnsi="Titillium"/>
          <w:sz w:val="18"/>
          <w:szCs w:val="18"/>
        </w:rPr>
        <w:t>Se la causa di esclusione si è verificata successivamente alla presentazione dell’offerta, l’operatore economico adotta le misure di cui al comma 6 dell’articolo 96 del Codice dandone comunicazione alla stazione appaltante.</w:t>
      </w:r>
    </w:p>
    <w:p>
      <w:pPr>
        <w:pStyle w:val="Normal"/>
        <w:spacing w:before="60" w:after="0"/>
        <w:rPr>
          <w:rFonts w:ascii="Titillium" w:hAnsi="Titillium" w:cs="Arial"/>
          <w:sz w:val="18"/>
          <w:szCs w:val="18"/>
        </w:rPr>
      </w:pPr>
      <w:r>
        <w:rPr>
          <w:rFonts w:cs="Arial" w:ascii="Titillium" w:hAnsi="Titillium"/>
          <w:sz w:val="18"/>
          <w:szCs w:val="18"/>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p>
    <w:p>
      <w:pPr>
        <w:pStyle w:val="Normal"/>
        <w:spacing w:before="60" w:after="0"/>
        <w:rPr>
          <w:rFonts w:ascii="Titillium" w:hAnsi="Titillium" w:cs="Arial"/>
          <w:sz w:val="18"/>
          <w:szCs w:val="18"/>
        </w:rPr>
      </w:pPr>
      <w:r>
        <w:rPr>
          <w:rFonts w:cs="Arial" w:ascii="Titillium" w:hAnsi="Titillium"/>
          <w:sz w:val="18"/>
          <w:szCs w:val="18"/>
        </w:rPr>
        <w:t xml:space="preserve">Se le misure adottate sono ritenute sufficienti e tempestive, l’operatore economico non è escluso. Se dette misure sono ritenute insufficienti e intempestive, la stazione appaltante ne comunica le ragioni all’operatore economico. </w:t>
      </w:r>
    </w:p>
    <w:p>
      <w:pPr>
        <w:pStyle w:val="Normal"/>
        <w:spacing w:before="60" w:after="0"/>
        <w:rPr>
          <w:rFonts w:ascii="Titillium" w:hAnsi="Titillium" w:cs="Arial"/>
          <w:sz w:val="18"/>
          <w:szCs w:val="18"/>
        </w:rPr>
      </w:pPr>
      <w:r>
        <w:rPr>
          <w:rFonts w:cs="Arial" w:ascii="Titillium" w:hAnsi="Titillium"/>
          <w:sz w:val="18"/>
          <w:szCs w:val="18"/>
        </w:rPr>
        <w:t>Non può avvalersi del self-cleaning l’operatore economico escluso con sentenza definitiva dalla partecipazione alle procedure di affidamento, nel corso del periodo di esclusione derivante da tale sentenza.</w:t>
      </w:r>
    </w:p>
    <w:p>
      <w:pPr>
        <w:pStyle w:val="Normal"/>
        <w:spacing w:before="60" w:after="60"/>
        <w:rPr>
          <w:rFonts w:ascii="Titillium" w:hAnsi="Titillium"/>
          <w:sz w:val="18"/>
          <w:szCs w:val="24"/>
        </w:rPr>
      </w:pPr>
      <w:r>
        <w:rPr>
          <w:rFonts w:ascii="Titillium" w:hAnsi="Titillium"/>
          <w:sz w:val="18"/>
          <w:szCs w:val="24"/>
        </w:rPr>
        <w:t xml:space="preserve">Nel caso in cui un raggruppamento/consorzio abbia estromesso o sostituito un partecipante/esecutrice/consorziata, avente i requisiti di cui i consorzi si avvalgono, interessato da una clausola di esclusione di cui agli articoli 94 e 95 del Codice, si valutano le misure adottate ai sensi dell’articolo 97 del Codice al fine di decidere sull’esclusione. </w:t>
      </w:r>
    </w:p>
    <w:p>
      <w:pPr>
        <w:pStyle w:val="Normal"/>
        <w:spacing w:before="60" w:after="0"/>
        <w:rPr>
          <w:rFonts w:ascii="Titillium" w:hAnsi="Titillium" w:cs="Arial"/>
          <w:sz w:val="18"/>
          <w:szCs w:val="18"/>
        </w:rPr>
      </w:pPr>
      <w:r>
        <w:rPr>
          <w:rFonts w:cs="Arial" w:ascii="Titillium" w:hAnsi="Titillium"/>
          <w:sz w:val="18"/>
          <w:szCs w:val="18"/>
        </w:rPr>
      </w:r>
    </w:p>
    <w:p>
      <w:pPr>
        <w:pStyle w:val="Normal"/>
        <w:spacing w:before="60" w:after="0"/>
        <w:rPr>
          <w:rFonts w:ascii="Titillium" w:hAnsi="Titillium" w:cs="Arial"/>
          <w:b/>
          <w:bCs/>
          <w:sz w:val="18"/>
          <w:szCs w:val="18"/>
        </w:rPr>
      </w:pPr>
      <w:r>
        <w:rPr>
          <w:rFonts w:cs="Arial" w:ascii="Titillium" w:hAnsi="Titillium"/>
          <w:b/>
          <w:bCs/>
          <w:sz w:val="18"/>
          <w:szCs w:val="18"/>
        </w:rPr>
        <w:t>Altre cause di esclusione</w:t>
      </w:r>
    </w:p>
    <w:p>
      <w:pPr>
        <w:pStyle w:val="Normal"/>
        <w:spacing w:before="120" w:after="60"/>
        <w:rPr/>
      </w:pPr>
      <w:r>
        <w:rPr>
          <w:rFonts w:cs="Arial" w:ascii="Titillium" w:hAnsi="Titillium"/>
          <w:sz w:val="18"/>
          <w:szCs w:val="18"/>
        </w:rPr>
        <w:t>Sono esclusi gli</w:t>
      </w:r>
      <w:r>
        <w:rPr>
          <w:rFonts w:cs="Arial" w:ascii="Titillium" w:hAnsi="Titillium"/>
          <w:b/>
          <w:sz w:val="18"/>
          <w:szCs w:val="18"/>
        </w:rPr>
        <w:t xml:space="preserve"> </w:t>
      </w:r>
      <w:r>
        <w:rPr>
          <w:rFonts w:cs="Calibri" w:ascii="Titillium" w:hAnsi="Titillium"/>
          <w:sz w:val="18"/>
          <w:szCs w:val="18"/>
        </w:rPr>
        <w:t xml:space="preserve">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pPr>
        <w:pStyle w:val="Normal"/>
        <w:spacing w:before="120" w:after="60"/>
        <w:rPr>
          <w:rFonts w:ascii="Titillium" w:hAnsi="Titillium" w:cs="Calibri"/>
          <w:sz w:val="18"/>
          <w:szCs w:val="18"/>
        </w:rPr>
      </w:pPr>
      <w:r>
        <w:rPr>
          <w:rFonts w:cs="Arial" w:ascii="Titillium" w:hAnsi="Titillium"/>
          <w:sz w:val="18"/>
          <w:szCs w:val="18"/>
        </w:rPr>
        <w:t xml:space="preserve">La mancata accettazione delle clausole contenute nel protocollo di legalità/patto di integrità e il mancato rispetto dello stesso costituiscono causa di </w:t>
      </w:r>
      <w:r>
        <w:rPr>
          <w:rFonts w:cs="Arial" w:ascii="Titillium" w:hAnsi="Titillium"/>
          <w:bCs/>
          <w:sz w:val="18"/>
          <w:szCs w:val="18"/>
        </w:rPr>
        <w:t xml:space="preserve">esclusione </w:t>
      </w:r>
      <w:r>
        <w:rPr>
          <w:rFonts w:cs="Arial" w:ascii="Titillium" w:hAnsi="Titillium"/>
          <w:sz w:val="18"/>
          <w:szCs w:val="18"/>
        </w:rPr>
        <w:t>dalla gara, ai sensi dell’articolo 83-bis del decreto legislativo n. 159/2011.</w:t>
      </w:r>
      <w:r>
        <w:rPr>
          <w:rFonts w:cs="Calibri" w:ascii="Titillium" w:hAnsi="Titillium"/>
          <w:sz w:val="18"/>
          <w:szCs w:val="18"/>
        </w:rPr>
        <w:t xml:space="preserve"> </w:t>
      </w:r>
      <w:bookmarkStart w:id="1300" w:name="_Ref497211510"/>
    </w:p>
    <w:p>
      <w:pPr>
        <w:pStyle w:val="Heading2"/>
        <w:numPr>
          <w:ilvl w:val="0"/>
          <w:numId w:val="3"/>
        </w:numPr>
        <w:rPr/>
      </w:pPr>
      <w:bookmarkStart w:id="1301" w:name="_Toc207275732"/>
      <w:r>
        <w:rPr/>
        <w:t>REQUISITI DI ORDINE SPECIALE E MEZZI DI PROVA</w:t>
      </w:r>
      <w:bookmarkEnd w:id="1300"/>
      <w:bookmarkEnd w:id="1301"/>
    </w:p>
    <w:p>
      <w:pPr>
        <w:pStyle w:val="Normal"/>
        <w:spacing w:before="60" w:after="60"/>
        <w:rPr>
          <w:rFonts w:ascii="Titillium" w:hAnsi="Titillium" w:cs="Calibri"/>
          <w:sz w:val="18"/>
          <w:szCs w:val="18"/>
        </w:rPr>
      </w:pPr>
      <w:r>
        <w:rPr>
          <w:rFonts w:cs="Calibri" w:ascii="Titillium" w:hAnsi="Titillium"/>
          <w:sz w:val="18"/>
          <w:szCs w:val="18"/>
        </w:rPr>
        <w:t xml:space="preserve">I concorrenti devono possedere, </w:t>
      </w:r>
      <w:r>
        <w:rPr>
          <w:rFonts w:cs="Calibri" w:ascii="Titillium" w:hAnsi="Titillium"/>
          <w:bCs/>
          <w:sz w:val="18"/>
          <w:szCs w:val="18"/>
        </w:rPr>
        <w:t>a pena di esclusione</w:t>
      </w:r>
      <w:r>
        <w:rPr>
          <w:rFonts w:cs="Calibri" w:ascii="Titillium" w:hAnsi="Titillium"/>
          <w:sz w:val="18"/>
          <w:szCs w:val="18"/>
        </w:rPr>
        <w:t xml:space="preserve">, i requisiti previsti nei commi seguenti. </w:t>
      </w:r>
    </w:p>
    <w:p>
      <w:pPr>
        <w:pStyle w:val="Normal"/>
        <w:spacing w:before="60" w:after="60"/>
        <w:rPr>
          <w:rFonts w:ascii="Titillium" w:hAnsi="Titillium" w:cs="Calibri"/>
          <w:sz w:val="18"/>
          <w:szCs w:val="18"/>
        </w:rPr>
      </w:pPr>
      <w:r>
        <w:rPr>
          <w:rFonts w:cs="Calibri" w:ascii="Titillium" w:hAnsi="Titillium"/>
          <w:sz w:val="18"/>
          <w:szCs w:val="18"/>
        </w:rPr>
        <w:t xml:space="preserve">La stazione appaltante verifica il possesso dei requisiti di ordine speciale accedendo al fascicolo virtuale dell’operatore economico (FVOE), fatto salvo quanto previsto nel paragrafo 25. </w:t>
      </w:r>
    </w:p>
    <w:p>
      <w:pPr>
        <w:pStyle w:val="Normal"/>
        <w:spacing w:before="60" w:after="60"/>
        <w:rPr>
          <w:rFonts w:ascii="Titillium" w:hAnsi="Titillium" w:cs="Calibri"/>
          <w:sz w:val="18"/>
          <w:szCs w:val="18"/>
        </w:rPr>
      </w:pPr>
      <w:r>
        <w:rPr>
          <w:rFonts w:cs="Calibri" w:ascii="Titillium" w:hAnsi="Titillium"/>
          <w:sz w:val="18"/>
          <w:szCs w:val="18"/>
        </w:rPr>
        <w:t>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bookmarkStart w:id="1302" w:name="_Ref128681470"/>
      <w:bookmarkStart w:id="1303" w:name="_Ref128476563"/>
      <w:bookmarkStart w:id="1304" w:name="_Toc497831539"/>
      <w:bookmarkStart w:id="1305" w:name="_Toc498419731"/>
      <w:bookmarkStart w:id="1306" w:name="_Toc497484946"/>
      <w:bookmarkStart w:id="1307" w:name="_Toc497728144"/>
      <w:bookmarkEnd w:id="1304"/>
      <w:bookmarkEnd w:id="1305"/>
      <w:bookmarkEnd w:id="1306"/>
      <w:bookmarkEnd w:id="1307"/>
    </w:p>
    <w:p>
      <w:pPr>
        <w:pStyle w:val="Normal"/>
        <w:spacing w:before="60" w:after="60"/>
        <w:rPr>
          <w:rFonts w:ascii="Titillium" w:hAnsi="Titillium" w:cs="Calibri"/>
          <w:sz w:val="18"/>
          <w:szCs w:val="18"/>
        </w:rPr>
      </w:pPr>
      <w:r>
        <w:rPr>
          <w:rFonts w:cs="Calibri" w:ascii="Titillium" w:hAnsi="Titillium"/>
          <w:sz w:val="18"/>
          <w:szCs w:val="18"/>
        </w:rPr>
      </w:r>
    </w:p>
    <w:p>
      <w:pPr>
        <w:pStyle w:val="Heading3"/>
        <w:numPr>
          <w:ilvl w:val="1"/>
          <w:numId w:val="3"/>
        </w:numPr>
        <w:ind w:hanging="426" w:left="426"/>
        <w:rPr/>
      </w:pPr>
      <w:bookmarkStart w:id="1308" w:name="_Toc207275733"/>
      <w:r>
        <w:rPr>
          <w:rFonts w:ascii="Titillium" w:hAnsi="Titillium"/>
          <w:sz w:val="18"/>
          <w:szCs w:val="18"/>
        </w:rPr>
        <w:t>REQUISITI DI IDONEITÀ</w:t>
      </w:r>
      <w:bookmarkEnd w:id="1303"/>
      <w:r>
        <w:rPr>
          <w:rFonts w:ascii="Titillium" w:hAnsi="Titillium"/>
          <w:sz w:val="18"/>
          <w:szCs w:val="18"/>
        </w:rPr>
        <w:t xml:space="preserve"> PROFESSIONALE</w:t>
      </w:r>
      <w:bookmarkEnd w:id="1302"/>
      <w:bookmarkEnd w:id="1308"/>
    </w:p>
    <w:p>
      <w:pPr>
        <w:pStyle w:val="ListParagraph"/>
        <w:numPr>
          <w:ilvl w:val="0"/>
          <w:numId w:val="4"/>
        </w:numPr>
        <w:spacing w:before="60" w:after="60"/>
        <w:ind w:hanging="284" w:left="284"/>
        <w:contextualSpacing w:val="false"/>
        <w:rPr/>
      </w:pPr>
      <w:bookmarkStart w:id="1309" w:name="_Ref128681493"/>
      <w:r>
        <w:rPr>
          <w:rFonts w:cs="Arial" w:ascii="Titillium" w:hAnsi="Titillium"/>
          <w:bCs/>
          <w:sz w:val="18"/>
          <w:szCs w:val="18"/>
        </w:rPr>
        <w:t>Iscrizione n</w:t>
      </w:r>
      <w:r>
        <w:rPr>
          <w:rFonts w:cs="Arial" w:ascii="Titillium" w:hAnsi="Titillium"/>
          <w:sz w:val="18"/>
          <w:szCs w:val="18"/>
        </w:rPr>
        <w:t>el R</w:t>
      </w:r>
      <w:r>
        <w:rPr>
          <w:rFonts w:cs="Calibri" w:ascii="Titillium" w:hAnsi="Titillium"/>
          <w:sz w:val="18"/>
          <w:szCs w:val="18"/>
        </w:rPr>
        <w:t>egistro delle Imprese oppure nell’Albo delle Imprese artigiane per attività pertinenti con quelle oggetto della prese</w:t>
      </w:r>
      <w:bookmarkStart w:id="1310" w:name="_Ref495411492"/>
      <w:bookmarkEnd w:id="1310"/>
      <w:r>
        <w:rPr>
          <w:rFonts w:cs="Calibri" w:ascii="Titillium" w:hAnsi="Titillium"/>
          <w:sz w:val="18"/>
          <w:szCs w:val="18"/>
        </w:rPr>
        <w:t>nte procedura di gara.</w:t>
      </w:r>
      <w:bookmarkEnd w:id="1309"/>
    </w:p>
    <w:p>
      <w:pPr>
        <w:pStyle w:val="Normal"/>
        <w:spacing w:before="60" w:after="60"/>
        <w:rPr>
          <w:rFonts w:ascii="Titillium" w:hAnsi="Titillium" w:cs="Calibri"/>
          <w:sz w:val="18"/>
          <w:szCs w:val="18"/>
        </w:rPr>
      </w:pPr>
      <w:r>
        <w:rPr>
          <w:rFonts w:cs="Calibri" w:ascii="Titillium" w:hAnsi="Titillium"/>
          <w:sz w:val="18"/>
          <w:szCs w:val="18"/>
        </w:rPr>
        <w:t>Per l’operatore economico di altro Stato membro, non residente in Italia: iscrizione in uno dei registri professionali o commerciali degli altri Stati membri di cui all’allegato II.11 del Codice;</w:t>
      </w:r>
    </w:p>
    <w:p>
      <w:pPr>
        <w:pStyle w:val="Normal"/>
        <w:spacing w:before="60" w:after="60"/>
        <w:rPr>
          <w:rFonts w:ascii="Titillium" w:hAnsi="Titillium"/>
          <w:sz w:val="18"/>
          <w:szCs w:val="18"/>
        </w:rPr>
      </w:pPr>
      <w:r>
        <w:rPr>
          <w:rFonts w:cs="Calibri" w:ascii="Titillium" w:hAnsi="Titillium"/>
          <w:sz w:val="18"/>
          <w:szCs w:val="18"/>
        </w:rPr>
        <w:t>Ai fini della comprova, l’iscrizione nel Registro è acquisita d’ufficio dalla stazione appaltante tramite il FVOE. Gli operatori stabiliti in altri Stati membri caricano nel fascicolo virtuale la dichiarazione, resa ai sensi del decreto del Presidente della Repubblica del 28 dicembre 2000, n. 445, di iscrizione in uno dei registri professionali o commerciali di cui all'allegato II.11, nonché</w:t>
      </w:r>
      <w:r>
        <w:rPr/>
        <w:t xml:space="preserve"> </w:t>
      </w:r>
      <w:r>
        <w:rPr>
          <w:rFonts w:cs="Calibri" w:ascii="Titillium" w:hAnsi="Titillium"/>
          <w:sz w:val="18"/>
          <w:szCs w:val="18"/>
        </w:rPr>
        <w:t>i dati e le informazioni utili alla comprova del requisito, se disponibili</w:t>
      </w:r>
      <w:r>
        <w:rPr>
          <w:rFonts w:ascii="Titillium" w:hAnsi="Titillium"/>
          <w:sz w:val="18"/>
          <w:szCs w:val="18"/>
        </w:rPr>
        <w:t>.</w:t>
      </w:r>
    </w:p>
    <w:p>
      <w:pPr>
        <w:pStyle w:val="Normal"/>
        <w:spacing w:before="60" w:after="60"/>
        <w:rPr>
          <w:rFonts w:ascii="Titillium" w:hAnsi="Titillium"/>
          <w:sz w:val="18"/>
          <w:szCs w:val="18"/>
        </w:rPr>
      </w:pPr>
      <w:r>
        <w:rPr>
          <w:rFonts w:ascii="Titillium" w:hAnsi="Titillium"/>
          <w:sz w:val="18"/>
          <w:szCs w:val="18"/>
        </w:rPr>
      </w:r>
    </w:p>
    <w:p>
      <w:pPr>
        <w:pStyle w:val="Heading3"/>
        <w:numPr>
          <w:ilvl w:val="1"/>
          <w:numId w:val="3"/>
        </w:numPr>
        <w:ind w:hanging="426" w:left="426"/>
        <w:rPr/>
      </w:pPr>
      <w:bookmarkStart w:id="1311" w:name="_Toc207275734"/>
      <w:bookmarkStart w:id="1312" w:name="_Ref495411575"/>
      <w:bookmarkStart w:id="1313" w:name="_Toc484688842"/>
      <w:bookmarkStart w:id="1314" w:name="_Toc485218278"/>
      <w:bookmarkStart w:id="1315" w:name="_Toc483302352"/>
      <w:bookmarkStart w:id="1316" w:name="_Toc483315902"/>
      <w:bookmarkStart w:id="1317" w:name="_Toc483316107"/>
      <w:bookmarkStart w:id="1318" w:name="_Toc483316310"/>
      <w:bookmarkStart w:id="1319" w:name="_Toc483316441"/>
      <w:bookmarkStart w:id="1320" w:name="_Toc483325744"/>
      <w:bookmarkStart w:id="1321" w:name="_Toc483401223"/>
      <w:bookmarkStart w:id="1322" w:name="_Toc483474020"/>
      <w:bookmarkStart w:id="1323" w:name="_Toc483571449"/>
      <w:bookmarkStart w:id="1324" w:name="_Toc483571570"/>
      <w:bookmarkStart w:id="1325" w:name="_Toc483906947"/>
      <w:bookmarkStart w:id="1326" w:name="_Toc484010697"/>
      <w:bookmarkStart w:id="1327" w:name="_Toc484010819"/>
      <w:bookmarkStart w:id="1328" w:name="_Toc484010943"/>
      <w:bookmarkStart w:id="1329" w:name="_Toc484011065"/>
      <w:bookmarkStart w:id="1330" w:name="_Toc484011187"/>
      <w:bookmarkStart w:id="1331" w:name="_Toc484011662"/>
      <w:bookmarkStart w:id="1332" w:name="_Toc484097736"/>
      <w:bookmarkStart w:id="1333" w:name="_Toc484428908"/>
      <w:bookmarkStart w:id="1334" w:name="_Toc484429078"/>
      <w:bookmarkStart w:id="1335" w:name="_Toc484438653"/>
      <w:bookmarkStart w:id="1336" w:name="_Toc484438777"/>
      <w:bookmarkStart w:id="1337" w:name="_Toc484438901"/>
      <w:bookmarkStart w:id="1338" w:name="_Toc484439821"/>
      <w:bookmarkStart w:id="1339" w:name="_Toc484439944"/>
      <w:bookmarkStart w:id="1340" w:name="_Toc484440068"/>
      <w:bookmarkStart w:id="1341" w:name="_Toc484440428"/>
      <w:bookmarkStart w:id="1342" w:name="_Toc484448087"/>
      <w:bookmarkStart w:id="1343" w:name="_Toc484448212"/>
      <w:bookmarkStart w:id="1344" w:name="_Toc484448336"/>
      <w:bookmarkStart w:id="1345" w:name="_Toc484448460"/>
      <w:bookmarkStart w:id="1346" w:name="_Toc484448584"/>
      <w:bookmarkStart w:id="1347" w:name="_Toc484448708"/>
      <w:bookmarkStart w:id="1348" w:name="_Toc484448831"/>
      <w:bookmarkStart w:id="1349" w:name="_Toc484448955"/>
      <w:bookmarkStart w:id="1350" w:name="_Toc484449079"/>
      <w:bookmarkStart w:id="1351" w:name="_Toc484526574"/>
      <w:bookmarkStart w:id="1352" w:name="_Toc484605294"/>
      <w:bookmarkStart w:id="1353" w:name="_Toc484605418"/>
      <w:bookmarkStart w:id="1354" w:name="_Toc484688287"/>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r>
        <w:rPr>
          <w:rFonts w:ascii="Titillium" w:hAnsi="Titillium"/>
          <w:sz w:val="18"/>
          <w:szCs w:val="18"/>
        </w:rPr>
        <w:t>REQUISITI DI CAPACITÀ ECONOMICA E FINANZIARIA</w:t>
      </w:r>
      <w:bookmarkEnd w:id="1311"/>
      <w:bookmarkEnd w:id="1312"/>
      <w:r>
        <w:rPr>
          <w:rFonts w:ascii="Titillium" w:hAnsi="Titillium"/>
          <w:sz w:val="18"/>
          <w:szCs w:val="18"/>
        </w:rPr>
        <w:t xml:space="preserve"> </w:t>
      </w:r>
    </w:p>
    <w:p>
      <w:pPr>
        <w:pStyle w:val="ListParagraph"/>
        <w:spacing w:before="60" w:after="60"/>
        <w:ind w:left="0"/>
        <w:contextualSpacing/>
        <w:rPr>
          <w:rFonts w:ascii="Titillium" w:hAnsi="Titillium" w:cs="Arial"/>
          <w:bCs/>
          <w:iCs/>
          <w:sz w:val="18"/>
          <w:szCs w:val="18"/>
        </w:rPr>
      </w:pPr>
      <w:r>
        <w:rPr>
          <w:rFonts w:cs="Arial" w:ascii="Titillium" w:hAnsi="Titillium"/>
          <w:bCs/>
          <w:iCs/>
          <w:sz w:val="18"/>
          <w:szCs w:val="18"/>
        </w:rPr>
        <w:t>La presente procedura di gara non prevede il possesso di requisiti di capacità economica e finanziaria.</w:t>
      </w:r>
    </w:p>
    <w:p>
      <w:pPr>
        <w:pStyle w:val="Heading3"/>
        <w:numPr>
          <w:ilvl w:val="1"/>
          <w:numId w:val="3"/>
        </w:numPr>
        <w:ind w:hanging="426" w:left="426"/>
        <w:rPr>
          <w:rFonts w:ascii="Titillium" w:hAnsi="Titillium"/>
          <w:sz w:val="18"/>
          <w:szCs w:val="18"/>
        </w:rPr>
      </w:pPr>
      <w:bookmarkStart w:id="1355" w:name="_Toc207275735"/>
      <w:bookmarkStart w:id="1356" w:name="_Ref495920623"/>
      <w:bookmarkStart w:id="1357" w:name="_Ref496707577"/>
      <w:bookmarkStart w:id="1358" w:name="_Ref495411584"/>
      <w:bookmarkStart w:id="1359" w:name="_Ref495482769"/>
      <w:bookmarkStart w:id="1360" w:name="_Ref495482790"/>
      <w:bookmarkStart w:id="1361" w:name="_Ref495506173"/>
      <w:r>
        <w:rPr>
          <w:rFonts w:ascii="Titillium" w:hAnsi="Titillium"/>
          <w:sz w:val="18"/>
          <w:szCs w:val="18"/>
        </w:rPr>
        <w:t>REQUISITI DI CAPACITÀ TECNICA E PROFESSIONALE</w:t>
      </w:r>
      <w:bookmarkEnd w:id="1355"/>
      <w:bookmarkEnd w:id="1356"/>
      <w:bookmarkEnd w:id="1357"/>
      <w:bookmarkEnd w:id="1358"/>
      <w:bookmarkEnd w:id="1359"/>
      <w:bookmarkEnd w:id="1360"/>
      <w:bookmarkEnd w:id="1361"/>
    </w:p>
    <w:p>
      <w:pPr>
        <w:pStyle w:val="ListParagraph"/>
        <w:spacing w:before="60" w:after="60"/>
        <w:ind w:left="0"/>
        <w:contextualSpacing/>
        <w:rPr>
          <w:rFonts w:ascii="Titillium" w:hAnsi="Titillium" w:cs="Arial"/>
          <w:bCs/>
          <w:iCs/>
          <w:sz w:val="18"/>
          <w:szCs w:val="18"/>
        </w:rPr>
      </w:pPr>
      <w:r>
        <w:rPr>
          <w:rFonts w:cs="Arial" w:ascii="Titillium" w:hAnsi="Titillium"/>
          <w:bCs/>
          <w:iCs/>
          <w:sz w:val="18"/>
          <w:szCs w:val="18"/>
        </w:rPr>
        <w:t>La presente procedura di gara non prevede il possesso di requisiti di capacità tecnica e professionale.</w:t>
      </w:r>
    </w:p>
    <w:p>
      <w:pPr>
        <w:pStyle w:val="ListParagraph"/>
        <w:spacing w:before="60" w:after="60"/>
        <w:ind w:left="0"/>
        <w:contextualSpacing/>
        <w:rPr>
          <w:rFonts w:ascii="Titillium" w:hAnsi="Titillium" w:cs="Arial"/>
          <w:bCs/>
          <w:iCs/>
          <w:sz w:val="18"/>
          <w:szCs w:val="18"/>
        </w:rPr>
      </w:pPr>
      <w:r>
        <w:rPr>
          <w:rFonts w:cs="Arial" w:ascii="Titillium" w:hAnsi="Titillium"/>
          <w:bCs/>
          <w:iCs/>
          <w:sz w:val="18"/>
          <w:szCs w:val="18"/>
        </w:rPr>
      </w:r>
    </w:p>
    <w:p>
      <w:pPr>
        <w:pStyle w:val="Heading3"/>
        <w:numPr>
          <w:ilvl w:val="1"/>
          <w:numId w:val="3"/>
        </w:numPr>
        <w:ind w:hanging="426" w:left="426"/>
        <w:rPr>
          <w:rFonts w:ascii="Titillium" w:hAnsi="Titillium"/>
          <w:caps/>
          <w:sz w:val="18"/>
          <w:szCs w:val="18"/>
        </w:rPr>
      </w:pPr>
      <w:bookmarkStart w:id="1362" w:name="_Toc207275736"/>
      <w:bookmarkStart w:id="1363" w:name="_Toc497831544"/>
      <w:bookmarkStart w:id="1364" w:name="_Toc498419742"/>
      <w:bookmarkStart w:id="1365" w:name="_Toc498419735"/>
      <w:bookmarkStart w:id="1366" w:name="_Toc498419736"/>
      <w:bookmarkStart w:id="1367" w:name="_Toc498419737"/>
      <w:bookmarkStart w:id="1368" w:name="_Toc498419738"/>
      <w:bookmarkStart w:id="1369" w:name="_Toc498419739"/>
      <w:bookmarkStart w:id="1370" w:name="_Toc498419740"/>
      <w:bookmarkStart w:id="1371" w:name="_Toc497484950"/>
      <w:bookmarkStart w:id="1372" w:name="_Toc497728148"/>
      <w:bookmarkStart w:id="1373" w:name="_Toc497831543"/>
      <w:bookmarkStart w:id="1374" w:name="_Toc498419741"/>
      <w:bookmarkStart w:id="1375" w:name="_Toc483302355"/>
      <w:bookmarkStart w:id="1376" w:name="_Toc483315905"/>
      <w:bookmarkStart w:id="1377" w:name="_Toc483316110"/>
      <w:bookmarkStart w:id="1378" w:name="_Toc483316313"/>
      <w:bookmarkStart w:id="1379" w:name="_Toc483316444"/>
      <w:bookmarkStart w:id="1380" w:name="_Toc483325747"/>
      <w:bookmarkStart w:id="1381" w:name="_Toc483401226"/>
      <w:bookmarkStart w:id="1382" w:name="_Toc483474023"/>
      <w:bookmarkStart w:id="1383" w:name="_Toc483571452"/>
      <w:bookmarkStart w:id="1384" w:name="_Toc483571573"/>
      <w:bookmarkStart w:id="1385" w:name="_Toc483906950"/>
      <w:bookmarkStart w:id="1386" w:name="_Toc484010700"/>
      <w:bookmarkStart w:id="1387" w:name="_Toc484010822"/>
      <w:bookmarkStart w:id="1388" w:name="_Toc484010946"/>
      <w:bookmarkStart w:id="1389" w:name="_Toc484011068"/>
      <w:bookmarkStart w:id="1390" w:name="_Toc484011190"/>
      <w:bookmarkStart w:id="1391" w:name="_Toc484011665"/>
      <w:bookmarkStart w:id="1392" w:name="_Toc484097739"/>
      <w:bookmarkStart w:id="1393" w:name="_Toc484428911"/>
      <w:bookmarkStart w:id="1394" w:name="_Toc484429081"/>
      <w:bookmarkStart w:id="1395" w:name="_Toc484438656"/>
      <w:bookmarkStart w:id="1396" w:name="_Toc484438780"/>
      <w:bookmarkStart w:id="1397" w:name="_Toc484438904"/>
      <w:bookmarkStart w:id="1398" w:name="_Toc484439824"/>
      <w:bookmarkStart w:id="1399" w:name="_Toc484439947"/>
      <w:bookmarkStart w:id="1400" w:name="_Toc484440071"/>
      <w:bookmarkStart w:id="1401" w:name="_Toc484440431"/>
      <w:bookmarkStart w:id="1402" w:name="_Toc484448090"/>
      <w:bookmarkStart w:id="1403" w:name="_Toc484448215"/>
      <w:bookmarkStart w:id="1404" w:name="_Toc484448339"/>
      <w:bookmarkStart w:id="1405" w:name="_Toc484448463"/>
      <w:bookmarkStart w:id="1406" w:name="_Toc484448587"/>
      <w:bookmarkStart w:id="1407" w:name="_Toc484448711"/>
      <w:bookmarkStart w:id="1408" w:name="_Toc484448834"/>
      <w:bookmarkStart w:id="1409" w:name="_Toc484448958"/>
      <w:bookmarkStart w:id="1410" w:name="_Toc484449082"/>
      <w:bookmarkStart w:id="1411" w:name="_Toc484526577"/>
      <w:bookmarkStart w:id="1412" w:name="_Toc484605297"/>
      <w:bookmarkStart w:id="1413" w:name="_Toc484605421"/>
      <w:bookmarkStart w:id="1414" w:name="_Toc484688290"/>
      <w:bookmarkStart w:id="1415" w:name="_Toc484688845"/>
      <w:bookmarkStart w:id="1416" w:name="_Toc485218281"/>
      <w:bookmarkStart w:id="1417" w:name="_Toc483302356"/>
      <w:bookmarkStart w:id="1418" w:name="_Toc483315906"/>
      <w:bookmarkStart w:id="1419" w:name="_Toc483316111"/>
      <w:bookmarkStart w:id="1420" w:name="_Toc483316314"/>
      <w:bookmarkStart w:id="1421" w:name="_Toc483316445"/>
      <w:bookmarkStart w:id="1422" w:name="_Toc483325748"/>
      <w:bookmarkStart w:id="1423" w:name="_Toc483401227"/>
      <w:bookmarkStart w:id="1424" w:name="_Toc483474024"/>
      <w:bookmarkStart w:id="1425" w:name="_Toc483571453"/>
      <w:bookmarkStart w:id="1426" w:name="_Toc483571574"/>
      <w:bookmarkStart w:id="1427" w:name="_Toc483906951"/>
      <w:bookmarkStart w:id="1428" w:name="_Toc484010701"/>
      <w:bookmarkStart w:id="1429" w:name="_Toc484010823"/>
      <w:bookmarkStart w:id="1430" w:name="_Toc484010947"/>
      <w:bookmarkStart w:id="1431" w:name="_Toc484011069"/>
      <w:bookmarkStart w:id="1432" w:name="_Toc484011191"/>
      <w:bookmarkStart w:id="1433" w:name="_Toc484011666"/>
      <w:bookmarkStart w:id="1434" w:name="_Toc484097740"/>
      <w:bookmarkStart w:id="1435" w:name="_Toc484428912"/>
      <w:bookmarkStart w:id="1436" w:name="_Toc484429082"/>
      <w:bookmarkStart w:id="1437" w:name="_Toc484438657"/>
      <w:bookmarkStart w:id="1438" w:name="_Toc484438781"/>
      <w:bookmarkStart w:id="1439" w:name="_Toc484438905"/>
      <w:bookmarkStart w:id="1440" w:name="_Toc484439825"/>
      <w:bookmarkStart w:id="1441" w:name="_Toc484439948"/>
      <w:bookmarkStart w:id="1442" w:name="_Toc484440072"/>
      <w:bookmarkStart w:id="1443" w:name="_Toc484440432"/>
      <w:bookmarkStart w:id="1444" w:name="_Toc484448091"/>
      <w:bookmarkStart w:id="1445" w:name="_Toc484448216"/>
      <w:bookmarkStart w:id="1446" w:name="_Toc484448340"/>
      <w:bookmarkStart w:id="1447" w:name="_Toc484448464"/>
      <w:bookmarkStart w:id="1448" w:name="_Toc484448588"/>
      <w:bookmarkStart w:id="1449" w:name="_Toc484448712"/>
      <w:bookmarkStart w:id="1450" w:name="_Toc484448835"/>
      <w:bookmarkStart w:id="1451" w:name="_Toc484448959"/>
      <w:bookmarkStart w:id="1452" w:name="_Toc484449083"/>
      <w:bookmarkStart w:id="1453" w:name="_Toc484526578"/>
      <w:bookmarkStart w:id="1454" w:name="_Toc484605298"/>
      <w:bookmarkStart w:id="1455" w:name="_Toc484605422"/>
      <w:bookmarkStart w:id="1456" w:name="_Toc484688291"/>
      <w:bookmarkStart w:id="1457" w:name="_Toc484688846"/>
      <w:bookmarkStart w:id="1458" w:name="_Toc485218282"/>
      <w:bookmarkStart w:id="1459" w:name="_Toc483302357"/>
      <w:bookmarkStart w:id="1460" w:name="_Toc483315907"/>
      <w:bookmarkStart w:id="1461" w:name="_Toc483316112"/>
      <w:bookmarkStart w:id="1462" w:name="_Toc483316315"/>
      <w:bookmarkStart w:id="1463" w:name="_Toc483316446"/>
      <w:bookmarkStart w:id="1464" w:name="_Toc483325749"/>
      <w:bookmarkStart w:id="1465" w:name="_Toc483401228"/>
      <w:bookmarkStart w:id="1466" w:name="_Toc483474025"/>
      <w:bookmarkStart w:id="1467" w:name="_Toc483571454"/>
      <w:bookmarkStart w:id="1468" w:name="_Toc483571575"/>
      <w:bookmarkStart w:id="1469" w:name="_Toc483906952"/>
      <w:bookmarkStart w:id="1470" w:name="_Toc484010702"/>
      <w:bookmarkStart w:id="1471" w:name="_Toc484010824"/>
      <w:bookmarkStart w:id="1472" w:name="_Toc484010948"/>
      <w:bookmarkStart w:id="1473" w:name="_Toc484011070"/>
      <w:bookmarkStart w:id="1474" w:name="_Toc484011192"/>
      <w:bookmarkStart w:id="1475" w:name="_Toc484011667"/>
      <w:bookmarkStart w:id="1476" w:name="_Toc484097741"/>
      <w:bookmarkStart w:id="1477" w:name="_Toc484428913"/>
      <w:bookmarkStart w:id="1478" w:name="_Toc484429083"/>
      <w:bookmarkStart w:id="1479" w:name="_Toc484438658"/>
      <w:bookmarkStart w:id="1480" w:name="_Toc484438782"/>
      <w:bookmarkStart w:id="1481" w:name="_Toc484438906"/>
      <w:bookmarkStart w:id="1482" w:name="_Toc484439826"/>
      <w:bookmarkStart w:id="1483" w:name="_Toc484439949"/>
      <w:bookmarkStart w:id="1484" w:name="_Toc484440073"/>
      <w:bookmarkStart w:id="1485" w:name="_Toc484440433"/>
      <w:bookmarkStart w:id="1486" w:name="_Toc484448092"/>
      <w:bookmarkStart w:id="1487" w:name="_Toc484448217"/>
      <w:bookmarkStart w:id="1488" w:name="_Toc484448341"/>
      <w:bookmarkStart w:id="1489" w:name="_Toc484448465"/>
      <w:bookmarkStart w:id="1490" w:name="_Toc484448589"/>
      <w:bookmarkStart w:id="1491" w:name="_Toc484448713"/>
      <w:bookmarkStart w:id="1492" w:name="_Toc484448836"/>
      <w:bookmarkStart w:id="1493" w:name="_Toc484448960"/>
      <w:bookmarkStart w:id="1494" w:name="_Toc484449084"/>
      <w:bookmarkStart w:id="1495" w:name="_Toc484526579"/>
      <w:bookmarkStart w:id="1496" w:name="_Toc484605299"/>
      <w:bookmarkStart w:id="1497" w:name="_Toc484605423"/>
      <w:bookmarkStart w:id="1498" w:name="_Toc484688292"/>
      <w:bookmarkStart w:id="1499" w:name="_Toc484688847"/>
      <w:bookmarkStart w:id="1500" w:name="_Toc485218283"/>
      <w:bookmarkStart w:id="1501" w:name="_Toc483302358"/>
      <w:bookmarkStart w:id="1502" w:name="_Toc483315908"/>
      <w:bookmarkStart w:id="1503" w:name="_Toc483316113"/>
      <w:bookmarkStart w:id="1504" w:name="_Toc483316316"/>
      <w:bookmarkStart w:id="1505" w:name="_Toc483316447"/>
      <w:bookmarkStart w:id="1506" w:name="_Toc483325750"/>
      <w:bookmarkStart w:id="1507" w:name="_Toc483401229"/>
      <w:bookmarkStart w:id="1508" w:name="_Toc483474026"/>
      <w:bookmarkStart w:id="1509" w:name="_Toc483571455"/>
      <w:bookmarkStart w:id="1510" w:name="_Toc483571576"/>
      <w:bookmarkStart w:id="1511" w:name="_Toc483906953"/>
      <w:bookmarkStart w:id="1512" w:name="_Toc484010703"/>
      <w:bookmarkStart w:id="1513" w:name="_Toc484010825"/>
      <w:bookmarkStart w:id="1514" w:name="_Toc484010949"/>
      <w:bookmarkStart w:id="1515" w:name="_Toc484011071"/>
      <w:bookmarkStart w:id="1516" w:name="_Toc484011193"/>
      <w:bookmarkStart w:id="1517" w:name="_Toc484011668"/>
      <w:bookmarkStart w:id="1518" w:name="_Toc484097742"/>
      <w:bookmarkStart w:id="1519" w:name="_Toc484428914"/>
      <w:bookmarkStart w:id="1520" w:name="_Toc484429084"/>
      <w:bookmarkStart w:id="1521" w:name="_Toc484438659"/>
      <w:bookmarkStart w:id="1522" w:name="_Toc484438783"/>
      <w:bookmarkStart w:id="1523" w:name="_Toc484438907"/>
      <w:bookmarkStart w:id="1524" w:name="_Toc484439827"/>
      <w:bookmarkStart w:id="1525" w:name="_Toc484439950"/>
      <w:bookmarkStart w:id="1526" w:name="_Toc484440074"/>
      <w:bookmarkStart w:id="1527" w:name="_Toc484440434"/>
      <w:bookmarkStart w:id="1528" w:name="_Toc484448093"/>
      <w:bookmarkStart w:id="1529" w:name="_Toc484448218"/>
      <w:bookmarkStart w:id="1530" w:name="_Toc484448342"/>
      <w:bookmarkStart w:id="1531" w:name="_Toc484448466"/>
      <w:bookmarkStart w:id="1532" w:name="_Toc484448590"/>
      <w:bookmarkStart w:id="1533" w:name="_Toc484448714"/>
      <w:bookmarkStart w:id="1534" w:name="_Toc484448837"/>
      <w:bookmarkStart w:id="1535" w:name="_Toc484448961"/>
      <w:bookmarkStart w:id="1536" w:name="_Toc484449085"/>
      <w:bookmarkStart w:id="1537" w:name="_Toc484526580"/>
      <w:bookmarkStart w:id="1538" w:name="_Toc484605300"/>
      <w:bookmarkStart w:id="1539" w:name="_Toc484605424"/>
      <w:bookmarkStart w:id="1540" w:name="_Toc484688293"/>
      <w:bookmarkStart w:id="1541" w:name="_Toc484688848"/>
      <w:bookmarkStart w:id="1542" w:name="_Toc485218284"/>
      <w:bookmarkStart w:id="1543" w:name="_Toc483302359"/>
      <w:bookmarkStart w:id="1544" w:name="_Toc483315909"/>
      <w:bookmarkStart w:id="1545" w:name="_Toc483316114"/>
      <w:bookmarkStart w:id="1546" w:name="_Toc483316317"/>
      <w:bookmarkStart w:id="1547" w:name="_Toc483316448"/>
      <w:bookmarkStart w:id="1548" w:name="_Toc483325751"/>
      <w:bookmarkStart w:id="1549" w:name="_Toc483401230"/>
      <w:bookmarkStart w:id="1550" w:name="_Toc483474027"/>
      <w:bookmarkStart w:id="1551" w:name="_Toc483571456"/>
      <w:bookmarkStart w:id="1552" w:name="_Toc483571577"/>
      <w:bookmarkStart w:id="1553" w:name="_Toc483906954"/>
      <w:bookmarkStart w:id="1554" w:name="_Toc484010704"/>
      <w:bookmarkStart w:id="1555" w:name="_Toc484010826"/>
      <w:bookmarkStart w:id="1556" w:name="_Toc484010950"/>
      <w:bookmarkStart w:id="1557" w:name="_Toc484011072"/>
      <w:bookmarkStart w:id="1558" w:name="_Toc484011194"/>
      <w:bookmarkStart w:id="1559" w:name="_Toc484011669"/>
      <w:bookmarkStart w:id="1560" w:name="_Toc484097743"/>
      <w:bookmarkStart w:id="1561" w:name="_Toc484428915"/>
      <w:bookmarkStart w:id="1562" w:name="_Toc484429085"/>
      <w:bookmarkStart w:id="1563" w:name="_Toc484438660"/>
      <w:bookmarkStart w:id="1564" w:name="_Toc484438784"/>
      <w:bookmarkStart w:id="1565" w:name="_Toc484438908"/>
      <w:bookmarkStart w:id="1566" w:name="_Toc484439828"/>
      <w:bookmarkStart w:id="1567" w:name="_Toc484439951"/>
      <w:bookmarkStart w:id="1568" w:name="_Toc484440075"/>
      <w:bookmarkStart w:id="1569" w:name="_Toc484440435"/>
      <w:bookmarkStart w:id="1570" w:name="_Toc484448094"/>
      <w:bookmarkStart w:id="1571" w:name="_Toc484448219"/>
      <w:bookmarkStart w:id="1572" w:name="_Toc484448343"/>
      <w:bookmarkStart w:id="1573" w:name="_Toc484448467"/>
      <w:bookmarkStart w:id="1574" w:name="_Toc484448591"/>
      <w:bookmarkStart w:id="1575" w:name="_Toc484448715"/>
      <w:bookmarkStart w:id="1576" w:name="_Toc484448838"/>
      <w:bookmarkStart w:id="1577" w:name="_Toc484448962"/>
      <w:bookmarkStart w:id="1578" w:name="_Toc484449086"/>
      <w:bookmarkStart w:id="1579" w:name="_Toc484526581"/>
      <w:bookmarkStart w:id="1580" w:name="_Toc484605301"/>
      <w:bookmarkStart w:id="1581" w:name="_Toc484605425"/>
      <w:bookmarkStart w:id="1582" w:name="_Toc484688294"/>
      <w:bookmarkStart w:id="1583" w:name="_Toc484688849"/>
      <w:bookmarkStart w:id="1584" w:name="_Toc485218285"/>
      <w:bookmarkStart w:id="1585" w:name="_Toc497484951"/>
      <w:bookmarkStart w:id="1586" w:name="_Toc497728149"/>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r>
        <w:rPr>
          <w:rFonts w:ascii="Titillium" w:hAnsi="Titillium"/>
          <w:sz w:val="18"/>
          <w:szCs w:val="18"/>
        </w:rPr>
        <w:t>INDICAZIONI SUI REQUISITI SPECIALI NEI RAGGRUPPAMENTI TEMPORANEI, CONSORZI ORDINARI, AGGREGAZIONI DI IMPRESE DI RETE, GEIE</w:t>
      </w:r>
      <w:bookmarkEnd w:id="1362"/>
    </w:p>
    <w:p>
      <w:pPr>
        <w:pStyle w:val="Normal"/>
        <w:spacing w:before="60" w:after="60"/>
        <w:rPr>
          <w:rFonts w:ascii="Titillium" w:hAnsi="Titillium" w:cs="Calibri"/>
          <w:sz w:val="18"/>
          <w:szCs w:val="18"/>
        </w:rPr>
      </w:pPr>
      <w:r>
        <w:rPr>
          <w:rFonts w:cs="Calibri" w:ascii="Titillium" w:hAnsi="Titillium"/>
          <w:sz w:val="18"/>
          <w:szCs w:val="18"/>
        </w:rPr>
        <w:t xml:space="preserve">I soggetti di cui all’articolo 65, comma 2, lettera e), f) g) e h) del Codice devono possedere i requisiti di ordine speciale nei termini di seguito indicati. </w:t>
      </w:r>
    </w:p>
    <w:p>
      <w:pPr>
        <w:pStyle w:val="Normal"/>
        <w:spacing w:before="60" w:after="60"/>
        <w:rPr>
          <w:rFonts w:ascii="Titillium" w:hAnsi="Titillium" w:cs="Calibri"/>
          <w:sz w:val="18"/>
          <w:szCs w:val="18"/>
        </w:rPr>
      </w:pPr>
      <w:r>
        <w:rPr>
          <w:rFonts w:cs="Calibri" w:ascii="Titillium" w:hAnsi="Titillium"/>
          <w:sz w:val="18"/>
          <w:szCs w:val="18"/>
        </w:rPr>
        <w:t xml:space="preserve">Alle aggregazioni di retisti, ai consorzi ordinari ed ai GEIE si applica la disciplina prevista per i raggruppamenti temporanei. </w:t>
      </w:r>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rFonts w:ascii="Titillium" w:hAnsi="Titillium"/>
          <w:b/>
          <w:iCs/>
          <w:sz w:val="18"/>
          <w:szCs w:val="18"/>
        </w:rPr>
      </w:pPr>
      <w:r>
        <w:rPr>
          <w:rFonts w:ascii="Titillium" w:hAnsi="Titillium"/>
          <w:b/>
          <w:iCs/>
          <w:sz w:val="18"/>
          <w:szCs w:val="18"/>
        </w:rPr>
        <w:t>Requisiti di idoneità professionale</w:t>
      </w:r>
    </w:p>
    <w:p>
      <w:pPr>
        <w:pStyle w:val="ListParagraph"/>
        <w:numPr>
          <w:ilvl w:val="2"/>
          <w:numId w:val="27"/>
        </w:numPr>
        <w:spacing w:before="60" w:after="60"/>
        <w:contextualSpacing w:val="false"/>
        <w:rPr/>
      </w:pPr>
      <w:r>
        <w:rPr>
          <w:rFonts w:cs="Calibri" w:ascii="Titillium" w:hAnsi="Titillium"/>
          <w:sz w:val="18"/>
          <w:szCs w:val="18"/>
        </w:rPr>
        <w:t>Il requisito relativo all’iscrizione nel Registro delle Imprese oppure nell’Albo delle Imprese artigiane di cui al paragrafo 6.1. lett. a) deve essere posseduto:</w:t>
      </w:r>
    </w:p>
    <w:p>
      <w:pPr>
        <w:pStyle w:val="ListParagraph"/>
        <w:numPr>
          <w:ilvl w:val="0"/>
          <w:numId w:val="25"/>
        </w:numPr>
        <w:spacing w:before="60" w:after="60"/>
        <w:ind w:hanging="360" w:left="709"/>
        <w:contextualSpacing w:val="false"/>
        <w:rPr/>
      </w:pPr>
      <w:r>
        <w:rPr>
          <w:rFonts w:cs="Calibri" w:ascii="Titillium" w:hAnsi="Titillium"/>
          <w:sz w:val="18"/>
          <w:szCs w:val="18"/>
        </w:rPr>
        <w:t>da ciascun componente del raggruppamento/consorzio/GEIE anche da costituire, nonché dal GEIE medesimo;</w:t>
      </w:r>
    </w:p>
    <w:p>
      <w:pPr>
        <w:pStyle w:val="ListParagraph"/>
        <w:numPr>
          <w:ilvl w:val="0"/>
          <w:numId w:val="25"/>
        </w:numPr>
        <w:spacing w:before="60" w:after="60"/>
        <w:ind w:hanging="360" w:left="709"/>
        <w:contextualSpacing w:val="false"/>
        <w:rPr>
          <w:rFonts w:ascii="Titillium" w:hAnsi="Titillium" w:cs="Calibri"/>
          <w:sz w:val="18"/>
          <w:szCs w:val="18"/>
        </w:rPr>
      </w:pPr>
      <w:r>
        <w:rPr>
          <w:rFonts w:cs="Calibri" w:ascii="Titillium" w:hAnsi="Titillium"/>
          <w:sz w:val="18"/>
          <w:szCs w:val="18"/>
        </w:rPr>
        <w:t>da ciascun componente dell’aggregazione di rete nonché dall’organo comune nel caso in cui questi abbia soggettività giuridica.</w:t>
      </w:r>
    </w:p>
    <w:p>
      <w:pPr>
        <w:pStyle w:val="Normal"/>
        <w:spacing w:before="60" w:after="60"/>
        <w:rPr>
          <w:rFonts w:ascii="Titillium" w:hAnsi="Titillium"/>
          <w:sz w:val="18"/>
          <w:szCs w:val="24"/>
        </w:rPr>
      </w:pPr>
      <w:r>
        <w:rPr>
          <w:rFonts w:ascii="Titillium" w:hAnsi="Titillium"/>
          <w:sz w:val="18"/>
          <w:szCs w:val="24"/>
        </w:rPr>
        <w:t xml:space="preserve">Nel caso in cui un raggruppamento abbia estromesso o sostituito un partecipante allo stesso poiché privo di un requisito di ordine speciale di cui all’articolo 100 del Codice, si valutano le misure adottate ai sensi dell’articolo 97 del Codice al fine di decidere sull’esclusione del raggruppamento. </w:t>
      </w:r>
    </w:p>
    <w:p>
      <w:pPr>
        <w:pStyle w:val="Normal"/>
        <w:spacing w:before="60" w:after="60"/>
        <w:rPr>
          <w:rFonts w:ascii="Titillium" w:hAnsi="Titillium"/>
          <w:sz w:val="18"/>
          <w:szCs w:val="24"/>
        </w:rPr>
      </w:pPr>
      <w:r>
        <w:rPr>
          <w:rFonts w:ascii="Titillium" w:hAnsi="Titillium"/>
          <w:sz w:val="18"/>
          <w:szCs w:val="24"/>
        </w:rPr>
      </w:r>
    </w:p>
    <w:p>
      <w:pPr>
        <w:pStyle w:val="Heading3"/>
        <w:numPr>
          <w:ilvl w:val="1"/>
          <w:numId w:val="3"/>
        </w:numPr>
        <w:ind w:hanging="426" w:left="426"/>
        <w:rPr>
          <w:rFonts w:ascii="Titillium" w:hAnsi="Titillium"/>
          <w:caps/>
          <w:sz w:val="18"/>
          <w:szCs w:val="18"/>
        </w:rPr>
      </w:pPr>
      <w:bookmarkStart w:id="1587" w:name="_Toc207275737"/>
      <w:bookmarkStart w:id="1588" w:name="_Ref496007650"/>
      <w:bookmarkStart w:id="1589" w:name="_Ref496007652"/>
      <w:bookmarkStart w:id="1590" w:name="_Toc497831546"/>
      <w:bookmarkStart w:id="1591" w:name="_Toc498419744"/>
      <w:bookmarkStart w:id="1592" w:name="_Toc494358983"/>
      <w:bookmarkStart w:id="1593" w:name="_Toc494359032"/>
      <w:bookmarkStart w:id="1594" w:name="_Toc497484953"/>
      <w:bookmarkStart w:id="1595" w:name="_Toc497728151"/>
      <w:bookmarkEnd w:id="1590"/>
      <w:bookmarkEnd w:id="1591"/>
      <w:bookmarkEnd w:id="1592"/>
      <w:bookmarkEnd w:id="1593"/>
      <w:bookmarkEnd w:id="1594"/>
      <w:bookmarkEnd w:id="1595"/>
      <w:r>
        <w:rPr>
          <w:rFonts w:ascii="Titillium" w:hAnsi="Titillium"/>
          <w:sz w:val="18"/>
          <w:szCs w:val="18"/>
        </w:rPr>
        <w:t>INDICAZIONI SUI REQUISITI SPECIALI NEI CONSORZI DI COOPERATIVE, CONSORZI DI IMPRESE ARTIGIANE, CONSORZI STABILI</w:t>
      </w:r>
      <w:bookmarkEnd w:id="1587"/>
      <w:bookmarkEnd w:id="1588"/>
      <w:bookmarkEnd w:id="1589"/>
      <w:r>
        <w:rPr>
          <w:rFonts w:ascii="Titillium" w:hAnsi="Titillium"/>
          <w:sz w:val="18"/>
          <w:szCs w:val="18"/>
        </w:rPr>
        <w:t xml:space="preserve"> </w:t>
      </w:r>
    </w:p>
    <w:p>
      <w:pPr>
        <w:pStyle w:val="Normal"/>
        <w:spacing w:before="60" w:after="60"/>
        <w:rPr>
          <w:rFonts w:ascii="Titillium" w:hAnsi="Titillium"/>
          <w:b/>
          <w:iCs/>
          <w:sz w:val="18"/>
          <w:szCs w:val="18"/>
        </w:rPr>
      </w:pPr>
      <w:r>
        <w:rPr>
          <w:rFonts w:ascii="Titillium" w:hAnsi="Titillium"/>
          <w:b/>
          <w:iCs/>
          <w:sz w:val="18"/>
          <w:szCs w:val="18"/>
        </w:rPr>
        <w:t>Requisiti di idoneità professionale</w:t>
      </w:r>
    </w:p>
    <w:p>
      <w:pPr>
        <w:pStyle w:val="ListParagraph"/>
        <w:numPr>
          <w:ilvl w:val="2"/>
          <w:numId w:val="28"/>
        </w:numPr>
        <w:spacing w:before="60" w:after="60"/>
        <w:contextualSpacing w:val="false"/>
        <w:rPr>
          <w:rFonts w:ascii="Titillium" w:hAnsi="Titillium"/>
          <w:sz w:val="18"/>
          <w:szCs w:val="24"/>
        </w:rPr>
      </w:pPr>
      <w:r>
        <w:rPr>
          <w:rFonts w:cs="Calibri" w:ascii="Titillium" w:hAnsi="Titillium"/>
          <w:sz w:val="18"/>
          <w:szCs w:val="18"/>
        </w:rPr>
        <w:t xml:space="preserve">Il requisito relativo all’iscrizione nel Registro delle Imprese oppure nell’Albo delle Imprese artigiane di cui al paragrafo 6.1. lett. a) deve essere posseduto dal consorzio e dalle consorziate indicate come esecutrici </w:t>
      </w:r>
    </w:p>
    <w:p>
      <w:pPr>
        <w:pStyle w:val="Normal"/>
        <w:spacing w:before="60" w:after="60"/>
        <w:rPr>
          <w:rFonts w:ascii="Titillium" w:hAnsi="Titillium"/>
          <w:sz w:val="18"/>
          <w:szCs w:val="24"/>
        </w:rPr>
      </w:pPr>
      <w:r>
        <w:rPr>
          <w:rFonts w:ascii="Titillium" w:hAnsi="Titillium"/>
          <w:sz w:val="18"/>
          <w:szCs w:val="24"/>
        </w:rPr>
        <w:t>Nel caso in cui un consorzio abbia estromesso o sostituito una consorziata poiché priva di un requisito di ordine speciale di cui all’articolo 100 del Codice, si valutano le misure adottate ai sensi dell’articolo 97 del Codice al fine di decidere sull’esclusione.</w:t>
      </w:r>
    </w:p>
    <w:p>
      <w:pPr>
        <w:pStyle w:val="Normal"/>
        <w:spacing w:before="60" w:after="60"/>
        <w:rPr>
          <w:rFonts w:ascii="Titillium" w:hAnsi="Titillium" w:cs="Calibri"/>
          <w:sz w:val="18"/>
          <w:szCs w:val="18"/>
        </w:rPr>
      </w:pPr>
      <w:r>
        <w:rPr>
          <w:rFonts w:cs="Calibri" w:ascii="Titillium" w:hAnsi="Titillium"/>
          <w:sz w:val="18"/>
          <w:szCs w:val="18"/>
        </w:rPr>
      </w:r>
    </w:p>
    <w:p>
      <w:pPr>
        <w:pStyle w:val="Heading2"/>
        <w:numPr>
          <w:ilvl w:val="0"/>
          <w:numId w:val="3"/>
        </w:numPr>
        <w:rPr/>
      </w:pPr>
      <w:bookmarkStart w:id="1596" w:name="_Toc207275738"/>
      <w:r>
        <w:rPr/>
        <w:t>AVVALIMENTO</w:t>
      </w:r>
      <w:bookmarkEnd w:id="1596"/>
      <w:r>
        <w:rPr/>
        <w:t xml:space="preserve"> </w:t>
      </w:r>
    </w:p>
    <w:p>
      <w:pPr>
        <w:pStyle w:val="Normal"/>
        <w:tabs>
          <w:tab w:val="clear" w:pos="708"/>
          <w:tab w:val="left" w:pos="0" w:leader="none"/>
        </w:tabs>
        <w:spacing w:before="60" w:after="60"/>
        <w:rPr>
          <w:rFonts w:ascii="Titillium" w:hAnsi="Titillium" w:cs="Calibri"/>
          <w:sz w:val="18"/>
          <w:szCs w:val="18"/>
        </w:rPr>
      </w:pPr>
      <w:r>
        <w:rPr>
          <w:rFonts w:cs="Calibri" w:ascii="Titillium" w:hAnsi="Titillium"/>
          <w:sz w:val="18"/>
          <w:szCs w:val="18"/>
        </w:rPr>
        <w:t>Il concorrente può avvalersi di dotazioni tecniche, risorse umane e strumentali messe a disposizione da uno o più operatori economici ausiliari per dimostrare il possesso dei requisiti di ordine speciale di cui al paragrafo 6 per migliorare la propria offerta.</w:t>
      </w:r>
    </w:p>
    <w:p>
      <w:pPr>
        <w:pStyle w:val="Normal"/>
        <w:tabs>
          <w:tab w:val="clear" w:pos="708"/>
          <w:tab w:val="left" w:pos="0" w:leader="none"/>
        </w:tabs>
        <w:spacing w:before="60" w:after="60"/>
        <w:rPr>
          <w:rFonts w:ascii="Titillium" w:hAnsi="Titillium" w:cs="Calibri"/>
          <w:sz w:val="18"/>
          <w:szCs w:val="18"/>
        </w:rPr>
      </w:pPr>
      <w:r>
        <w:rPr>
          <w:rFonts w:cs="Calibri" w:ascii="Titillium" w:hAnsi="Titillium"/>
          <w:sz w:val="18"/>
          <w:szCs w:val="18"/>
        </w:rPr>
        <w:t>Nel contratto di avvalimento le parti specificano le risorse strumentali e umane che l’impresa ausiliaria mette a disposizione del concorrente e indicano se l’avvalimento è finalizzato ad acquisire un requisito di partecipazione o a migliorare l’offerta del concorrente, o se serve ad entrambe le finalità.</w:t>
      </w:r>
    </w:p>
    <w:p>
      <w:pPr>
        <w:pStyle w:val="Normal"/>
        <w:spacing w:before="60" w:after="60"/>
        <w:rPr>
          <w:rFonts w:ascii="Titillium" w:hAnsi="Titillium" w:cs="Calibri"/>
          <w:iCs/>
          <w:sz w:val="18"/>
          <w:szCs w:val="18"/>
        </w:rPr>
      </w:pPr>
      <w:r>
        <w:rPr>
          <w:rFonts w:cs="Calibri" w:ascii="Titillium" w:hAnsi="Titillium"/>
          <w:iCs/>
          <w:sz w:val="18"/>
          <w:szCs w:val="18"/>
        </w:rPr>
        <w:t xml:space="preserve">Nel caso di avvalimento finalizzato a migliorare l’offerta, l’impresa ausiliata e l’impresa ausiliaria non possono partecipare alla stessa gara, pena l’esclusione di entrambi i soggetti, salvo che l’impresa ausiliaria non dimostri, facendo ricorso ad </w:t>
      </w:r>
      <w:r>
        <w:rPr>
          <w:rFonts w:cs="Calibri" w:ascii="Titillium" w:hAnsi="Titillium"/>
          <w:sz w:val="18"/>
          <w:szCs w:val="18"/>
        </w:rPr>
        <w:t>idoneo supporto documentale, che non sussistono collegamenti con l‘impresa ausiliata tali da ricondurre entrambe le imprese ad uno stesso centro decisionale.</w:t>
      </w:r>
    </w:p>
    <w:p>
      <w:pPr>
        <w:pStyle w:val="Normal"/>
        <w:spacing w:before="60" w:after="60"/>
        <w:rPr/>
      </w:pPr>
      <w:r>
        <w:rPr>
          <w:rFonts w:cs="Calibri" w:ascii="Titillium" w:hAnsi="Titillium"/>
          <w:sz w:val="18"/>
          <w:szCs w:val="18"/>
        </w:rPr>
        <w:t>Il concorrente e l’impresa ausiliaria sono responsabili in solido nei confronti della stazione appaltante in relazione alle prestazioni oggetto del contratto.</w:t>
      </w:r>
    </w:p>
    <w:p>
      <w:pPr>
        <w:pStyle w:val="Normal"/>
        <w:tabs>
          <w:tab w:val="clear" w:pos="708"/>
          <w:tab w:val="left" w:pos="0" w:leader="none"/>
        </w:tabs>
        <w:spacing w:before="60" w:after="60"/>
        <w:rPr>
          <w:rFonts w:ascii="Titillium" w:hAnsi="Titillium" w:cs="Calibri"/>
          <w:sz w:val="18"/>
          <w:szCs w:val="18"/>
        </w:rPr>
      </w:pPr>
      <w:r>
        <w:rPr>
          <w:rFonts w:cs="Calibri" w:ascii="Titillium" w:hAnsi="Titillium"/>
          <w:sz w:val="18"/>
          <w:szCs w:val="18"/>
        </w:rPr>
        <w:t>Non è consentito l’avvalimento per soddisfare i requisiti di ordine generale e dell’iscrizione alla Camera di commercio.</w:t>
      </w:r>
    </w:p>
    <w:p>
      <w:pPr>
        <w:pStyle w:val="Normal"/>
        <w:spacing w:before="60" w:after="60"/>
        <w:rPr>
          <w:rFonts w:ascii="Titillium" w:hAnsi="Titillium" w:cs="Calibri"/>
          <w:sz w:val="18"/>
          <w:szCs w:val="18"/>
        </w:rPr>
      </w:pPr>
      <w:r>
        <w:rPr>
          <w:rFonts w:cs="Calibri" w:ascii="Titillium" w:hAnsi="Titillium"/>
          <w:sz w:val="18"/>
          <w:szCs w:val="18"/>
        </w:rPr>
        <w:t>L’impresa ausiliaria deve:</w:t>
      </w:r>
    </w:p>
    <w:p>
      <w:pPr>
        <w:pStyle w:val="ListParagraph"/>
        <w:numPr>
          <w:ilvl w:val="2"/>
          <w:numId w:val="13"/>
        </w:numPr>
        <w:spacing w:before="60" w:after="60"/>
        <w:ind w:hanging="360" w:left="709"/>
        <w:contextualSpacing w:val="false"/>
        <w:rPr/>
      </w:pPr>
      <w:r>
        <w:rPr>
          <w:rFonts w:cs="Calibri" w:ascii="Titillium" w:hAnsi="Titillium"/>
          <w:sz w:val="18"/>
          <w:szCs w:val="18"/>
        </w:rPr>
        <w:t xml:space="preserve">possedere i requisiti previsti dall’articolo </w:t>
      </w:r>
      <w:r>
        <w:rPr>
          <w:rFonts w:cs="Calibri" w:ascii="Titillium" w:hAnsi="Titillium"/>
          <w:sz w:val="18"/>
          <w:szCs w:val="18"/>
        </w:rPr>
        <w:fldChar w:fldCharType="begin"/>
      </w:r>
      <w:r>
        <w:rPr>
          <w:rFonts w:cs="Calibri" w:ascii="Titillium" w:hAnsi="Titillium"/>
          <w:sz w:val="18"/>
          <w:szCs w:val="18"/>
        </w:rPr>
        <w:instrText xml:space="preserve"> REF _Ref128477566 \r \r \h </w:instrText>
      </w:r>
      <w:r>
        <w:rPr>
          <w:rFonts w:cs="Calibri" w:ascii="Titillium" w:hAnsi="Titillium"/>
          <w:sz w:val="18"/>
          <w:szCs w:val="18"/>
        </w:rPr>
        <w:fldChar w:fldCharType="separate"/>
      </w:r>
      <w:r>
        <w:rPr>
          <w:rFonts w:cs="Calibri" w:ascii="Titillium" w:hAnsi="Titillium"/>
          <w:sz w:val="18"/>
          <w:szCs w:val="18"/>
        </w:rPr>
        <w:t>5</w:t>
      </w:r>
      <w:r>
        <w:rPr>
          <w:rFonts w:cs="Calibri" w:ascii="Titillium" w:hAnsi="Titillium"/>
          <w:sz w:val="18"/>
          <w:szCs w:val="18"/>
        </w:rPr>
        <w:fldChar w:fldCharType="end"/>
      </w:r>
      <w:r>
        <w:rPr>
          <w:rFonts w:cs="Calibri" w:ascii="Titillium" w:hAnsi="Titillium"/>
          <w:sz w:val="18"/>
          <w:szCs w:val="18"/>
        </w:rPr>
        <w:t xml:space="preserve"> e dichiararli presentando un proprio DGUE, da compilare nelle parti pertinenti;</w:t>
      </w:r>
    </w:p>
    <w:p>
      <w:pPr>
        <w:pStyle w:val="ListParagraph"/>
        <w:numPr>
          <w:ilvl w:val="2"/>
          <w:numId w:val="13"/>
        </w:numPr>
        <w:spacing w:before="60" w:after="60"/>
        <w:ind w:hanging="360" w:left="709"/>
        <w:contextualSpacing w:val="false"/>
        <w:rPr/>
      </w:pPr>
      <w:r>
        <w:rPr>
          <w:rFonts w:cs="Calibri" w:ascii="Titillium" w:hAnsi="Titillium"/>
          <w:sz w:val="18"/>
          <w:szCs w:val="18"/>
        </w:rPr>
        <w:t xml:space="preserve">possedere i requisiti i di cui all’articolo 6 oggetto di avvalimento e dichiararli nel proprio DGUE, da compilare nelle parti pertinenti; </w:t>
      </w:r>
    </w:p>
    <w:p>
      <w:pPr>
        <w:pStyle w:val="ListParagraph"/>
        <w:numPr>
          <w:ilvl w:val="2"/>
          <w:numId w:val="13"/>
        </w:numPr>
        <w:spacing w:before="60" w:after="60"/>
        <w:ind w:hanging="360" w:left="709"/>
        <w:contextualSpacing w:val="false"/>
        <w:rPr/>
      </w:pPr>
      <w:r>
        <w:rPr>
          <w:rFonts w:cs="Calibri" w:ascii="Titillium" w:hAnsi="Titillium"/>
          <w:sz w:val="18"/>
          <w:szCs w:val="18"/>
        </w:rPr>
        <w:t xml:space="preserve">impegnarsi, verso il concorrente che si avvale e verso la stazione appaltante, a mettere a disposizione, per tutta la durata dell’appalto, le risorse (riferite a requisiti di partecipazione e/o premiali) oggetto di avvalimento. </w:t>
      </w:r>
    </w:p>
    <w:p>
      <w:pPr>
        <w:pStyle w:val="Normal"/>
        <w:spacing w:before="60" w:after="60"/>
        <w:rPr>
          <w:rFonts w:ascii="Titillium" w:hAnsi="Titillium" w:cs="Calibri"/>
          <w:sz w:val="18"/>
          <w:szCs w:val="18"/>
        </w:rPr>
      </w:pPr>
      <w:r>
        <w:rPr>
          <w:rFonts w:cs="Calibri" w:ascii="Titillium" w:hAnsi="Titillium"/>
          <w:sz w:val="18"/>
          <w:szCs w:val="18"/>
        </w:rPr>
        <w:t>Le dichiarazioni dell’ausiliaria sono allegate alla domanda di partecipazione.</w:t>
      </w:r>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rFonts w:ascii="Titillium" w:hAnsi="Titillium" w:cs="Calibri"/>
          <w:b/>
          <w:bCs/>
          <w:i/>
          <w:iCs/>
          <w:sz w:val="18"/>
          <w:szCs w:val="18"/>
        </w:rPr>
      </w:pPr>
      <w:r>
        <w:rPr>
          <w:rFonts w:cs="Calibri" w:ascii="Titillium" w:hAnsi="Titillium"/>
          <w:sz w:val="18"/>
          <w:szCs w:val="18"/>
        </w:rPr>
        <w:t>Il concorrente allega alla domanda di partecipazione il contratto di avvalimento e allega all’offerta tecnica il contratto di avvalimento premiale.</w:t>
      </w:r>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rFonts w:ascii="Titillium" w:hAnsi="Titillium" w:cs="Calibri"/>
          <w:sz w:val="18"/>
          <w:szCs w:val="18"/>
        </w:rPr>
      </w:pPr>
      <w:r>
        <w:rPr>
          <w:rFonts w:cs="Calibri" w:ascii="Titillium" w:hAnsi="Titillium"/>
          <w:sz w:val="18"/>
          <w:szCs w:val="18"/>
        </w:rPr>
        <w:t>Il contratto di avvalimento deve essere nativo digitale e firmato digitalmente dalle parti.</w:t>
      </w:r>
    </w:p>
    <w:p>
      <w:pPr>
        <w:pStyle w:val="Normal"/>
        <w:spacing w:before="60" w:after="60"/>
        <w:rPr>
          <w:rFonts w:ascii="Titillium" w:hAnsi="Titillium" w:cs="Calibri"/>
          <w:sz w:val="18"/>
          <w:szCs w:val="18"/>
        </w:rPr>
      </w:pPr>
      <w:r>
        <w:rPr>
          <w:rFonts w:cs="Calibri" w:ascii="Titillium" w:hAnsi="Titillium"/>
          <w:sz w:val="18"/>
          <w:szCs w:val="18"/>
        </w:rPr>
        <w:t>È sanabile, mediante soccorso istruttorio, la mancata produzione delle dichiarazioni dell’ausiliario.</w:t>
      </w:r>
    </w:p>
    <w:p>
      <w:pPr>
        <w:pStyle w:val="Normal"/>
        <w:spacing w:before="60" w:after="60"/>
        <w:rPr>
          <w:rFonts w:ascii="Titillium" w:hAnsi="Titillium" w:cs="Calibri"/>
          <w:sz w:val="18"/>
          <w:szCs w:val="18"/>
        </w:rPr>
      </w:pPr>
      <w:r>
        <w:rPr>
          <w:rFonts w:cs="Calibri" w:ascii="Titillium" w:hAnsi="Titillium"/>
          <w:sz w:val="18"/>
          <w:szCs w:val="18"/>
        </w:rPr>
        <w:t>È sanabile, mediante soccorso istruttorio, la mancata produzione del contratto di avvalimento a condizione che il contratto sia stato stipulato prima del termine di presentazione dell’offerta e che tale circostanza sia comprovabile con data certa.</w:t>
      </w:r>
    </w:p>
    <w:p>
      <w:pPr>
        <w:pStyle w:val="Normal"/>
        <w:spacing w:before="60" w:after="60"/>
        <w:rPr>
          <w:rFonts w:ascii="Titillium" w:hAnsi="Titillium" w:cs="Calibri"/>
          <w:sz w:val="18"/>
          <w:szCs w:val="18"/>
        </w:rPr>
      </w:pPr>
      <w:r>
        <w:rPr>
          <w:rFonts w:cs="Calibri" w:ascii="Titillium" w:hAnsi="Titillium"/>
          <w:sz w:val="18"/>
          <w:szCs w:val="18"/>
        </w:rPr>
        <w:t>Non è sanabile la mancata indicazione delle risorse messe a disposizione dall’ausiliario in quanto causa di nullità del contratto di avvalimento.</w:t>
      </w:r>
    </w:p>
    <w:p>
      <w:pPr>
        <w:pStyle w:val="Normal"/>
        <w:spacing w:before="60" w:after="60"/>
        <w:rPr/>
      </w:pPr>
      <w:r>
        <w:rPr>
          <w:rFonts w:cs="Calibri" w:ascii="Titillium" w:hAnsi="Titillium"/>
          <w:sz w:val="18"/>
          <w:szCs w:val="18"/>
        </w:rPr>
        <w:t xml:space="preserve">Qualora per l’impresa ausiliaria sussistano motivi di esclusione o laddove essa non soddisfi i requisiti di ordine speciale, il concorrente sostituisce l’impresa ausiliaria entro 10 giorni decorrenti dal ricevimento della richiesta da parte della stazione appaltante. Contestualmente il concorrente produce i documenti richiesti per l’avvalimento. </w:t>
      </w:r>
    </w:p>
    <w:p>
      <w:pPr>
        <w:pStyle w:val="Normal"/>
        <w:tabs>
          <w:tab w:val="clear" w:pos="708"/>
          <w:tab w:val="left" w:pos="0" w:leader="none"/>
        </w:tabs>
        <w:spacing w:before="60" w:after="60"/>
        <w:rPr>
          <w:rFonts w:ascii="Titillium" w:hAnsi="Titillium" w:cs="Calibri"/>
          <w:sz w:val="18"/>
          <w:szCs w:val="18"/>
        </w:rPr>
      </w:pPr>
      <w:r>
        <w:rPr>
          <w:rFonts w:cs="Calibri" w:ascii="Titillium" w:hAnsi="Titillium"/>
          <w:sz w:val="18"/>
          <w:szCs w:val="18"/>
        </w:rPr>
        <w:t>Nel caso in cui l’impresa ausiliaria si sia resa responsabile di una falsa dichiarazione sul possesso dei requisiti, la stazione appaltante procede a segnalare all’Autorità nazionale anticorruzione il comportamento tenuto dall’impresa ausiliaria per consentire le valutazioni di cui all’articolo 96, comma 15, del Codice. L’operatore economico può indicare un’altra impresa ausiliaria nel termine di dieci giorni, pena l’esclusione dalla gara. La sostituzione può essere effettuata soltanto nel caso in cui non conduca a una modifica sostanziale dell’offerta. Il mancato rispetto del termine assegnato per la sostituzione comporta l’esclusione del concorrente.</w:t>
      </w:r>
    </w:p>
    <w:p>
      <w:pPr>
        <w:pStyle w:val="Normal"/>
        <w:tabs>
          <w:tab w:val="clear" w:pos="708"/>
          <w:tab w:val="left" w:pos="0" w:leader="none"/>
        </w:tabs>
        <w:spacing w:before="60" w:after="60"/>
        <w:rPr/>
      </w:pPr>
      <w:r>
        <w:rPr/>
      </w:r>
    </w:p>
    <w:p>
      <w:pPr>
        <w:pStyle w:val="Heading2"/>
        <w:numPr>
          <w:ilvl w:val="0"/>
          <w:numId w:val="3"/>
        </w:numPr>
        <w:rPr/>
      </w:pPr>
      <w:bookmarkStart w:id="1597" w:name="_Toc207275739"/>
      <w:bookmarkStart w:id="1598" w:name="_Toc406754176"/>
      <w:bookmarkStart w:id="1599" w:name="_Toc416423361"/>
      <w:bookmarkStart w:id="1600" w:name="_Toc354038180"/>
      <w:bookmarkStart w:id="1601" w:name="_Toc380501869"/>
      <w:bookmarkStart w:id="1602" w:name="_Toc391035982"/>
      <w:bookmarkStart w:id="1603" w:name="_Toc391036055"/>
      <w:bookmarkStart w:id="1604" w:name="_Toc392577496"/>
      <w:bookmarkStart w:id="1605" w:name="_Toc393110563"/>
      <w:bookmarkStart w:id="1606" w:name="_Toc393112127"/>
      <w:bookmarkStart w:id="1607" w:name="_Toc393187844"/>
      <w:bookmarkStart w:id="1608" w:name="_Toc393272600"/>
      <w:bookmarkStart w:id="1609" w:name="_Toc393272658"/>
      <w:bookmarkStart w:id="1610" w:name="_Toc393283174"/>
      <w:bookmarkStart w:id="1611" w:name="_Toc393700833"/>
      <w:bookmarkStart w:id="1612" w:name="_Toc393706906"/>
      <w:bookmarkStart w:id="1613" w:name="_Toc397346821"/>
      <w:bookmarkStart w:id="1614" w:name="_Toc397422862"/>
      <w:bookmarkStart w:id="1615" w:name="_Toc403471269"/>
      <w:bookmarkStart w:id="1616" w:name="_Toc406058375"/>
      <w:r>
        <w:rPr/>
        <w:t>SUBAPPALTO</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pPr>
        <w:pStyle w:val="Normal"/>
        <w:spacing w:before="60" w:after="60"/>
        <w:rPr/>
      </w:pPr>
      <w:r>
        <w:rPr>
          <w:rFonts w:cs="Calibri" w:ascii="Titillium" w:hAnsi="Titillium"/>
          <w:sz w:val="18"/>
          <w:szCs w:val="18"/>
        </w:rPr>
        <w:t xml:space="preserve">Il concorrente indica le prestazioni che intende subappaltare o concedere in cottimo. In caso di mancata indicazione il subappalto è vietato. </w:t>
      </w:r>
    </w:p>
    <w:p>
      <w:pPr>
        <w:pStyle w:val="Normal"/>
        <w:spacing w:before="60" w:after="60"/>
        <w:rPr>
          <w:rFonts w:ascii="Titillium" w:hAnsi="Titillium" w:cs="Calibri"/>
          <w:sz w:val="18"/>
          <w:szCs w:val="18"/>
        </w:rPr>
      </w:pPr>
      <w:r>
        <w:rPr>
          <w:rFonts w:cs="Calibri" w:ascii="Titillium" w:hAnsi="Titillium"/>
          <w:sz w:val="18"/>
          <w:szCs w:val="18"/>
        </w:rPr>
        <w:t>Non può essere affidata in subappalto l’integrale esecuzione delle prestazioni oggetto del contratto nonché la prevalente esecuzione delle medesime.</w:t>
      </w:r>
    </w:p>
    <w:p>
      <w:pPr>
        <w:pStyle w:val="Normal"/>
        <w:rPr>
          <w:rFonts w:ascii="Titillium" w:hAnsi="Titillium" w:cs="Calibri"/>
          <w:sz w:val="18"/>
          <w:szCs w:val="18"/>
        </w:rPr>
      </w:pPr>
      <w:r>
        <w:rPr>
          <w:rFonts w:cs="Calibri" w:ascii="Titillium" w:hAnsi="Titillium"/>
          <w:sz w:val="18"/>
          <w:szCs w:val="18"/>
        </w:rPr>
        <w:t>L’aggiudicatario e il subappaltatore sono responsabili in solido nei confronti della stazione appaltante dell’esecuzione delle prestazioni oggetto del contratto di subappalto.</w:t>
      </w:r>
    </w:p>
    <w:p>
      <w:pPr>
        <w:pStyle w:val="Normal"/>
        <w:rPr>
          <w:rFonts w:ascii="Titillium" w:hAnsi="Titillium" w:cs="Calibri"/>
          <w:sz w:val="18"/>
          <w:szCs w:val="18"/>
        </w:rPr>
      </w:pPr>
      <w:r>
        <w:rPr>
          <w:rFonts w:cs="Calibri" w:ascii="Titillium" w:hAnsi="Titillium"/>
          <w:sz w:val="18"/>
          <w:szCs w:val="18"/>
        </w:rPr>
      </w:r>
    </w:p>
    <w:p>
      <w:pPr>
        <w:pStyle w:val="Heading2"/>
        <w:numPr>
          <w:ilvl w:val="0"/>
          <w:numId w:val="3"/>
        </w:numPr>
        <w:rPr>
          <w:rFonts w:cs="Calibri"/>
        </w:rPr>
      </w:pPr>
      <w:bookmarkStart w:id="1617" w:name="_Toc207275740"/>
      <w:bookmarkStart w:id="1618" w:name="_Ref132050689"/>
      <w:r>
        <w:rPr/>
        <w:t>REQUISITI DI PARTECIPAZIONE E/O CONDIZIONI DI ESECUZIONE</w:t>
      </w:r>
      <w:bookmarkEnd w:id="1617"/>
      <w:bookmarkEnd w:id="1618"/>
      <w:r>
        <w:rPr/>
        <w:t xml:space="preserve"> </w:t>
      </w:r>
    </w:p>
    <w:p>
      <w:pPr>
        <w:pStyle w:val="Normal"/>
        <w:spacing w:before="60" w:after="60"/>
        <w:rPr>
          <w:rFonts w:ascii="Titillium" w:hAnsi="Titillium" w:cs="Calibri"/>
          <w:sz w:val="18"/>
          <w:szCs w:val="18"/>
        </w:rPr>
      </w:pPr>
      <w:bookmarkStart w:id="1619" w:name="_Toc483571640"/>
      <w:bookmarkStart w:id="1620" w:name="_Toc483907018"/>
      <w:bookmarkStart w:id="1621" w:name="_Toc482641321"/>
      <w:bookmarkStart w:id="1622" w:name="_Toc482712767"/>
      <w:bookmarkStart w:id="1623" w:name="_Toc482959555"/>
      <w:bookmarkStart w:id="1624" w:name="_Toc482959665"/>
      <w:bookmarkStart w:id="1625" w:name="_Toc482959775"/>
      <w:bookmarkStart w:id="1626" w:name="_Toc482978894"/>
      <w:bookmarkStart w:id="1627" w:name="_Toc482979003"/>
      <w:bookmarkStart w:id="1628" w:name="_Toc482979111"/>
      <w:bookmarkStart w:id="1629" w:name="_Toc482979222"/>
      <w:bookmarkStart w:id="1630" w:name="_Toc482979331"/>
      <w:bookmarkStart w:id="1631" w:name="_Toc482979440"/>
      <w:bookmarkStart w:id="1632" w:name="_Toc482979548"/>
      <w:bookmarkStart w:id="1633" w:name="_Toc482979646"/>
      <w:bookmarkStart w:id="1634" w:name="_Toc482979744"/>
      <w:bookmarkStart w:id="1635" w:name="_Toc483233704"/>
      <w:bookmarkStart w:id="1636" w:name="_Toc483302431"/>
      <w:bookmarkStart w:id="1637" w:name="_Toc483316052"/>
      <w:bookmarkStart w:id="1638" w:name="_Toc483316257"/>
      <w:bookmarkStart w:id="1639" w:name="_Toc483316389"/>
      <w:bookmarkStart w:id="1640" w:name="_Toc483316520"/>
      <w:bookmarkStart w:id="1641" w:name="_Toc483325813"/>
      <w:bookmarkStart w:id="1642" w:name="_Toc483401291"/>
      <w:bookmarkStart w:id="1643" w:name="_Toc483474087"/>
      <w:bookmarkStart w:id="1644" w:name="_Toc4835715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r>
        <w:rPr>
          <w:rFonts w:ascii="Titillium" w:hAnsi="Titillium"/>
          <w:sz w:val="18"/>
          <w:szCs w:val="18"/>
        </w:rPr>
        <w:t>L</w:t>
      </w:r>
      <w:r>
        <w:rPr>
          <w:rFonts w:cs="Calibri" w:ascii="Titillium" w:hAnsi="Titillium"/>
          <w:sz w:val="18"/>
          <w:szCs w:val="18"/>
        </w:rPr>
        <w:t>’aggiudicatario è tenuto a garantire l’applicazione del contratto collettivo nazionale e territoriale di cui al paragrafo 3. In alternativa, l’aggiudicatario è tenuto a garantire l’applicazione di un altro contratto che garantisca le stesse tutele economiche e normative per i propri lavoratori e per quelli in subappalto</w:t>
      </w:r>
      <w:r>
        <w:rPr>
          <w:rFonts w:cs="Calibri" w:ascii="Titillium" w:hAnsi="Titillium"/>
          <w:b/>
          <w:sz w:val="18"/>
          <w:szCs w:val="18"/>
        </w:rPr>
        <w:t>.</w:t>
      </w:r>
    </w:p>
    <w:p>
      <w:pPr>
        <w:pStyle w:val="Normal"/>
        <w:spacing w:before="60" w:after="60"/>
        <w:rPr>
          <w:rFonts w:ascii="Titillium" w:hAnsi="Titillium" w:cs="Calibri"/>
          <w:b/>
          <w:sz w:val="18"/>
          <w:szCs w:val="18"/>
        </w:rPr>
      </w:pPr>
      <w:r>
        <w:rPr>
          <w:rFonts w:cs="Calibri" w:ascii="Titillium" w:hAnsi="Titillium"/>
          <w:b/>
          <w:sz w:val="18"/>
          <w:szCs w:val="18"/>
        </w:rPr>
      </w:r>
    </w:p>
    <w:p>
      <w:pPr>
        <w:pStyle w:val="Normal"/>
        <w:spacing w:before="0" w:after="120"/>
        <w:rPr>
          <w:rFonts w:ascii="Titillium" w:hAnsi="Titillium" w:cs="Arial"/>
          <w:b/>
          <w:bCs/>
          <w:i/>
          <w:sz w:val="18"/>
          <w:szCs w:val="18"/>
        </w:rPr>
      </w:pPr>
      <w:r>
        <w:rPr>
          <w:rFonts w:cs="Calibri" w:ascii="Titillium" w:hAnsi="Titillium"/>
          <w:sz w:val="18"/>
          <w:szCs w:val="18"/>
        </w:rPr>
        <w:t xml:space="preserve">Il concorrente si impegna, </w:t>
      </w:r>
      <w:r>
        <w:rPr>
          <w:rFonts w:cs="Arial" w:ascii="Titillium" w:hAnsi="Titillium"/>
          <w:sz w:val="18"/>
          <w:szCs w:val="18"/>
        </w:rPr>
        <w:t>in caso di aggiudicazione del contratto, ad assicurare:</w:t>
      </w:r>
    </w:p>
    <w:p>
      <w:pPr>
        <w:pStyle w:val="ListParagraph"/>
        <w:widowControl w:val="false"/>
        <w:numPr>
          <w:ilvl w:val="0"/>
          <w:numId w:val="24"/>
        </w:numPr>
        <w:spacing w:before="0" w:after="0"/>
        <w:ind w:hanging="426" w:left="851"/>
        <w:contextualSpacing w:val="false"/>
        <w:rPr>
          <w:rFonts w:ascii="Titillium" w:hAnsi="Titillium" w:cs="Arial"/>
          <w:sz w:val="18"/>
          <w:szCs w:val="18"/>
        </w:rPr>
      </w:pPr>
      <w:r>
        <w:rPr>
          <w:rFonts w:cs="Arial" w:ascii="Titillium" w:hAnsi="Titillium"/>
          <w:sz w:val="18"/>
          <w:szCs w:val="18"/>
        </w:rPr>
        <w:t>una quota pari almeno al 30 per cento delle assunzioni necessarie di occupazione giovanile</w:t>
      </w:r>
    </w:p>
    <w:p>
      <w:pPr>
        <w:pStyle w:val="ListParagraph"/>
        <w:widowControl w:val="false"/>
        <w:numPr>
          <w:ilvl w:val="0"/>
          <w:numId w:val="24"/>
        </w:numPr>
        <w:spacing w:before="0" w:after="0"/>
        <w:ind w:hanging="426" w:left="851"/>
        <w:contextualSpacing w:val="false"/>
        <w:rPr>
          <w:rFonts w:ascii="Titillium" w:hAnsi="Titillium" w:cs="Arial"/>
          <w:sz w:val="18"/>
          <w:szCs w:val="18"/>
        </w:rPr>
      </w:pPr>
      <w:r>
        <w:rPr>
          <w:rFonts w:cs="Arial" w:ascii="Titillium" w:hAnsi="Titillium"/>
          <w:sz w:val="18"/>
          <w:szCs w:val="18"/>
        </w:rPr>
        <w:t>una quota pari almeno al 30 per cento delle assunzioni necessarie di occupazione femminile</w:t>
      </w:r>
    </w:p>
    <w:p>
      <w:pPr>
        <w:pStyle w:val="Normal"/>
        <w:widowControl w:val="false"/>
        <w:rPr>
          <w:rFonts w:ascii="Titillium" w:hAnsi="Titillium" w:cs="Arial"/>
          <w:i/>
          <w:iCs/>
          <w:sz w:val="18"/>
          <w:szCs w:val="18"/>
        </w:rPr>
      </w:pPr>
      <w:r>
        <w:rPr>
          <w:rFonts w:cs="Arial" w:ascii="Titillium" w:hAnsi="Titillium"/>
          <w:sz w:val="18"/>
          <w:szCs w:val="18"/>
        </w:rPr>
        <w:t>delle assunzioni necessarie per l'esecuzione del contratto o per la realizzazione di attività ad esso connesse o strumentali.</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tillium" w:hAnsi="Titillium" w:cs="Calibri"/>
          <w:sz w:val="18"/>
          <w:szCs w:val="18"/>
        </w:rPr>
      </w:pPr>
      <w:r>
        <w:rPr>
          <w:rFonts w:cs="Courier New" w:ascii="Titillium" w:hAnsi="Titillium"/>
          <w:sz w:val="18"/>
          <w:szCs w:val="18"/>
        </w:rPr>
        <w:t>Gli operatori economici che occupano un numero pari o superiore a quindici dipendenti e non superiore a cinquanta, non tenuti alla redazione del rapporto sulla situazione del personale, ai sensi dell'articolo 46 del decreto legislativo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r>
        <w:rPr>
          <w:rFonts w:cs="Calibri" w:ascii="Titillium" w:hAnsi="Titillium"/>
          <w:sz w:val="18"/>
          <w:szCs w:val="18"/>
        </w:rPr>
        <w:t>.</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tillium" w:hAnsi="Titillium" w:cs="Calibri"/>
          <w:sz w:val="18"/>
          <w:szCs w:val="18"/>
        </w:rPr>
      </w:pPr>
      <w:r>
        <w:rPr>
          <w:rFonts w:cs="Courier New" w:ascii="Titillium" w:hAnsi="Titillium"/>
          <w:sz w:val="18"/>
          <w:szCs w:val="18"/>
        </w:rPr>
        <w:t>Gli operatori economici che occupano un numero di dipendenti pari o superiore a quindici 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pPr>
        <w:pStyle w:val="Normal"/>
        <w:rPr>
          <w:rFonts w:ascii="Titillium" w:hAnsi="Titillium"/>
          <w:sz w:val="18"/>
          <w:szCs w:val="18"/>
        </w:rPr>
      </w:pPr>
      <w:r>
        <w:rPr>
          <w:rFonts w:ascii="Titillium" w:hAnsi="Titillium"/>
          <w:sz w:val="18"/>
          <w:szCs w:val="18"/>
        </w:rPr>
      </w:r>
    </w:p>
    <w:p>
      <w:pPr>
        <w:pStyle w:val="Heading2"/>
        <w:numPr>
          <w:ilvl w:val="0"/>
          <w:numId w:val="3"/>
        </w:numPr>
        <w:rPr/>
      </w:pPr>
      <w:bookmarkStart w:id="1645" w:name="_Ref531346843"/>
      <w:bookmarkStart w:id="1646" w:name="_Ref531346857"/>
      <w:bookmarkStart w:id="1647" w:name="_Ref531264739"/>
      <w:bookmarkStart w:id="1648" w:name="_Toc207275742"/>
      <w:r>
        <w:rPr/>
        <w:t>GARANZIA PROVVISORIA</w:t>
      </w:r>
      <w:bookmarkEnd w:id="1645"/>
      <w:bookmarkEnd w:id="1646"/>
      <w:bookmarkEnd w:id="1647"/>
      <w:bookmarkEnd w:id="1648"/>
    </w:p>
    <w:p>
      <w:pPr>
        <w:pStyle w:val="Normal"/>
        <w:spacing w:before="60" w:after="60"/>
        <w:rPr>
          <w:rFonts w:ascii="Titillium" w:hAnsi="Titillium" w:cs="Calibri"/>
          <w:sz w:val="18"/>
          <w:szCs w:val="18"/>
        </w:rPr>
      </w:pPr>
      <w:r>
        <w:rPr>
          <w:rFonts w:cs="Calibri" w:ascii="Titillium" w:hAnsi="Titillium"/>
          <w:sz w:val="18"/>
          <w:szCs w:val="18"/>
        </w:rPr>
        <w:t xml:space="preserve">L’offerta </w:t>
      </w:r>
      <w:r>
        <w:rPr>
          <w:rFonts w:cs="Calibri" w:ascii="Titillium" w:hAnsi="Titillium"/>
          <w:i/>
          <w:sz w:val="18"/>
          <w:szCs w:val="18"/>
        </w:rPr>
        <w:t xml:space="preserve">è </w:t>
      </w:r>
      <w:r>
        <w:rPr>
          <w:rFonts w:cs="Calibri" w:ascii="Titillium" w:hAnsi="Titillium"/>
          <w:sz w:val="18"/>
          <w:szCs w:val="18"/>
        </w:rPr>
        <w:t>corredata, a pena di esclusione,</w:t>
      </w:r>
      <w:r>
        <w:rPr>
          <w:rFonts w:cs="Calibri" w:ascii="Titillium" w:hAnsi="Titillium"/>
          <w:b/>
          <w:sz w:val="18"/>
          <w:szCs w:val="18"/>
        </w:rPr>
        <w:t xml:space="preserve"> </w:t>
      </w:r>
      <w:r>
        <w:rPr>
          <w:rFonts w:cs="Calibri" w:ascii="Titillium" w:hAnsi="Titillium"/>
          <w:sz w:val="18"/>
          <w:szCs w:val="18"/>
        </w:rPr>
        <w:t xml:space="preserve">da una garanzia provvisoria pari al </w:t>
      </w:r>
      <w:r>
        <w:rPr>
          <w:rFonts w:cs="Calibri" w:ascii="Titillium" w:hAnsi="Titillium"/>
          <w:iCs/>
          <w:sz w:val="18"/>
          <w:szCs w:val="18"/>
        </w:rPr>
        <w:t>2% del valore complessivo dell’appalto ovvero altra percentuale ai sensi dell’articolo 106, comma 1 del Codice</w:t>
      </w:r>
      <w:r>
        <w:rPr>
          <w:rFonts w:cs="Calibri" w:ascii="Titillium" w:hAnsi="Titillium"/>
          <w:i/>
          <w:sz w:val="18"/>
          <w:szCs w:val="18"/>
        </w:rPr>
        <w:t xml:space="preserve"> </w:t>
      </w:r>
      <w:r>
        <w:rPr>
          <w:rFonts w:cs="Calibri" w:ascii="Titillium" w:hAnsi="Titillium"/>
          <w:sz w:val="18"/>
          <w:szCs w:val="18"/>
        </w:rPr>
        <w:t xml:space="preserve">e precisamente di importo pari ad </w:t>
      </w:r>
      <w:r>
        <w:rPr>
          <w:rFonts w:cs="Calibri" w:ascii="Titillium" w:hAnsi="Titillium"/>
          <w:b/>
          <w:bCs/>
          <w:sz w:val="18"/>
          <w:szCs w:val="18"/>
          <w:u w:val="single"/>
          <w:shd w:fill="FFFFFF" w:val="clear"/>
        </w:rPr>
        <w:t>€ 13.456,40</w:t>
      </w:r>
      <w:r>
        <w:rPr>
          <w:rFonts w:cs="Calibri" w:ascii="Titillium" w:hAnsi="Titillium"/>
          <w:sz w:val="18"/>
          <w:szCs w:val="18"/>
        </w:rPr>
        <w:t>, costituita in data certa anteriore al termine di presentazione delle offerte, resa a favore della presente stazione appaltante e sottoscritta da un soggetto legittimato a rilasciare la garanzia e ad impegnare il concorrente.  Si applicano le riduzioni di cui all’articolo 106, comma 8 del Codice.</w:t>
      </w:r>
    </w:p>
    <w:p>
      <w:pPr>
        <w:pStyle w:val="Normal"/>
        <w:spacing w:before="120" w:after="60"/>
        <w:rPr/>
      </w:pPr>
      <w:r>
        <w:rPr>
          <w:rFonts w:cs="Calibri" w:ascii="Titillium" w:hAnsi="Titillium"/>
          <w:sz w:val="18"/>
          <w:szCs w:val="18"/>
        </w:rPr>
        <w:t>La garanzia provvisoria è costituita, a scelta del concorrente sotto forma di cauzione o di fideiussione.</w:t>
      </w:r>
    </w:p>
    <w:p>
      <w:pPr>
        <w:pStyle w:val="Normal"/>
        <w:spacing w:before="60" w:after="60"/>
        <w:rPr>
          <w:rFonts w:ascii="Titillium" w:hAnsi="Titillium" w:cs="Calibri"/>
          <w:sz w:val="18"/>
          <w:szCs w:val="18"/>
        </w:rPr>
      </w:pPr>
      <w:r>
        <w:rPr>
          <w:rFonts w:cs="Calibri" w:ascii="Titillium" w:hAnsi="Titillium"/>
          <w:sz w:val="18"/>
          <w:szCs w:val="18"/>
        </w:rPr>
        <w:t xml:space="preserve">La cauzione è costituita mediante accredito, con bonifico o con altri strumenti e canali di pagamento elettronici, presso il conto il Tesoriere dell’Azienda Unità Sanitaria Locale di Bologna – Intesa San Paolo spa: codice IBAN IT96D0306902520100000046027. </w:t>
      </w:r>
    </w:p>
    <w:p>
      <w:pPr>
        <w:pStyle w:val="Normal"/>
        <w:spacing w:before="60" w:after="60"/>
        <w:rPr>
          <w:rFonts w:ascii="Titillium" w:hAnsi="Titillium" w:cs="Calibri"/>
          <w:sz w:val="18"/>
          <w:szCs w:val="18"/>
        </w:rPr>
      </w:pPr>
      <w:r>
        <w:rPr>
          <w:rFonts w:cs="Calibri" w:ascii="Titillium" w:hAnsi="Titillium"/>
          <w:sz w:val="18"/>
          <w:szCs w:val="18"/>
        </w:rPr>
        <w:t xml:space="preserve">Per depositi cauzionali il codice Ente assegnato all’Azienda da parte del Tesoriere è il 1040039 con sottoconto IT29S0306902520100000300028 collegato al codice IBAN indicato. </w:t>
      </w:r>
    </w:p>
    <w:p>
      <w:pPr>
        <w:pStyle w:val="Normal"/>
        <w:spacing w:before="60" w:after="60"/>
        <w:rPr>
          <w:rFonts w:ascii="Titillium" w:hAnsi="Titillium" w:cs="Calibri"/>
          <w:sz w:val="18"/>
          <w:szCs w:val="18"/>
        </w:rPr>
      </w:pPr>
      <w:r>
        <w:rPr>
          <w:rFonts w:cs="Calibri" w:ascii="Titillium" w:hAnsi="Titillium"/>
          <w:sz w:val="18"/>
          <w:szCs w:val="18"/>
        </w:rPr>
        <w:t>Per pagamenti provenienti dall’estero, Codice BIC: BCITITMM.</w:t>
      </w:r>
    </w:p>
    <w:p>
      <w:pPr>
        <w:pStyle w:val="Normal"/>
        <w:spacing w:before="60" w:after="60"/>
        <w:rPr>
          <w:rFonts w:ascii="Titillium" w:hAnsi="Titillium" w:cs="Calibri"/>
          <w:sz w:val="18"/>
          <w:szCs w:val="24"/>
        </w:rPr>
      </w:pPr>
      <w:r>
        <w:rPr>
          <w:rFonts w:cs="Calibri" w:ascii="Titillium" w:hAnsi="Titillium"/>
          <w:sz w:val="18"/>
          <w:szCs w:val="24"/>
        </w:rPr>
        <w:t>La fideiussione può essere rilasciata:</w:t>
      </w:r>
    </w:p>
    <w:p>
      <w:pPr>
        <w:pStyle w:val="ListParagraph"/>
        <w:numPr>
          <w:ilvl w:val="1"/>
          <w:numId w:val="13"/>
        </w:numPr>
        <w:spacing w:before="60" w:after="60"/>
        <w:ind w:hanging="360" w:left="426"/>
        <w:contextualSpacing w:val="false"/>
        <w:rPr/>
      </w:pPr>
      <w:r>
        <w:rPr>
          <w:rFonts w:cs="Calibri" w:ascii="Titillium" w:hAnsi="Titillium"/>
          <w:sz w:val="18"/>
          <w:szCs w:val="24"/>
        </w:rPr>
        <w:t>da imprese bancarie o assicurative che rispondono ai requisiti di solvibilità previsti dalle leggi che ne disciplinano le rispettive attività;</w:t>
      </w:r>
    </w:p>
    <w:p>
      <w:pPr>
        <w:pStyle w:val="ListParagraph"/>
        <w:numPr>
          <w:ilvl w:val="1"/>
          <w:numId w:val="13"/>
        </w:numPr>
        <w:spacing w:before="60" w:after="60"/>
        <w:ind w:hanging="360" w:left="426"/>
        <w:contextualSpacing w:val="false"/>
        <w:rPr/>
      </w:pPr>
      <w:r>
        <w:rPr>
          <w:rFonts w:cs="Calibri" w:ascii="Titillium" w:hAnsi="Titillium"/>
          <w:sz w:val="18"/>
          <w:szCs w:val="24"/>
        </w:rPr>
        <w:t>da un intermediario finanziario iscritto nell'albo di cui all'</w:t>
      </w:r>
      <w:r>
        <w:fldChar w:fldCharType="begin"/>
      </w:r>
      <w:r>
        <w:rPr>
          <w:rStyle w:val="Style"/>
          <w:rFonts w:cs="Calibri" w:ascii="Titillium" w:hAnsi="Titillium"/>
          <w:sz w:val="18"/>
          <w:szCs w:val="24"/>
        </w:rPr>
        <w:instrText xml:space="preserve"> HYPERLINK "https://www.bosettiegatti.eu/info/norme/statali/1993_0385.htm" \l "107"</w:instrText>
      </w:r>
      <w:r>
        <w:rPr>
          <w:rStyle w:val="Style"/>
          <w:rFonts w:cs="Calibri" w:ascii="Titillium" w:hAnsi="Titillium"/>
          <w:sz w:val="18"/>
          <w:szCs w:val="24"/>
        </w:rPr>
        <w:fldChar w:fldCharType="separate"/>
      </w:r>
      <w:r>
        <w:rPr>
          <w:rStyle w:val="Style"/>
          <w:rFonts w:cs="Calibri" w:ascii="Titillium" w:hAnsi="Titillium"/>
          <w:sz w:val="18"/>
          <w:szCs w:val="24"/>
        </w:rPr>
        <w:t>articolo 106 del decreto legislativo 1 settembre 1993, n. 385</w:t>
      </w:r>
      <w:r>
        <w:rPr>
          <w:rStyle w:val="Style"/>
          <w:rFonts w:cs="Calibri" w:ascii="Titillium" w:hAnsi="Titillium"/>
          <w:sz w:val="18"/>
          <w:szCs w:val="24"/>
        </w:rPr>
        <w:fldChar w:fldCharType="end"/>
      </w:r>
      <w:r>
        <w:rPr>
          <w:rFonts w:ascii="Titillium" w:hAnsi="Titillium"/>
          <w:sz w:val="18"/>
          <w:szCs w:val="18"/>
        </w:rPr>
        <w:t xml:space="preserve">, che </w:t>
      </w:r>
      <w:r>
        <w:rPr>
          <w:rFonts w:cs="Calibri" w:ascii="Titillium" w:hAnsi="Titillium"/>
          <w:sz w:val="18"/>
          <w:szCs w:val="18"/>
        </w:rPr>
        <w:t>svolge</w:t>
      </w:r>
      <w:r>
        <w:rPr>
          <w:rFonts w:cs="Calibri" w:ascii="Titillium" w:hAnsi="Titillium"/>
          <w:sz w:val="18"/>
          <w:szCs w:val="24"/>
        </w:rPr>
        <w:t xml:space="preserve"> in via esclusiva o prevalente attività di rilascio di garanzie, che è sottoposto a revisione contabile da parte di una società di revisione iscritta nell'albo previsto dall'articolo 161 del decreto legislativo 24 febbraio 1998, n. 58; e che abbia i requisiti minimi di solvibilità richiesti dalla vigente normativa bancaria assicurativa.</w:t>
      </w:r>
    </w:p>
    <w:p>
      <w:pPr>
        <w:pStyle w:val="Normal"/>
        <w:spacing w:before="60" w:after="60"/>
        <w:rPr>
          <w:rFonts w:ascii="Titillium" w:hAnsi="Titillium" w:cs="Calibri"/>
          <w:sz w:val="18"/>
          <w:szCs w:val="24"/>
        </w:rPr>
      </w:pPr>
      <w:r>
        <w:rPr>
          <w:rFonts w:cs="Calibri" w:ascii="Titillium" w:hAnsi="Titillium"/>
          <w:sz w:val="18"/>
          <w:szCs w:val="24"/>
        </w:rPr>
      </w:r>
    </w:p>
    <w:p>
      <w:pPr>
        <w:pStyle w:val="Normal"/>
        <w:spacing w:before="60" w:after="60"/>
        <w:rPr>
          <w:rFonts w:ascii="Titillium" w:hAnsi="Titillium" w:cs="Calibri"/>
          <w:sz w:val="18"/>
          <w:szCs w:val="24"/>
        </w:rPr>
      </w:pPr>
      <w:r>
        <w:rPr>
          <w:rFonts w:cs="Calibri" w:ascii="Titillium" w:hAnsi="Titillium"/>
          <w:sz w:val="18"/>
          <w:szCs w:val="24"/>
        </w:rPr>
        <w:t xml:space="preserve">Gli operatori economici, prima di procedere alla sottoscrizione della garanzia, sono tenuti a verificare che il soggetto garante sia in possesso dell’autorizzazione al rilascio di garanzie, seguendo le indicazioni fornite nella Comunicazione congiunta della Banca D’Italia, dell’Istituto per la vigilanza sulle assicurazioni e dell’Autorità Nazionale Anticorruzione pubblicata il 18 luglio 2025 e consultabile al seguente link: </w:t>
      </w:r>
      <w:hyperlink r:id="rId3">
        <w:r>
          <w:rPr>
            <w:rStyle w:val="Hyperlink"/>
            <w:rFonts w:cs="Calibri" w:ascii="Titillium" w:hAnsi="Titillium"/>
            <w:sz w:val="18"/>
            <w:szCs w:val="24"/>
          </w:rPr>
          <w:t>https://www.anticorruzione.it/-/news.garanzie.finanziarie.18.07.2025</w:t>
        </w:r>
      </w:hyperlink>
      <w:r>
        <w:rPr>
          <w:rFonts w:cs="Calibri" w:ascii="Titillium" w:hAnsi="Titillium"/>
          <w:sz w:val="18"/>
          <w:szCs w:val="24"/>
        </w:rPr>
        <w:t xml:space="preserve">. </w:t>
      </w:r>
    </w:p>
    <w:p>
      <w:pPr>
        <w:pStyle w:val="Normal"/>
        <w:spacing w:before="60" w:after="60"/>
        <w:rPr>
          <w:rFonts w:ascii="Titillium" w:hAnsi="Titillium" w:cs="Calibri"/>
          <w:sz w:val="18"/>
          <w:szCs w:val="24"/>
        </w:rPr>
      </w:pPr>
      <w:r>
        <w:rPr>
          <w:rFonts w:cs="Calibri" w:ascii="Titillium" w:hAnsi="Titillium"/>
          <w:sz w:val="18"/>
          <w:szCs w:val="24"/>
        </w:rPr>
        <w:t xml:space="preserve">La garanzia fideiussoria deve essere emessa e firmata digitalmente da un soggetto in possesso dei poteri necessari per impegnare il garante. </w:t>
      </w:r>
    </w:p>
    <w:p>
      <w:pPr>
        <w:pStyle w:val="Normal"/>
        <w:spacing w:before="60" w:after="60"/>
        <w:ind w:left="66"/>
        <w:rPr>
          <w:rFonts w:ascii="Titillium" w:hAnsi="Titillium" w:cs="Calibri"/>
          <w:sz w:val="18"/>
          <w:szCs w:val="24"/>
        </w:rPr>
      </w:pPr>
      <w:r>
        <w:rPr>
          <w:rFonts w:cs="Calibri" w:ascii="Titillium" w:hAnsi="Titillium"/>
          <w:sz w:val="18"/>
          <w:szCs w:val="24"/>
        </w:rPr>
        <w:t>L’operatore economico può, alternativamente:</w:t>
      </w:r>
    </w:p>
    <w:p>
      <w:pPr>
        <w:pStyle w:val="ListParagraph"/>
        <w:numPr>
          <w:ilvl w:val="1"/>
          <w:numId w:val="35"/>
        </w:numPr>
        <w:spacing w:before="60" w:after="60"/>
        <w:ind w:hanging="360" w:left="426"/>
        <w:contextualSpacing/>
        <w:rPr>
          <w:rFonts w:ascii="Titillium" w:hAnsi="Titillium" w:cs="Calibri"/>
          <w:sz w:val="18"/>
          <w:szCs w:val="24"/>
        </w:rPr>
      </w:pPr>
      <w:r>
        <w:rPr>
          <w:rFonts w:cs="Calibri" w:ascii="Titillium" w:hAnsi="Titillium"/>
          <w:sz w:val="18"/>
          <w:szCs w:val="24"/>
        </w:rPr>
        <w:t>presentare una garanzia fideiussoria gestita in tutte le fasi mediante ricorso ad una piattaforma, operante con tecnologie basate su registri distribuiti o su registri elettronici, conforme alle caratteristiche stabilite dall’AgID;</w:t>
      </w:r>
    </w:p>
    <w:p>
      <w:pPr>
        <w:pStyle w:val="ListParagraph"/>
        <w:numPr>
          <w:ilvl w:val="1"/>
          <w:numId w:val="35"/>
        </w:numPr>
        <w:spacing w:before="60" w:after="60"/>
        <w:ind w:hanging="360" w:left="426"/>
        <w:contextualSpacing/>
        <w:rPr>
          <w:rFonts w:ascii="Titillium" w:hAnsi="Titillium" w:cs="Calibri"/>
          <w:sz w:val="18"/>
          <w:szCs w:val="24"/>
        </w:rPr>
      </w:pPr>
      <w:r>
        <w:rPr>
          <w:rFonts w:cs="Calibri" w:ascii="Titillium" w:hAnsi="Titillium"/>
          <w:sz w:val="18"/>
          <w:szCs w:val="24"/>
        </w:rPr>
        <w:t xml:space="preserve">presentare una garanzia fideiussoria verificabile telematicamente presso l’emittente; </w:t>
      </w:r>
    </w:p>
    <w:p>
      <w:pPr>
        <w:pStyle w:val="Normal"/>
        <w:spacing w:before="60" w:after="60"/>
        <w:ind w:left="66"/>
        <w:rPr>
          <w:rFonts w:ascii="Titillium" w:hAnsi="Titillium" w:cs="Calibri"/>
          <w:sz w:val="18"/>
          <w:szCs w:val="24"/>
        </w:rPr>
      </w:pPr>
      <w:r>
        <w:rPr>
          <w:rFonts w:cs="Calibri" w:ascii="Titillium" w:hAnsi="Titillium"/>
          <w:sz w:val="18"/>
          <w:szCs w:val="24"/>
        </w:rPr>
        <w:t xml:space="preserve">indicando nella domanda le modalità di verifica messe a disposizione dall’emittente medesimo. </w:t>
      </w:r>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pPr>
      <w:r>
        <w:rPr>
          <w:rFonts w:cs="Calibri" w:ascii="Titillium" w:hAnsi="Titillium"/>
          <w:sz w:val="18"/>
          <w:szCs w:val="18"/>
        </w:rPr>
        <w:t>La fideiussione deve:</w:t>
      </w:r>
    </w:p>
    <w:p>
      <w:pPr>
        <w:pStyle w:val="Normal"/>
        <w:numPr>
          <w:ilvl w:val="2"/>
          <w:numId w:val="20"/>
        </w:numPr>
        <w:spacing w:before="60" w:after="60"/>
        <w:ind w:hanging="284" w:left="284"/>
        <w:rPr>
          <w:rFonts w:ascii="Titillium" w:hAnsi="Titillium" w:cs="Calibri"/>
          <w:sz w:val="18"/>
          <w:szCs w:val="18"/>
        </w:rPr>
      </w:pPr>
      <w:r>
        <w:rPr>
          <w:rFonts w:cs="Calibri" w:ascii="Titillium" w:hAnsi="Titillium"/>
          <w:sz w:val="18"/>
          <w:szCs w:val="18"/>
        </w:rPr>
        <w:t>contenere espressa menzione dell’oggetto del contratto di appalto e del soggetto garantito (stazione appaltante);</w:t>
      </w:r>
    </w:p>
    <w:p>
      <w:pPr>
        <w:pStyle w:val="Normal"/>
        <w:numPr>
          <w:ilvl w:val="2"/>
          <w:numId w:val="20"/>
        </w:numPr>
        <w:spacing w:before="60" w:after="60"/>
        <w:ind w:hanging="284" w:left="284"/>
        <w:rPr>
          <w:rFonts w:ascii="Titillium" w:hAnsi="Titillium" w:cs="Calibri"/>
          <w:sz w:val="18"/>
          <w:szCs w:val="18"/>
        </w:rPr>
      </w:pPr>
      <w:r>
        <w:rPr>
          <w:rFonts w:cs="Calibri" w:ascii="Titillium" w:hAnsi="Titillium"/>
          <w:sz w:val="18"/>
          <w:szCs w:val="18"/>
        </w:rPr>
        <w:t>essere intestata a tutti gli operatori economici del costituito/costituendo raggruppamento temporaneo o consorzio ordinario o GEIE, ovvero a tutte le imprese retiste che partecipano alla gara ovvero, in caso di consorzi di cui all’articolo 65, comma 2 lettere b), c), d) del Codice, al solo consorzio;</w:t>
      </w:r>
    </w:p>
    <w:p>
      <w:pPr>
        <w:pStyle w:val="Normal"/>
        <w:numPr>
          <w:ilvl w:val="2"/>
          <w:numId w:val="20"/>
        </w:numPr>
        <w:spacing w:before="60" w:after="60"/>
        <w:ind w:hanging="284" w:left="284"/>
        <w:rPr>
          <w:rFonts w:ascii="Titillium" w:hAnsi="Titillium" w:cs="Calibri"/>
          <w:sz w:val="18"/>
          <w:szCs w:val="18"/>
        </w:rPr>
      </w:pPr>
      <w:r>
        <w:rPr>
          <w:rFonts w:cs="Calibri" w:ascii="Titillium" w:hAnsi="Titillium"/>
          <w:sz w:val="18"/>
          <w:szCs w:val="18"/>
        </w:rPr>
        <w:t>essere conforme allo schema tipo approvato con decreto del Ministro dello sviluppo economico del 16 settembre 2022 n. 193;</w:t>
      </w:r>
    </w:p>
    <w:p>
      <w:pPr>
        <w:pStyle w:val="Normal"/>
        <w:numPr>
          <w:ilvl w:val="2"/>
          <w:numId w:val="20"/>
        </w:numPr>
        <w:spacing w:before="60" w:after="60"/>
        <w:ind w:hanging="284" w:left="284"/>
        <w:rPr/>
      </w:pPr>
      <w:r>
        <w:rPr>
          <w:rFonts w:cs="Calibri" w:ascii="Titillium" w:hAnsi="Titillium"/>
          <w:sz w:val="18"/>
          <w:szCs w:val="18"/>
        </w:rPr>
        <w:t xml:space="preserve">avere validità per </w:t>
      </w:r>
      <w:r>
        <w:rPr>
          <w:rFonts w:cs="Calibri" w:ascii="Titillium" w:hAnsi="Titillium"/>
          <w:iCs/>
          <w:sz w:val="18"/>
          <w:szCs w:val="18"/>
        </w:rPr>
        <w:t>180</w:t>
      </w:r>
      <w:r>
        <w:rPr>
          <w:rFonts w:cs="Calibri" w:ascii="Titillium" w:hAnsi="Titillium"/>
          <w:i/>
          <w:sz w:val="18"/>
          <w:szCs w:val="18"/>
        </w:rPr>
        <w:t xml:space="preserve"> </w:t>
      </w:r>
      <w:r>
        <w:rPr>
          <w:rFonts w:cs="Calibri" w:ascii="Titillium" w:hAnsi="Titillium"/>
          <w:sz w:val="18"/>
          <w:szCs w:val="18"/>
        </w:rPr>
        <w:t>giorni</w:t>
      </w:r>
      <w:r>
        <w:rPr>
          <w:rFonts w:cs="Calibri" w:ascii="Titillium" w:hAnsi="Titillium"/>
          <w:i/>
          <w:sz w:val="18"/>
          <w:szCs w:val="18"/>
        </w:rPr>
        <w:t xml:space="preserve"> </w:t>
      </w:r>
      <w:r>
        <w:rPr>
          <w:rFonts w:cs="Calibri" w:ascii="Titillium" w:hAnsi="Titillium"/>
          <w:sz w:val="18"/>
          <w:szCs w:val="18"/>
        </w:rPr>
        <w:t xml:space="preserve">dalla data di presentazione dell’offerta; </w:t>
      </w:r>
    </w:p>
    <w:p>
      <w:pPr>
        <w:pStyle w:val="Normal"/>
        <w:numPr>
          <w:ilvl w:val="2"/>
          <w:numId w:val="20"/>
        </w:numPr>
        <w:spacing w:before="60" w:after="60"/>
        <w:ind w:hanging="284" w:left="284"/>
        <w:rPr>
          <w:rFonts w:ascii="Titillium" w:hAnsi="Titillium" w:cs="Calibri"/>
          <w:sz w:val="18"/>
          <w:szCs w:val="18"/>
        </w:rPr>
      </w:pPr>
      <w:r>
        <w:rPr>
          <w:rFonts w:cs="Calibri" w:ascii="Titillium" w:hAnsi="Titillium"/>
          <w:sz w:val="18"/>
          <w:szCs w:val="18"/>
        </w:rPr>
        <w:t xml:space="preserve">prevedere espressamente: </w:t>
      </w:r>
    </w:p>
    <w:p>
      <w:pPr>
        <w:pStyle w:val="Normal"/>
        <w:numPr>
          <w:ilvl w:val="3"/>
          <w:numId w:val="20"/>
        </w:numPr>
        <w:spacing w:before="60" w:after="60"/>
        <w:ind w:hanging="425" w:left="709"/>
        <w:rPr>
          <w:rFonts w:ascii="Titillium" w:hAnsi="Titillium" w:cs="Calibri"/>
          <w:sz w:val="18"/>
          <w:szCs w:val="18"/>
        </w:rPr>
      </w:pPr>
      <w:r>
        <w:rPr>
          <w:rFonts w:cs="Calibri" w:ascii="Titillium" w:hAnsi="Titillium"/>
          <w:sz w:val="18"/>
          <w:szCs w:val="18"/>
        </w:rPr>
        <w:t xml:space="preserve">la rinuncia al beneficio della preventiva escussione del debitore principale di cui all’articolo 1944 del Codice civile; </w:t>
      </w:r>
    </w:p>
    <w:p>
      <w:pPr>
        <w:pStyle w:val="Normal"/>
        <w:numPr>
          <w:ilvl w:val="3"/>
          <w:numId w:val="20"/>
        </w:numPr>
        <w:spacing w:before="60" w:after="60"/>
        <w:ind w:hanging="425" w:left="709"/>
        <w:rPr>
          <w:rFonts w:ascii="Titillium" w:hAnsi="Titillium" w:cs="Calibri"/>
          <w:sz w:val="18"/>
          <w:szCs w:val="18"/>
        </w:rPr>
      </w:pPr>
      <w:r>
        <w:rPr>
          <w:rFonts w:cs="Calibri" w:ascii="Titillium" w:hAnsi="Titillium"/>
          <w:sz w:val="18"/>
          <w:szCs w:val="18"/>
        </w:rPr>
        <w:t xml:space="preserve">la rinuncia ad eccepire la decorrenza dei termini di cui all’articolo 1957, secondo comma, del Codice civile; </w:t>
      </w:r>
    </w:p>
    <w:p>
      <w:pPr>
        <w:pStyle w:val="Normal"/>
        <w:numPr>
          <w:ilvl w:val="3"/>
          <w:numId w:val="20"/>
        </w:numPr>
        <w:spacing w:before="60" w:after="60"/>
        <w:ind w:hanging="425" w:left="709"/>
        <w:rPr/>
      </w:pPr>
      <w:r>
        <w:rPr>
          <w:rFonts w:cs="Calibri" w:ascii="Titillium" w:hAnsi="Titillium"/>
          <w:sz w:val="18"/>
          <w:szCs w:val="18"/>
        </w:rPr>
        <w:t xml:space="preserve">l’operatività della stessa entro quindici giorni a semplice richiesta scritta della stazione appaltante. </w:t>
      </w:r>
    </w:p>
    <w:p>
      <w:pPr>
        <w:pStyle w:val="Normal"/>
        <w:numPr>
          <w:ilvl w:val="0"/>
          <w:numId w:val="21"/>
        </w:numPr>
        <w:spacing w:before="60" w:after="60"/>
        <w:ind w:hanging="284" w:left="284"/>
        <w:rPr/>
      </w:pPr>
      <w:bookmarkStart w:id="1649" w:name="_Ref496519438"/>
      <w:r>
        <w:rPr>
          <w:rFonts w:cs="Calibri" w:ascii="Titillium" w:hAnsi="Titillium"/>
          <w:sz w:val="18"/>
          <w:szCs w:val="18"/>
        </w:rPr>
        <w:t>essere corredata dall’impegno del garante a rinnovare la garanzia ai sensi dell’articolo 106, comma 5 del Codice, su richiesta della stazione appaltante per ulteriori 180 giorni, nel caso in cui al momento della sua scadenza non sia ancora intervenuta l’aggiudicazione</w:t>
      </w:r>
      <w:bookmarkEnd w:id="1649"/>
      <w:r>
        <w:rPr>
          <w:rFonts w:cs="Calibri" w:ascii="Titillium" w:hAnsi="Titillium"/>
          <w:sz w:val="18"/>
          <w:szCs w:val="18"/>
        </w:rPr>
        <w:t>.</w:t>
      </w:r>
    </w:p>
    <w:p>
      <w:pPr>
        <w:pStyle w:val="Normal"/>
        <w:spacing w:before="120" w:after="60"/>
        <w:rPr/>
      </w:pPr>
      <w:r>
        <w:rPr>
          <w:rFonts w:cs="Calibri" w:ascii="Titillium" w:hAnsi="Titillium"/>
          <w:sz w:val="18"/>
          <w:szCs w:val="18"/>
        </w:rPr>
        <w:t xml:space="preserve">In caso di richiesta di estensione della durata e validità dell’offerta e della garanzia fideiussoria, il concorrente </w:t>
      </w:r>
      <w:r>
        <w:rPr>
          <w:rFonts w:cs="Calibri" w:ascii="Titillium" w:hAnsi="Titillium"/>
          <w:color w:themeColor="text1" w:val="000000"/>
          <w:sz w:val="18"/>
          <w:szCs w:val="18"/>
        </w:rPr>
        <w:t xml:space="preserve">potrà produrre </w:t>
      </w:r>
      <w:r>
        <w:rPr>
          <w:rFonts w:cs="Calibri" w:ascii="Titillium" w:hAnsi="Titillium"/>
          <w:sz w:val="18"/>
          <w:szCs w:val="18"/>
        </w:rPr>
        <w:t>nelle medesime forme di cui sopra una nuova garanzia provvisoria del medesimo o di altro garante, in sostituzione della precedente, a condizione che abbia espressa decorrenza dalla data di presentazione dell’offerta.</w:t>
      </w:r>
    </w:p>
    <w:p>
      <w:pPr>
        <w:pStyle w:val="Normal"/>
        <w:spacing w:before="60" w:after="60"/>
        <w:rPr>
          <w:rFonts w:ascii="Titillium" w:hAnsi="Titillium" w:cs="Calibri"/>
          <w:sz w:val="18"/>
          <w:szCs w:val="18"/>
        </w:rPr>
      </w:pPr>
      <w:r>
        <w:rPr>
          <w:rFonts w:cs="Calibri" w:ascii="Titillium" w:hAnsi="Titillium"/>
          <w:sz w:val="18"/>
          <w:szCs w:val="18"/>
        </w:rPr>
        <w:t>Ai sensi dell’articolo 106, comma 8, del Codice l’importo della garanzia è ridotto nei termini di seguito indicati.</w:t>
      </w:r>
    </w:p>
    <w:p>
      <w:pPr>
        <w:pStyle w:val="ListParagraph"/>
        <w:numPr>
          <w:ilvl w:val="1"/>
          <w:numId w:val="30"/>
        </w:numPr>
        <w:spacing w:before="60" w:after="60"/>
        <w:ind w:hanging="360" w:left="284"/>
        <w:contextualSpacing w:val="false"/>
        <w:rPr>
          <w:rFonts w:ascii="Titillium" w:hAnsi="Titillium" w:cs="Calibri"/>
          <w:sz w:val="18"/>
          <w:szCs w:val="18"/>
        </w:rPr>
      </w:pPr>
      <w:r>
        <w:rPr>
          <w:rFonts w:cs="Calibri" w:ascii="Titillium" w:hAnsi="Titillium"/>
          <w:sz w:val="18"/>
          <w:szCs w:val="18"/>
        </w:rPr>
        <w:t>Riduzione del 30% in caso di possesso della certificazione di qualità conforme alle norme europee della serie UNI CEI ISO 9000. In caso di partecipazione in forma associata, la riduzione si ottiene:</w:t>
      </w:r>
    </w:p>
    <w:p>
      <w:pPr>
        <w:pStyle w:val="ListParagraph"/>
        <w:numPr>
          <w:ilvl w:val="1"/>
          <w:numId w:val="22"/>
        </w:numPr>
        <w:spacing w:before="60" w:after="60"/>
        <w:ind w:hanging="284" w:left="567"/>
        <w:contextualSpacing w:val="false"/>
        <w:rPr>
          <w:rFonts w:ascii="Titillium" w:hAnsi="Titillium" w:cs="Calibri"/>
          <w:sz w:val="18"/>
          <w:szCs w:val="18"/>
        </w:rPr>
      </w:pPr>
      <w:r>
        <w:rPr>
          <w:rFonts w:cs="Calibri" w:ascii="Titillium" w:hAnsi="Titillium"/>
          <w:sz w:val="18"/>
          <w:szCs w:val="18"/>
        </w:rPr>
        <w:t>per i soggetti di cui all’articolo 65, comma 2, lettere e), f), g), h) del Codice solo se tutti soggetti i che costituiscono il raggruppamento, consorzio ordinario o GEIE, o tutte le imprese retiste che partecipano alla gara siano in possesso della certificazione;</w:t>
      </w:r>
    </w:p>
    <w:p>
      <w:pPr>
        <w:pStyle w:val="ListParagraph"/>
        <w:numPr>
          <w:ilvl w:val="1"/>
          <w:numId w:val="22"/>
        </w:numPr>
        <w:spacing w:before="60" w:after="60"/>
        <w:ind w:hanging="284" w:left="567"/>
        <w:contextualSpacing w:val="false"/>
        <w:rPr>
          <w:rFonts w:ascii="Titillium" w:hAnsi="Titillium" w:cs="Calibri"/>
          <w:sz w:val="18"/>
          <w:szCs w:val="18"/>
        </w:rPr>
      </w:pPr>
      <w:r>
        <w:rPr>
          <w:rFonts w:cs="Calibri" w:ascii="Titillium" w:hAnsi="Titillium"/>
          <w:sz w:val="18"/>
          <w:szCs w:val="18"/>
        </w:rPr>
        <w:t>per i consorzi di cui all’articolo 65, comma 2, lettere b, c) e d) del Codice se il consorzio o almeno una delle imprese consorziate sia in possesso della certificazione.</w:t>
      </w:r>
    </w:p>
    <w:p>
      <w:pPr>
        <w:pStyle w:val="ListParagraph"/>
        <w:numPr>
          <w:ilvl w:val="1"/>
          <w:numId w:val="30"/>
        </w:numPr>
        <w:spacing w:before="60" w:after="60"/>
        <w:ind w:hanging="360" w:left="284"/>
        <w:contextualSpacing w:val="false"/>
        <w:rPr>
          <w:rFonts w:ascii="Titillium" w:hAnsi="Titillium" w:cs="Calibri"/>
          <w:sz w:val="18"/>
          <w:szCs w:val="18"/>
        </w:rPr>
      </w:pPr>
      <w:r>
        <w:rPr>
          <w:rFonts w:cs="Calibri" w:ascii="Titillium" w:hAnsi="Titillium"/>
          <w:sz w:val="18"/>
          <w:szCs w:val="18"/>
        </w:rPr>
        <w:t>Riduzione del 50% in caso di partecipazione di micro, piccole e medie imprese e di raggruppamenti di operatori economici o consorzi ordinari costituiti esclusivamente da micro, piccole e medie imprese. Tale riduzione non è cumulabile con quella indicata alla lett. a).</w:t>
      </w:r>
    </w:p>
    <w:p>
      <w:pPr>
        <w:pStyle w:val="ListParagraph"/>
        <w:numPr>
          <w:ilvl w:val="1"/>
          <w:numId w:val="30"/>
        </w:numPr>
        <w:spacing w:before="60" w:after="60"/>
        <w:ind w:hanging="360" w:left="284"/>
        <w:contextualSpacing w:val="false"/>
        <w:rPr>
          <w:rFonts w:ascii="Titillium" w:hAnsi="Titillium" w:cs="Calibri"/>
          <w:sz w:val="18"/>
          <w:szCs w:val="18"/>
        </w:rPr>
      </w:pPr>
      <w:r>
        <w:rPr>
          <w:rFonts w:cs="Calibri" w:ascii="Titillium" w:hAnsi="Titillium"/>
          <w:sz w:val="18"/>
          <w:szCs w:val="18"/>
        </w:rPr>
        <w:t>Riduzione del 10% cumulabile con quelle di cui alle precedenti lettere a) e b) in caso di presentazione di garanzie fideiussorie:</w:t>
      </w:r>
    </w:p>
    <w:p>
      <w:pPr>
        <w:pStyle w:val="ListParagraph"/>
        <w:numPr>
          <w:ilvl w:val="0"/>
          <w:numId w:val="31"/>
        </w:numPr>
        <w:spacing w:before="60" w:after="60"/>
        <w:ind w:hanging="283" w:left="567"/>
        <w:contextualSpacing w:val="false"/>
        <w:rPr>
          <w:rFonts w:ascii="Titillium" w:hAnsi="Titillium" w:cs="Calibri"/>
          <w:sz w:val="18"/>
          <w:szCs w:val="18"/>
        </w:rPr>
      </w:pPr>
      <w:r>
        <w:rPr>
          <w:rFonts w:cs="Calibri" w:ascii="Titillium" w:hAnsi="Titillium"/>
          <w:sz w:val="18"/>
          <w:szCs w:val="18"/>
        </w:rPr>
        <w:t>gestite mediante ricorso a piattaforme telematiche operanti con tecnologie basate su registri distribuiti</w:t>
      </w:r>
      <w:r>
        <w:rPr>
          <w:rFonts w:cs="Calibri" w:ascii="Calibri" w:hAnsi="Calibri"/>
          <w:sz w:val="18"/>
          <w:szCs w:val="18"/>
        </w:rPr>
        <w:t>;</w:t>
      </w:r>
    </w:p>
    <w:p>
      <w:pPr>
        <w:pStyle w:val="ListParagraph"/>
        <w:numPr>
          <w:ilvl w:val="0"/>
          <w:numId w:val="31"/>
        </w:numPr>
        <w:spacing w:before="60" w:after="60"/>
        <w:ind w:hanging="283" w:left="567"/>
        <w:contextualSpacing w:val="false"/>
        <w:rPr>
          <w:rFonts w:ascii="Titillium" w:hAnsi="Titillium" w:cs="Calibri"/>
          <w:sz w:val="18"/>
          <w:szCs w:val="18"/>
        </w:rPr>
      </w:pPr>
      <w:r>
        <w:rPr>
          <w:rFonts w:cs="Calibri" w:ascii="Titillium" w:hAnsi="Titillium"/>
          <w:sz w:val="18"/>
          <w:szCs w:val="18"/>
        </w:rPr>
        <w:t>verificabili telematicamente sul sito internet dell'emittente.</w:t>
      </w:r>
    </w:p>
    <w:p>
      <w:pPr>
        <w:pStyle w:val="ListParagraph"/>
        <w:numPr>
          <w:ilvl w:val="1"/>
          <w:numId w:val="30"/>
        </w:numPr>
        <w:spacing w:before="60" w:after="60"/>
        <w:ind w:hanging="360" w:left="284"/>
        <w:contextualSpacing w:val="false"/>
        <w:rPr>
          <w:rFonts w:ascii="Titillium" w:hAnsi="Titillium" w:cs="Calibri"/>
          <w:sz w:val="18"/>
          <w:szCs w:val="18"/>
        </w:rPr>
      </w:pPr>
      <w:r>
        <w:rPr>
          <w:rFonts w:cs="Calibri" w:ascii="Titillium" w:hAnsi="Titillium"/>
          <w:sz w:val="18"/>
          <w:szCs w:val="18"/>
        </w:rPr>
        <w:t>Riduzione del 20 % in caso di possesso di una o più delle certificazioni/marchi tra quelle indicate all’allegato II.13 del codice. Tale riduzione è cumulabile con quelle indicate alle lett. a), b) e c). In caso di partecipazione in forma associata la riduzione si ottiene:</w:t>
      </w:r>
    </w:p>
    <w:p>
      <w:pPr>
        <w:pStyle w:val="ListParagraph"/>
        <w:numPr>
          <w:ilvl w:val="1"/>
          <w:numId w:val="22"/>
        </w:numPr>
        <w:spacing w:before="60" w:after="60"/>
        <w:ind w:hanging="284" w:left="567"/>
        <w:contextualSpacing w:val="false"/>
        <w:rPr>
          <w:rFonts w:ascii="Titillium" w:hAnsi="Titillium" w:cs="Calibri"/>
          <w:sz w:val="18"/>
          <w:szCs w:val="18"/>
        </w:rPr>
      </w:pPr>
      <w:r>
        <w:rPr>
          <w:rFonts w:cs="Calibri" w:ascii="Titillium" w:hAnsi="Titillium"/>
          <w:sz w:val="18"/>
          <w:szCs w:val="18"/>
        </w:rPr>
        <w:t>per i soggetti di cui all’articolo 65, comma 2, lettere e), f), g), h) del Codice se uno dei soggetti che costituiscono il raggruppamento, consorzio ordinario o GEIE, o una delle imprese retiste che partecipano alla gara sia in possesso della certificazione;</w:t>
      </w:r>
    </w:p>
    <w:p>
      <w:pPr>
        <w:pStyle w:val="ListParagraph"/>
        <w:numPr>
          <w:ilvl w:val="1"/>
          <w:numId w:val="22"/>
        </w:numPr>
        <w:spacing w:before="60" w:after="60"/>
        <w:ind w:hanging="284" w:left="567"/>
        <w:contextualSpacing w:val="false"/>
        <w:rPr>
          <w:rFonts w:ascii="Titillium" w:hAnsi="Titillium" w:cs="Calibri"/>
          <w:sz w:val="18"/>
          <w:szCs w:val="18"/>
        </w:rPr>
      </w:pPr>
      <w:r>
        <w:rPr>
          <w:rFonts w:cs="Calibri" w:ascii="Titillium" w:hAnsi="Titillium"/>
          <w:sz w:val="18"/>
          <w:szCs w:val="18"/>
        </w:rPr>
        <w:t xml:space="preserve">per i consorzi di cui all’articolo 65, comma 2, lettere b), c), d) del Codice se il consorzio o una delle consorziate sia in possesso della certificazione. </w:t>
      </w:r>
    </w:p>
    <w:p>
      <w:pPr>
        <w:pStyle w:val="Normal"/>
        <w:spacing w:before="60" w:after="60"/>
        <w:rPr>
          <w:rFonts w:ascii="Titillium" w:hAnsi="Titillium" w:cs="Calibri"/>
          <w:sz w:val="18"/>
          <w:szCs w:val="18"/>
        </w:rPr>
      </w:pPr>
      <w:r>
        <w:rPr>
          <w:rFonts w:cs="Calibri" w:ascii="Titillium" w:hAnsi="Titillium"/>
          <w:sz w:val="18"/>
          <w:szCs w:val="18"/>
        </w:rPr>
        <w:t>Per fruire delle riduzioni di cui all’articolo 106, comma 8 del Codice, il concorrente dichiara nella domanda di partecipazione il possesso delle certificazioni e inserisce copia delle certificazioni possedute qualora non già presenti nel fascicolo virtuale.</w:t>
      </w:r>
    </w:p>
    <w:p>
      <w:pPr>
        <w:pStyle w:val="Normal"/>
        <w:spacing w:before="60" w:after="60"/>
        <w:rPr/>
      </w:pPr>
      <w:r>
        <w:rPr/>
      </w:r>
    </w:p>
    <w:p>
      <w:pPr>
        <w:pStyle w:val="Heading2"/>
        <w:numPr>
          <w:ilvl w:val="0"/>
          <w:numId w:val="3"/>
        </w:numPr>
        <w:rPr/>
      </w:pPr>
      <w:bookmarkStart w:id="1650" w:name="_Toc207275743"/>
      <w:r>
        <w:rPr/>
        <w:t xml:space="preserve">SOPRALLUOGO </w:t>
      </w:r>
      <w:bookmarkEnd w:id="1650"/>
    </w:p>
    <w:p>
      <w:pPr>
        <w:pStyle w:val="Normal"/>
        <w:rPr>
          <w:rFonts w:ascii="Titillium" w:hAnsi="Titillium" w:cs="Calibri"/>
          <w:sz w:val="18"/>
          <w:szCs w:val="18"/>
        </w:rPr>
      </w:pPr>
      <w:bookmarkStart w:id="1651" w:name="_Toc207275744"/>
      <w:r>
        <w:rPr>
          <w:rFonts w:cs="Calibri" w:ascii="Titillium" w:hAnsi="Titillium"/>
          <w:sz w:val="18"/>
          <w:szCs w:val="18"/>
        </w:rPr>
        <w:t>Non previsto.</w:t>
      </w:r>
    </w:p>
    <w:p>
      <w:pPr>
        <w:pStyle w:val="Heading2"/>
        <w:numPr>
          <w:ilvl w:val="0"/>
          <w:numId w:val="3"/>
        </w:numPr>
        <w:rPr/>
      </w:pPr>
      <w:r>
        <w:rPr/>
        <w:t>PAGAMENTO DEL CONTRIBUTO A FAVORE DELL’</w:t>
      </w:r>
      <w:r>
        <w:rPr>
          <w:rFonts w:cs="Calibri"/>
        </w:rPr>
        <w:t>ANAC</w:t>
      </w:r>
      <w:bookmarkStart w:id="1652" w:name="_Toc354038185"/>
      <w:bookmarkStart w:id="1653" w:name="_Toc380501872"/>
      <w:bookmarkStart w:id="1654" w:name="_Toc391035985"/>
      <w:bookmarkStart w:id="1655" w:name="_Toc391036058"/>
      <w:bookmarkStart w:id="1656" w:name="_Toc392577499"/>
      <w:bookmarkStart w:id="1657" w:name="_Toc393110566"/>
      <w:bookmarkStart w:id="1658" w:name="_Toc393112130"/>
      <w:bookmarkStart w:id="1659" w:name="_Toc393187847"/>
      <w:bookmarkStart w:id="1660" w:name="_Toc393272603"/>
      <w:bookmarkStart w:id="1661" w:name="_Toc393272661"/>
      <w:bookmarkStart w:id="1662" w:name="_Toc393283177"/>
      <w:bookmarkStart w:id="1663" w:name="_Toc393700836"/>
      <w:bookmarkStart w:id="1664" w:name="_Toc393706909"/>
      <w:bookmarkStart w:id="1665" w:name="_Toc397346824"/>
      <w:bookmarkStart w:id="1666" w:name="_Toc397422865"/>
      <w:bookmarkStart w:id="1667" w:name="_Toc403471272"/>
      <w:bookmarkStart w:id="1668" w:name="_Toc406058378"/>
      <w:bookmarkStart w:id="1669" w:name="_Toc406754179"/>
      <w:bookmarkStart w:id="1670" w:name="_Toc416423364"/>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p>
    <w:p>
      <w:pPr>
        <w:pStyle w:val="Normal"/>
        <w:spacing w:before="60" w:after="60"/>
        <w:rPr>
          <w:rFonts w:ascii="Titillium" w:hAnsi="Titillium"/>
          <w:iCs/>
          <w:sz w:val="18"/>
          <w:szCs w:val="18"/>
        </w:rPr>
      </w:pPr>
      <w:r>
        <w:rPr>
          <w:rFonts w:cs="Calibri" w:ascii="Titillium" w:hAnsi="Titillium"/>
          <w:sz w:val="18"/>
          <w:szCs w:val="18"/>
        </w:rPr>
        <w:t xml:space="preserve">I concorrenti effettuano il pagamento del contributo previsto dalla legge in favore dell’Autorità Nazionale Anticorruzione per un importo pari a </w:t>
      </w:r>
      <w:r>
        <w:rPr>
          <w:rFonts w:cs="Calibri" w:ascii="Titillium" w:hAnsi="Titillium"/>
          <w:b/>
          <w:bCs/>
          <w:sz w:val="18"/>
          <w:szCs w:val="18"/>
          <w:u w:val="single"/>
        </w:rPr>
        <w:t>€ 77,00</w:t>
      </w:r>
      <w:r>
        <w:rPr>
          <w:rFonts w:cs="Calibri" w:ascii="Titillium" w:hAnsi="Titillium"/>
          <w:sz w:val="18"/>
          <w:szCs w:val="18"/>
        </w:rPr>
        <w:t xml:space="preserve"> secondo le modalità di cui alla delibera ANAC </w:t>
      </w:r>
      <w:r>
        <w:rPr>
          <w:rFonts w:cs="Calibri" w:ascii="Titillium" w:hAnsi="Titillium"/>
          <w:iCs/>
          <w:sz w:val="18"/>
          <w:szCs w:val="18"/>
        </w:rPr>
        <w:t xml:space="preserve">n. 598 del 30 dicembre 2024 </w:t>
      </w:r>
      <w:r>
        <w:rPr>
          <w:rFonts w:ascii="Titillium" w:hAnsi="Titillium"/>
          <w:iCs/>
          <w:sz w:val="18"/>
          <w:szCs w:val="18"/>
        </w:rPr>
        <w:t xml:space="preserve">o successiva delibera pubblicata al seguente </w:t>
      </w:r>
      <w:hyperlink r:id="rId4">
        <w:r>
          <w:rPr>
            <w:rStyle w:val="Hyperlink"/>
            <w:rFonts w:ascii="Titillium" w:hAnsi="Titillium"/>
            <w:iCs/>
            <w:sz w:val="18"/>
            <w:szCs w:val="18"/>
          </w:rPr>
          <w:t>https://www.anticorruzione.it/-/gestione-contributi-gara</w:t>
        </w:r>
      </w:hyperlink>
      <w:r>
        <w:rPr>
          <w:rFonts w:ascii="Titillium" w:hAnsi="Titillium"/>
          <w:iCs/>
          <w:sz w:val="18"/>
          <w:szCs w:val="18"/>
        </w:rPr>
        <w:t xml:space="preserve">. </w:t>
      </w:r>
    </w:p>
    <w:p>
      <w:pPr>
        <w:pStyle w:val="Normal"/>
        <w:spacing w:before="60" w:after="60"/>
        <w:rPr>
          <w:rFonts w:ascii="Titillium" w:hAnsi="Titillium"/>
          <w:iCs/>
          <w:sz w:val="18"/>
          <w:szCs w:val="18"/>
        </w:rPr>
      </w:pPr>
      <w:r>
        <w:rPr>
          <w:rFonts w:ascii="Titillium" w:hAnsi="Titillium"/>
          <w:iCs/>
          <w:sz w:val="18"/>
          <w:szCs w:val="18"/>
        </w:rPr>
        <w:t xml:space="preserve">Il pagamento del contributo è condizione di ammissibilità dell’offerta. </w:t>
      </w:r>
    </w:p>
    <w:p>
      <w:pPr>
        <w:pStyle w:val="Normal"/>
        <w:spacing w:before="60" w:after="60"/>
        <w:rPr>
          <w:rFonts w:ascii="Titillium" w:hAnsi="Titillium"/>
          <w:iCs/>
          <w:sz w:val="18"/>
          <w:szCs w:val="18"/>
        </w:rPr>
      </w:pPr>
      <w:r>
        <w:rPr>
          <w:rFonts w:ascii="Titillium" w:hAnsi="Titillium"/>
          <w:iCs/>
          <w:sz w:val="18"/>
          <w:szCs w:val="18"/>
        </w:rPr>
        <w:t xml:space="preserve">Il pagamento è verificato prima della valutazione dell’offerta, anche in caso di inversione procedimentale. Qualora il pagamento non risulti dal sistema, la stazione appaltante può richiedere, mediante soccorso istruttorio, la regolarizzazione del pagamento. In caso di mancata regolarizzazione nel termine assegnato, l’offerta è dichiarata inammissibile.  </w:t>
      </w:r>
    </w:p>
    <w:p>
      <w:pPr>
        <w:pStyle w:val="Normal"/>
        <w:spacing w:before="60" w:after="60"/>
        <w:rPr>
          <w:rFonts w:ascii="Titillium" w:hAnsi="Titillium"/>
          <w:iCs/>
          <w:sz w:val="18"/>
          <w:szCs w:val="18"/>
        </w:rPr>
      </w:pPr>
      <w:r>
        <w:rPr>
          <w:rFonts w:ascii="Titillium" w:hAnsi="Titillium"/>
          <w:iCs/>
          <w:sz w:val="18"/>
          <w:szCs w:val="18"/>
        </w:rPr>
        <w:t xml:space="preserve">Il pagamento del contributo è condizione di ammissibilità dell’offerta. </w:t>
      </w:r>
    </w:p>
    <w:p>
      <w:pPr>
        <w:pStyle w:val="Normal"/>
        <w:spacing w:before="60" w:after="60"/>
        <w:rPr>
          <w:rFonts w:ascii="Titillium" w:hAnsi="Titillium"/>
          <w:iCs/>
          <w:sz w:val="18"/>
          <w:szCs w:val="18"/>
        </w:rPr>
      </w:pPr>
      <w:r>
        <w:rPr>
          <w:rFonts w:ascii="Titillium" w:hAnsi="Titillium"/>
          <w:iCs/>
          <w:sz w:val="18"/>
          <w:szCs w:val="18"/>
        </w:rPr>
        <w:t xml:space="preserve">Il pagamento è verificato prima della valutazione dell’offerta, anche in caso di inversione procedimentale. Qualora il pagamento non risulti dal sistema, la stazione appaltante può richiedere, mediante soccorso istruttorio, la regolarizzazione del pagamento. In caso di mancata regolarizzazione nel termine assegnato, l’offerta è dichiarata inammissibile.  </w:t>
      </w:r>
    </w:p>
    <w:p>
      <w:pPr>
        <w:pStyle w:val="Normal"/>
        <w:spacing w:before="60" w:after="60"/>
        <w:rPr>
          <w:rFonts w:ascii="Titillium" w:hAnsi="Titillium" w:cs="Calibri"/>
          <w:sz w:val="18"/>
          <w:szCs w:val="18"/>
        </w:rPr>
      </w:pPr>
      <w:r>
        <w:rPr>
          <w:rFonts w:cs="Calibri" w:ascii="Titillium" w:hAnsi="Titillium"/>
          <w:sz w:val="18"/>
          <w:szCs w:val="18"/>
        </w:rPr>
      </w:r>
    </w:p>
    <w:tbl>
      <w:tblPr>
        <w:tblW w:w="9210" w:type="dxa"/>
        <w:jc w:val="left"/>
        <w:tblInd w:w="5" w:type="dxa"/>
        <w:tblLayout w:type="fixed"/>
        <w:tblCellMar>
          <w:top w:w="0" w:type="dxa"/>
          <w:left w:w="108" w:type="dxa"/>
          <w:bottom w:w="0" w:type="dxa"/>
          <w:right w:w="108" w:type="dxa"/>
        </w:tblCellMar>
        <w:tblLook w:val="04a0" w:firstRow="1" w:noVBand="1" w:lastRow="0" w:firstColumn="1" w:lastColumn="0" w:noHBand="0"/>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tillium" w:hAnsi="Titillium"/>
                <w:i/>
                <w:sz w:val="18"/>
                <w:szCs w:val="18"/>
              </w:rPr>
            </w:pPr>
            <w:r>
              <w:rPr>
                <w:rFonts w:cs="Calibri" w:ascii="Titillium" w:hAnsi="Titillium"/>
                <w:i/>
                <w:sz w:val="18"/>
                <w:szCs w:val="18"/>
              </w:rPr>
              <w:t xml:space="preserve">N.B. Indicazioni operative sulle modalità di pagamento del contributo sono disponibili sul sito dell’Autorità Nazionale Anticorruzione al seguente link: </w:t>
            </w:r>
            <w:hyperlink r:id="rId5">
              <w:r>
                <w:rPr>
                  <w:rStyle w:val="Hyperlink"/>
                  <w:rFonts w:ascii="Titillium" w:hAnsi="Titillium"/>
                  <w:i/>
                  <w:sz w:val="18"/>
                  <w:szCs w:val="18"/>
                </w:rPr>
                <w:t>https://www.anticorruzione.it/-/portale-dei-pagamenti-di-anac</w:t>
              </w:r>
            </w:hyperlink>
          </w:p>
          <w:p>
            <w:pPr>
              <w:pStyle w:val="Normal"/>
              <w:spacing w:before="60" w:after="60"/>
              <w:rPr>
                <w:rFonts w:ascii="Titillium" w:hAnsi="Titillium" w:cs="Calibri"/>
                <w:i/>
                <w:sz w:val="18"/>
                <w:szCs w:val="18"/>
              </w:rPr>
            </w:pPr>
            <w:r>
              <w:rPr>
                <w:rFonts w:cs="Calibri" w:ascii="Titillium" w:hAnsi="Titillium"/>
                <w:i/>
                <w:sz w:val="18"/>
                <w:szCs w:val="18"/>
              </w:rPr>
              <w:t>L'importo del contributo è calcolato sul valore stimato d'appalto comprensivo delle eventuali opzioni contrattuali previste nella documentazione di gara.</w:t>
            </w:r>
          </w:p>
        </w:tc>
      </w:tr>
    </w:tbl>
    <w:p>
      <w:pPr>
        <w:pStyle w:val="Normal"/>
        <w:rPr>
          <w:rFonts w:ascii="Titillium" w:hAnsi="Titillium" w:cs="Calibri"/>
          <w:sz w:val="18"/>
          <w:szCs w:val="18"/>
        </w:rPr>
      </w:pPr>
      <w:r>
        <w:rPr>
          <w:rFonts w:cs="Calibri" w:ascii="Titillium" w:hAnsi="Titillium"/>
          <w:sz w:val="18"/>
          <w:szCs w:val="18"/>
        </w:rPr>
      </w:r>
    </w:p>
    <w:p>
      <w:pPr>
        <w:pStyle w:val="Heading2"/>
        <w:numPr>
          <w:ilvl w:val="0"/>
          <w:numId w:val="3"/>
        </w:numPr>
        <w:rPr/>
      </w:pPr>
      <w:bookmarkStart w:id="1671" w:name="_Toc207275745"/>
      <w:bookmarkStart w:id="1672" w:name="_Ref498595281"/>
      <w:r>
        <w:rPr/>
        <w:t>MODALITÀ DI PRESENTAZIONE DELL’OFFERTA E SOTTOSCRIZIONE DEI DOCUMENTI DI GARA</w:t>
      </w:r>
      <w:bookmarkEnd w:id="1671"/>
      <w:bookmarkEnd w:id="1672"/>
      <w:r>
        <w:rPr/>
        <w:t xml:space="preserve"> </w:t>
      </w:r>
    </w:p>
    <w:p>
      <w:pPr>
        <w:pStyle w:val="Normal"/>
        <w:tabs>
          <w:tab w:val="clear" w:pos="708"/>
          <w:tab w:val="left" w:pos="360" w:leader="none"/>
        </w:tabs>
        <w:spacing w:before="60" w:after="60"/>
        <w:rPr>
          <w:rFonts w:ascii="Titillium" w:hAnsi="Titillium"/>
          <w:sz w:val="18"/>
          <w:szCs w:val="18"/>
        </w:rPr>
      </w:pPr>
      <w:r>
        <w:rPr>
          <w:rFonts w:cs="Calibri" w:ascii="Titillium" w:hAnsi="Titillium"/>
          <w:bCs/>
          <w:iCs/>
          <w:sz w:val="18"/>
          <w:szCs w:val="18"/>
        </w:rPr>
        <w:t xml:space="preserve">L’offerta e la documentazione relativa alla procedura devono essere presentate </w:t>
      </w:r>
      <w:r>
        <w:rPr>
          <w:rFonts w:cs="Calibri" w:ascii="Titillium" w:hAnsi="Titillium"/>
          <w:sz w:val="18"/>
          <w:szCs w:val="18"/>
        </w:rPr>
        <w:t xml:space="preserve">esclusivamente attraverso la PAD. Non sono considerate valide le offerte presentate attraverso modalità diverse da quelle previste nel presente disciplinare. L’offerta </w:t>
      </w:r>
      <w:r>
        <w:rPr>
          <w:rFonts w:cs="Calibri" w:ascii="Titillium" w:hAnsi="Titillium"/>
          <w:bCs/>
          <w:iCs/>
          <w:sz w:val="18"/>
          <w:szCs w:val="18"/>
        </w:rPr>
        <w:t>deve essere sottoscritta con firma digitale o altra firma elettronica qualificata o firma elettronica avanzata.</w:t>
      </w:r>
    </w:p>
    <w:p>
      <w:pPr>
        <w:pStyle w:val="Normal"/>
        <w:spacing w:before="60" w:after="60"/>
        <w:rPr>
          <w:rFonts w:ascii="Titillium" w:hAnsi="Titillium" w:cs="Calibri"/>
          <w:sz w:val="18"/>
          <w:szCs w:val="18"/>
        </w:rPr>
      </w:pPr>
      <w:r>
        <w:rPr>
          <w:rFonts w:cs="Calibri" w:ascii="Titillium" w:hAnsi="Titillium"/>
          <w:sz w:val="18"/>
          <w:szCs w:val="18"/>
        </w:rPr>
        <w:t xml:space="preserve">Le dichiarazioni sostitutive si redigono ai sensi degli articoli 19, 46 e 47 del decreto del Presidente della Repubblica n.  445/2000. </w:t>
      </w:r>
    </w:p>
    <w:p>
      <w:pPr>
        <w:pStyle w:val="Normal"/>
        <w:spacing w:before="60" w:after="60"/>
        <w:rPr/>
      </w:pPr>
      <w:r>
        <w:rPr>
          <w:rFonts w:cs="Calibri" w:ascii="Titillium" w:hAnsi="Titillium"/>
          <w:sz w:val="18"/>
          <w:szCs w:val="18"/>
        </w:rPr>
        <w:t xml:space="preserve">La documentazione presentata in copia viene prodotta ai sensi del decreto legislativo n. 82/05. </w:t>
      </w:r>
    </w:p>
    <w:p>
      <w:pPr>
        <w:pStyle w:val="Normal"/>
        <w:tabs>
          <w:tab w:val="clear" w:pos="708"/>
          <w:tab w:val="left" w:pos="360" w:leader="none"/>
        </w:tabs>
        <w:spacing w:before="60" w:after="60"/>
        <w:rPr>
          <w:rFonts w:ascii="Titillium" w:hAnsi="Titillium" w:cs="Calibri"/>
          <w:sz w:val="18"/>
          <w:szCs w:val="18"/>
        </w:rPr>
      </w:pPr>
      <w:r>
        <w:rPr>
          <w:rFonts w:cs="Calibri" w:ascii="Titillium" w:hAnsi="Titillium"/>
          <w:bCs/>
          <w:iCs/>
          <w:sz w:val="18"/>
          <w:szCs w:val="18"/>
        </w:rPr>
        <w:t>L’offerta deve pervenire</w:t>
      </w:r>
      <w:r>
        <w:rPr>
          <w:rFonts w:cs="Calibri" w:ascii="Titillium" w:hAnsi="Titillium"/>
          <w:sz w:val="18"/>
          <w:szCs w:val="18"/>
        </w:rPr>
        <w:t xml:space="preserve"> entro e non oltre quanto indicato dalla Piattaforma a pena di irricevibilità</w:t>
      </w:r>
      <w:r>
        <w:rPr>
          <w:rFonts w:ascii="Titillium" w:hAnsi="Titillium"/>
          <w:sz w:val="18"/>
          <w:szCs w:val="18"/>
        </w:rPr>
        <w:t>.</w:t>
      </w:r>
      <w:r>
        <w:rPr>
          <w:rFonts w:cs="Calibri" w:ascii="Titillium" w:hAnsi="Titillium"/>
          <w:sz w:val="18"/>
          <w:szCs w:val="18"/>
        </w:rPr>
        <w:t xml:space="preserve"> La PAD non accetta offerte presentate dopo la data e l’orario stabiliti come termine ultimo di presentazione dell’offerta.</w:t>
      </w:r>
    </w:p>
    <w:p>
      <w:pPr>
        <w:pStyle w:val="Normal"/>
        <w:spacing w:before="60" w:after="60"/>
        <w:rPr/>
      </w:pPr>
      <w:r>
        <w:rPr>
          <w:rFonts w:ascii="Titillium" w:hAnsi="Titillium"/>
          <w:iCs/>
          <w:sz w:val="18"/>
          <w:szCs w:val="18"/>
        </w:rPr>
        <w:t>Per l’individuazione di</w:t>
      </w:r>
      <w:r>
        <w:rPr>
          <w:rFonts w:cs="Calibri" w:ascii="Titillium" w:hAnsi="Titillium"/>
          <w:bCs/>
          <w:iCs/>
          <w:sz w:val="18"/>
          <w:szCs w:val="18"/>
        </w:rPr>
        <w:t xml:space="preserve"> data e ora di arrivo dell’offerta fa fede l’orario registrato dalla PAD.</w:t>
      </w:r>
    </w:p>
    <w:p>
      <w:pPr>
        <w:pStyle w:val="Normal"/>
        <w:widowControl w:val="false"/>
        <w:spacing w:lineRule="exact" w:line="280" w:before="60" w:after="60"/>
        <w:rPr/>
      </w:pPr>
      <w:r>
        <w:rPr>
          <w:rFonts w:cs="Calibri" w:ascii="Titillium" w:hAnsi="Titillium"/>
          <w:color w:val="000000"/>
          <w:sz w:val="18"/>
          <w:szCs w:val="18"/>
        </w:rPr>
        <w:t>Le operazioni di inserimento sulla PAD di tutta la documentazione richiesta rimangono ad esclusivo rischio del concorrente. Si invitano pertanto i concorrenti ad avviare tali attività con congruo anticipo rispetto alla scadenza prevista onde evitare la non completa e quindi mancata trasmissione dell’offerta entro il termine previsto.</w:t>
      </w:r>
      <w:r>
        <w:rPr>
          <w:rFonts w:cs="Calibri" w:ascii="Titillium" w:hAnsi="Titillium"/>
          <w:bCs/>
          <w:iCs/>
          <w:sz w:val="18"/>
          <w:szCs w:val="18"/>
        </w:rPr>
        <w:t xml:space="preserve"> </w:t>
      </w:r>
    </w:p>
    <w:p>
      <w:pPr>
        <w:pStyle w:val="Normal"/>
        <w:widowControl w:val="false"/>
        <w:spacing w:lineRule="exact" w:line="280" w:before="60" w:after="60"/>
        <w:rPr/>
      </w:pPr>
      <w:r>
        <w:rPr>
          <w:rFonts w:cs="Calibri" w:ascii="Titillium" w:hAnsi="Titillium"/>
          <w:bCs/>
          <w:iCs/>
          <w:sz w:val="18"/>
          <w:szCs w:val="18"/>
        </w:rPr>
        <w:t xml:space="preserve">Qualora si verifichi un mancato funzionamento o un malfunzionamento della PAD si applica quanto previsto al paragrafo </w:t>
      </w:r>
      <w:r>
        <w:rPr>
          <w:rFonts w:cs="Calibri" w:ascii="Titillium" w:hAnsi="Titillium"/>
          <w:bCs/>
          <w:iCs/>
          <w:sz w:val="18"/>
          <w:szCs w:val="18"/>
        </w:rPr>
        <w:fldChar w:fldCharType="begin"/>
      </w:r>
      <w:r>
        <w:rPr>
          <w:rFonts w:cs="Calibri" w:ascii="Titillium" w:hAnsi="Titillium"/>
          <w:bCs/>
          <w:iCs/>
          <w:sz w:val="18"/>
          <w:szCs w:val="18"/>
        </w:rPr>
        <w:instrText xml:space="preserve"> REF _Ref132303729 \r \r \h </w:instrText>
      </w:r>
      <w:r>
        <w:rPr>
          <w:rFonts w:cs="Calibri" w:ascii="Titillium" w:hAnsi="Titillium"/>
          <w:bCs/>
          <w:iCs/>
          <w:sz w:val="18"/>
          <w:szCs w:val="18"/>
        </w:rPr>
        <w:fldChar w:fldCharType="separate"/>
      </w:r>
      <w:r>
        <w:rPr>
          <w:rFonts w:cs="Calibri" w:ascii="Titillium" w:hAnsi="Titillium"/>
          <w:bCs/>
          <w:iCs/>
          <w:sz w:val="18"/>
          <w:szCs w:val="18"/>
        </w:rPr>
        <w:t>1.1</w:t>
      </w:r>
      <w:r>
        <w:rPr>
          <w:rFonts w:cs="Calibri" w:ascii="Titillium" w:hAnsi="Titillium"/>
          <w:bCs/>
          <w:iCs/>
          <w:sz w:val="18"/>
          <w:szCs w:val="18"/>
        </w:rPr>
        <w:fldChar w:fldCharType="end"/>
      </w:r>
      <w:r>
        <w:rPr>
          <w:rFonts w:cs="Calibri" w:ascii="Titillium" w:hAnsi="Titillium"/>
          <w:bCs/>
          <w:iCs/>
          <w:sz w:val="18"/>
          <w:szCs w:val="18"/>
        </w:rPr>
        <w:t>.</w:t>
      </w:r>
    </w:p>
    <w:p>
      <w:pPr>
        <w:pStyle w:val="Normal"/>
        <w:tabs>
          <w:tab w:val="clear" w:pos="708"/>
          <w:tab w:val="left" w:pos="360" w:leader="none"/>
        </w:tabs>
        <w:spacing w:before="60" w:after="60"/>
        <w:rPr>
          <w:rFonts w:ascii="Titillium" w:hAnsi="Titillium" w:cs="Calibri"/>
          <w:bCs/>
          <w:i/>
          <w:iCs/>
          <w:sz w:val="18"/>
          <w:szCs w:val="18"/>
        </w:rPr>
      </w:pPr>
      <w:r>
        <w:rPr>
          <w:rFonts w:cs="Calibri" w:ascii="Titillium" w:hAnsi="Titillium"/>
          <w:bCs/>
          <w:iCs/>
          <w:sz w:val="18"/>
          <w:szCs w:val="18"/>
        </w:rPr>
        <w:t xml:space="preserve">Ogni operatore economico per la presentazione dell’offerta ha a disposizione una capacità pari alla dimensione massima di </w:t>
      </w:r>
      <w:r>
        <w:rPr>
          <w:rFonts w:cs="Calibri" w:ascii="Titillium" w:hAnsi="Titillium"/>
          <w:bCs/>
          <w:sz w:val="18"/>
          <w:szCs w:val="18"/>
        </w:rPr>
        <w:t>100 MB</w:t>
      </w:r>
      <w:r>
        <w:rPr>
          <w:rFonts w:cs="Calibri" w:ascii="Titillium" w:hAnsi="Titillium"/>
          <w:bCs/>
          <w:i/>
          <w:iCs/>
          <w:sz w:val="18"/>
          <w:szCs w:val="18"/>
        </w:rPr>
        <w:t xml:space="preserve"> </w:t>
      </w:r>
      <w:r>
        <w:rPr>
          <w:rFonts w:cs="Calibri" w:ascii="Titillium" w:hAnsi="Titillium"/>
          <w:bCs/>
          <w:iCs/>
          <w:sz w:val="18"/>
          <w:szCs w:val="18"/>
        </w:rPr>
        <w:t xml:space="preserve">per singolo file. La PAD accetta esclusivamente file con i seguenti formati PDF, ZIP, ecc. </w:t>
      </w:r>
    </w:p>
    <w:p>
      <w:pPr>
        <w:pStyle w:val="Normal"/>
        <w:tabs>
          <w:tab w:val="clear" w:pos="708"/>
          <w:tab w:val="left" w:pos="360" w:leader="none"/>
        </w:tabs>
        <w:spacing w:before="60" w:after="60"/>
        <w:rPr>
          <w:i/>
        </w:rPr>
      </w:pPr>
      <w:r>
        <w:rPr>
          <w:i/>
        </w:rPr>
      </w:r>
    </w:p>
    <w:p>
      <w:pPr>
        <w:pStyle w:val="Heading3"/>
        <w:numPr>
          <w:ilvl w:val="1"/>
          <w:numId w:val="3"/>
        </w:numPr>
        <w:ind w:hanging="426" w:left="426"/>
        <w:rPr>
          <w:rFonts w:ascii="Titillium" w:hAnsi="Titillium"/>
          <w:sz w:val="18"/>
          <w:szCs w:val="18"/>
        </w:rPr>
      </w:pPr>
      <w:bookmarkStart w:id="1673" w:name="_Toc207275746"/>
      <w:r>
        <w:rPr>
          <w:rFonts w:ascii="Titillium" w:hAnsi="Titillium"/>
          <w:sz w:val="18"/>
          <w:szCs w:val="18"/>
        </w:rPr>
        <w:t>REGOLE PER LA PRESENTAZIONE DELL’OFFERTA</w:t>
      </w:r>
      <w:bookmarkEnd w:id="1673"/>
    </w:p>
    <w:p>
      <w:pPr>
        <w:pStyle w:val="Normal"/>
        <w:spacing w:before="60" w:after="60"/>
        <w:rPr/>
      </w:pPr>
      <w:r>
        <w:rPr>
          <w:rFonts w:cs="Calibri" w:ascii="Titillium" w:hAnsi="Titillium"/>
          <w:sz w:val="18"/>
          <w:szCs w:val="18"/>
        </w:rPr>
        <w:t xml:space="preserve">Fermo restando le indicazioni tecniche riportate al paragrafo </w:t>
      </w:r>
      <w:r>
        <w:rPr>
          <w:rFonts w:cs="Calibri" w:ascii="Titillium" w:hAnsi="Titillium"/>
          <w:sz w:val="18"/>
          <w:szCs w:val="18"/>
        </w:rPr>
        <w:fldChar w:fldCharType="begin"/>
      </w:r>
      <w:r>
        <w:rPr>
          <w:rFonts w:cs="Calibri" w:ascii="Titillium" w:hAnsi="Titillium"/>
          <w:sz w:val="18"/>
          <w:szCs w:val="18"/>
        </w:rPr>
        <w:instrText xml:space="preserve"> REF _Ref132303744 \r \r \h </w:instrText>
      </w:r>
      <w:r>
        <w:rPr>
          <w:rFonts w:cs="Calibri" w:ascii="Titillium" w:hAnsi="Titillium"/>
          <w:sz w:val="18"/>
          <w:szCs w:val="18"/>
        </w:rPr>
        <w:fldChar w:fldCharType="separate"/>
      </w:r>
      <w:r>
        <w:rPr>
          <w:rFonts w:cs="Calibri" w:ascii="Titillium" w:hAnsi="Titillium"/>
          <w:sz w:val="18"/>
          <w:szCs w:val="18"/>
        </w:rPr>
        <w:t>1</w:t>
      </w:r>
      <w:r>
        <w:rPr>
          <w:rFonts w:cs="Calibri" w:ascii="Titillium" w:hAnsi="Titillium"/>
          <w:sz w:val="18"/>
          <w:szCs w:val="18"/>
        </w:rPr>
        <w:fldChar w:fldCharType="end"/>
      </w:r>
      <w:r>
        <w:rPr>
          <w:rFonts w:cs="Calibri" w:ascii="Titillium" w:hAnsi="Titillium"/>
          <w:sz w:val="18"/>
          <w:szCs w:val="18"/>
        </w:rPr>
        <w:t xml:space="preserve"> di seguito sono indicate le modalità di caricamento dell’offerta nella PAD.</w:t>
      </w:r>
    </w:p>
    <w:p>
      <w:pPr>
        <w:pStyle w:val="usoboll1"/>
        <w:spacing w:lineRule="exact" w:line="300"/>
        <w:rPr/>
      </w:pPr>
      <w:r>
        <w:rPr>
          <w:rFonts w:cs="Trebuchet MS" w:ascii="Titillium" w:hAnsi="Titillium"/>
          <w:sz w:val="18"/>
          <w:szCs w:val="18"/>
        </w:rPr>
        <w:t>L’“</w:t>
      </w:r>
      <w:r>
        <w:rPr>
          <w:rFonts w:cs="Trebuchet MS" w:ascii="Titillium" w:hAnsi="Titillium"/>
          <w:b/>
          <w:i/>
          <w:sz w:val="18"/>
          <w:szCs w:val="18"/>
        </w:rPr>
        <w:t>OFFERTA</w:t>
      </w:r>
      <w:r>
        <w:rPr>
          <w:rFonts w:cs="Trebuchet MS" w:ascii="Titillium" w:hAnsi="Titillium"/>
          <w:sz w:val="18"/>
          <w:szCs w:val="18"/>
        </w:rPr>
        <w:t xml:space="preserve">” è composta da: </w:t>
      </w:r>
    </w:p>
    <w:p>
      <w:pPr>
        <w:pStyle w:val="usoboll1"/>
        <w:spacing w:lineRule="exact" w:line="300"/>
        <w:ind w:left="567"/>
        <w:rPr/>
      </w:pPr>
      <w:r>
        <w:rPr>
          <w:rFonts w:cs="Trebuchet MS" w:ascii="Titillium" w:hAnsi="Titillium"/>
          <w:sz w:val="18"/>
          <w:szCs w:val="18"/>
        </w:rPr>
        <w:t xml:space="preserve">A – </w:t>
      </w:r>
      <w:r>
        <w:rPr>
          <w:rFonts w:cs="Trebuchet MS" w:ascii="Titillium" w:hAnsi="Titillium"/>
          <w:b/>
          <w:sz w:val="18"/>
          <w:szCs w:val="18"/>
        </w:rPr>
        <w:t>Documentazione amministrativa</w:t>
      </w:r>
      <w:r>
        <w:rPr>
          <w:rFonts w:cs="Trebuchet MS" w:ascii="Titillium" w:hAnsi="Titillium"/>
          <w:sz w:val="18"/>
          <w:szCs w:val="18"/>
        </w:rPr>
        <w:t xml:space="preserve">; </w:t>
      </w:r>
    </w:p>
    <w:p>
      <w:pPr>
        <w:pStyle w:val="usoboll1"/>
        <w:spacing w:lineRule="exact" w:line="300"/>
        <w:ind w:left="567"/>
        <w:rPr/>
      </w:pPr>
      <w:r>
        <w:rPr>
          <w:rFonts w:cs="Trebuchet MS" w:ascii="Titillium" w:hAnsi="Titillium"/>
          <w:sz w:val="18"/>
          <w:szCs w:val="18"/>
        </w:rPr>
        <w:t xml:space="preserve">B – </w:t>
      </w:r>
      <w:r>
        <w:rPr>
          <w:rFonts w:cs="Trebuchet MS" w:ascii="Titillium" w:hAnsi="Titillium"/>
          <w:b/>
          <w:bCs/>
          <w:sz w:val="18"/>
          <w:szCs w:val="18"/>
        </w:rPr>
        <w:t>Offerta tecnica</w:t>
      </w:r>
      <w:r>
        <w:rPr>
          <w:rFonts w:cs="Trebuchet MS" w:ascii="Titillium" w:hAnsi="Titillium"/>
          <w:color w:val="000000"/>
          <w:sz w:val="18"/>
          <w:szCs w:val="18"/>
        </w:rPr>
        <w:t xml:space="preserve">; </w:t>
      </w:r>
    </w:p>
    <w:p>
      <w:pPr>
        <w:pStyle w:val="usoboll1"/>
        <w:spacing w:lineRule="exact" w:line="300"/>
        <w:ind w:left="567"/>
        <w:rPr>
          <w:rFonts w:ascii="Titillium" w:hAnsi="Titillium" w:cs="Trebuchet MS"/>
          <w:color w:val="000000"/>
          <w:sz w:val="18"/>
          <w:szCs w:val="18"/>
        </w:rPr>
      </w:pPr>
      <w:r>
        <w:rPr>
          <w:rFonts w:cs="Trebuchet MS" w:ascii="Titillium" w:hAnsi="Titillium"/>
          <w:color w:val="000000"/>
          <w:sz w:val="18"/>
          <w:szCs w:val="18"/>
        </w:rPr>
        <w:t xml:space="preserve">C – </w:t>
      </w:r>
      <w:r>
        <w:rPr>
          <w:rFonts w:cs="Trebuchet MS" w:ascii="Titillium" w:hAnsi="Titillium"/>
          <w:b/>
          <w:bCs/>
          <w:color w:val="000000"/>
          <w:sz w:val="18"/>
          <w:szCs w:val="18"/>
        </w:rPr>
        <w:t>Offerta economica</w:t>
      </w:r>
      <w:r>
        <w:rPr>
          <w:rFonts w:cs="Trebuchet MS" w:ascii="Titillium" w:hAnsi="Titillium"/>
          <w:i/>
          <w:color w:val="000000"/>
          <w:sz w:val="18"/>
          <w:szCs w:val="18"/>
        </w:rPr>
        <w:t>.</w:t>
      </w:r>
    </w:p>
    <w:p>
      <w:pPr>
        <w:pStyle w:val="usoboll1"/>
        <w:spacing w:lineRule="exact" w:line="300"/>
        <w:ind w:left="567"/>
        <w:rPr/>
      </w:pPr>
      <w:r>
        <w:rPr/>
      </w:r>
    </w:p>
    <w:p>
      <w:pPr>
        <w:pStyle w:val="Normal"/>
        <w:spacing w:before="60" w:after="60"/>
        <w:rPr>
          <w:rFonts w:ascii="Titillium" w:hAnsi="Titillium" w:cs="Calibri"/>
          <w:sz w:val="18"/>
          <w:szCs w:val="18"/>
        </w:rPr>
      </w:pPr>
      <w:r>
        <w:rPr>
          <w:rFonts w:cs="Calibri" w:ascii="Titillium" w:hAnsi="Titillium"/>
          <w:sz w:val="18"/>
          <w:szCs w:val="18"/>
        </w:rPr>
        <w:t xml:space="preserve">L’operatore economico ha facoltà di inserire nella PAD offerte successive che sostituiscono la precedente, ovvero ritirare l’offerta presentata, nel periodo di tempo compreso tra la data e ora di inizio e la data e ora di chiusura della fase di presentazione delle offerte. </w:t>
      </w:r>
      <w:r>
        <w:rPr>
          <w:rFonts w:cs="Calibri" w:ascii="Titillium" w:hAnsi="Titillium"/>
          <w:bCs/>
          <w:color w:val="000000"/>
          <w:sz w:val="18"/>
          <w:szCs w:val="18"/>
        </w:rPr>
        <w:t>La stazione appaltante considera esclusivamente l’ultima offerta presentata.</w:t>
      </w:r>
      <w:r>
        <w:rPr>
          <w:rFonts w:cs="Calibri" w:ascii="Titillium" w:hAnsi="Titillium"/>
          <w:sz w:val="18"/>
          <w:szCs w:val="18"/>
        </w:rPr>
        <w:t xml:space="preserve"> </w:t>
      </w:r>
    </w:p>
    <w:p>
      <w:pPr>
        <w:pStyle w:val="Default"/>
        <w:rPr>
          <w:rFonts w:ascii="Titillium" w:hAnsi="Titillium"/>
          <w:sz w:val="18"/>
          <w:szCs w:val="18"/>
        </w:rPr>
      </w:pPr>
      <w:r>
        <w:rPr>
          <w:rFonts w:ascii="Titillium" w:hAnsi="Titillium"/>
          <w:sz w:val="18"/>
          <w:szCs w:val="18"/>
        </w:rPr>
        <w:t xml:space="preserve">Si precisa inoltre che: </w:t>
      </w:r>
    </w:p>
    <w:p>
      <w:pPr>
        <w:pStyle w:val="Default"/>
        <w:numPr>
          <w:ilvl w:val="0"/>
          <w:numId w:val="17"/>
        </w:numPr>
        <w:spacing w:lineRule="auto" w:line="240" w:before="0" w:after="70"/>
        <w:ind w:hanging="357" w:left="426"/>
        <w:rPr>
          <w:rFonts w:ascii="Titillium" w:hAnsi="Titillium"/>
          <w:sz w:val="18"/>
          <w:szCs w:val="18"/>
        </w:rPr>
      </w:pPr>
      <w:r>
        <w:rPr>
          <w:rFonts w:ascii="Titillium" w:hAnsi="Titillium"/>
          <w:sz w:val="18"/>
          <w:szCs w:val="18"/>
        </w:rPr>
        <w:t>l’offerta è vincolante per il concorrente;</w:t>
      </w:r>
    </w:p>
    <w:p>
      <w:pPr>
        <w:pStyle w:val="Default"/>
        <w:numPr>
          <w:ilvl w:val="0"/>
          <w:numId w:val="17"/>
        </w:numPr>
        <w:spacing w:lineRule="auto" w:line="240"/>
        <w:ind w:hanging="357" w:left="426"/>
        <w:rPr>
          <w:rFonts w:ascii="Titillium" w:hAnsi="Titillium" w:cs="Calibri"/>
          <w:sz w:val="18"/>
          <w:szCs w:val="18"/>
        </w:rPr>
      </w:pPr>
      <w:r>
        <w:rPr>
          <w:rFonts w:cs="Calibri" w:ascii="Titillium" w:hAnsi="Titillium"/>
          <w:sz w:val="18"/>
          <w:szCs w:val="18"/>
        </w:rPr>
        <w:t>con la trasmissione dell’offerta, il concorrente accetta tutta la documentazione di gara, allegati e chiarimenti inclusi.</w:t>
      </w:r>
    </w:p>
    <w:p>
      <w:pPr>
        <w:pStyle w:val="Normal"/>
        <w:spacing w:before="60" w:after="60"/>
        <w:rPr/>
      </w:pPr>
      <w:r>
        <w:rPr>
          <w:rFonts w:cs="Calibri" w:ascii="Titillium" w:hAnsi="Titillium"/>
          <w:sz w:val="18"/>
          <w:szCs w:val="18"/>
        </w:rPr>
        <w:t xml:space="preserve">Al momento della ricezione delle offerte, ciascun concorrente riceve notifica della corretta ricezione della documentazione inviata. </w:t>
      </w:r>
    </w:p>
    <w:p>
      <w:pPr>
        <w:pStyle w:val="Default"/>
        <w:spacing w:before="60" w:after="60"/>
        <w:rPr/>
      </w:pPr>
      <w:r>
        <w:rPr>
          <w:rFonts w:cs="Calibri" w:ascii="Titillium" w:hAnsi="Titillium"/>
          <w:sz w:val="18"/>
          <w:szCs w:val="18"/>
        </w:rPr>
        <w:t xml:space="preserve">La PAD consente al concorrente di visualizzare l’avvenuta trasmissione della domanda. </w:t>
      </w:r>
    </w:p>
    <w:p>
      <w:pPr>
        <w:pStyle w:val="Normal"/>
        <w:spacing w:before="60" w:after="60"/>
        <w:rPr/>
      </w:pPr>
      <w:r>
        <w:rPr>
          <w:rFonts w:ascii="Titillium" w:hAnsi="Titillium"/>
          <w:sz w:val="18"/>
          <w:szCs w:val="18"/>
        </w:rPr>
        <w:t xml:space="preserve">Il concorrente che intenda partecipare in forma associata (per esempio raggruppamento temporaneo di imprese/Consorzi, sia costituiti che costituendi) in sede di presentazione dell’offerta indica la forma di partecipazione e indica gli operatori economici riuniti o consorziati. </w:t>
      </w:r>
    </w:p>
    <w:p>
      <w:pPr>
        <w:pStyle w:val="Normal"/>
        <w:spacing w:before="60" w:after="60"/>
        <w:rPr>
          <w:rFonts w:ascii="Titillium" w:hAnsi="Titillium"/>
          <w:sz w:val="18"/>
          <w:szCs w:val="18"/>
        </w:rPr>
      </w:pPr>
      <w:r>
        <w:rPr>
          <w:rFonts w:ascii="Titillium" w:hAnsi="Titillium"/>
          <w:sz w:val="18"/>
          <w:szCs w:val="18"/>
        </w:rPr>
        <w:t xml:space="preserve">Tutta la documentazione da produrre deve essere in lingua italiana. </w:t>
      </w:r>
    </w:p>
    <w:p>
      <w:pPr>
        <w:pStyle w:val="Normal"/>
        <w:spacing w:before="60" w:after="60"/>
        <w:rPr/>
      </w:pPr>
      <w:r>
        <w:rPr>
          <w:rFonts w:cs="Calibri" w:ascii="Titillium" w:hAnsi="Titillium"/>
          <w:sz w:val="18"/>
          <w:szCs w:val="18"/>
        </w:rPr>
        <w:t>L’offerta vincola il concorrente per</w:t>
      </w:r>
      <w:r>
        <w:rPr>
          <w:rFonts w:cs="Calibri" w:ascii="Titillium" w:hAnsi="Titillium"/>
          <w:i/>
          <w:sz w:val="18"/>
          <w:szCs w:val="18"/>
        </w:rPr>
        <w:t xml:space="preserve"> </w:t>
      </w:r>
      <w:r>
        <w:rPr>
          <w:rFonts w:cs="Calibri" w:ascii="Titillium" w:hAnsi="Titillium"/>
          <w:iCs/>
          <w:sz w:val="18"/>
          <w:szCs w:val="18"/>
        </w:rPr>
        <w:t>180 giorni</w:t>
      </w:r>
      <w:r>
        <w:rPr>
          <w:rFonts w:cs="Calibri" w:ascii="Titillium" w:hAnsi="Titillium"/>
          <w:i/>
          <w:sz w:val="18"/>
          <w:szCs w:val="18"/>
        </w:rPr>
        <w:t xml:space="preserve"> </w:t>
      </w:r>
      <w:r>
        <w:rPr>
          <w:rFonts w:cs="Calibri" w:ascii="Titillium" w:hAnsi="Titillium"/>
          <w:sz w:val="18"/>
          <w:szCs w:val="18"/>
        </w:rPr>
        <w:t>dalla scadenza</w:t>
      </w:r>
      <w:r>
        <w:rPr>
          <w:rFonts w:cs="Calibri" w:ascii="Titillium" w:hAnsi="Titillium"/>
          <w:i/>
          <w:sz w:val="18"/>
          <w:szCs w:val="18"/>
        </w:rPr>
        <w:t xml:space="preserve"> </w:t>
      </w:r>
      <w:r>
        <w:rPr>
          <w:rFonts w:cs="Calibri" w:ascii="Titillium" w:hAnsi="Titillium"/>
          <w:sz w:val="18"/>
          <w:szCs w:val="18"/>
        </w:rPr>
        <w:t xml:space="preserve">del termine indicato per la presentazione dell’offerta. </w:t>
      </w:r>
    </w:p>
    <w:p>
      <w:pPr>
        <w:pStyle w:val="Normal"/>
        <w:spacing w:before="60" w:after="60"/>
        <w:rPr>
          <w:rFonts w:ascii="Titillium" w:hAnsi="Titillium" w:cs="Calibri"/>
          <w:sz w:val="18"/>
          <w:szCs w:val="18"/>
        </w:rPr>
      </w:pPr>
      <w:r>
        <w:rPr>
          <w:rFonts w:cs="Calibri" w:ascii="Titillium" w:hAnsi="Titillium"/>
          <w:sz w:val="18"/>
          <w:szCs w:val="18"/>
        </w:rPr>
        <w:t xml:space="preserve">Nel caso in cui alla data di scadenza della validità delle offerte le operazioni di gara siano ancora in corso, sarà richiesto agli offerenti di confermare la validità dell’offerta sino alla data indicata e di produrre un apposito documento attestante la validità della garanzia prestata in sede di gara fino alla medesima data. </w:t>
      </w:r>
    </w:p>
    <w:p>
      <w:pPr>
        <w:pStyle w:val="Normal"/>
        <w:spacing w:before="60" w:after="60"/>
        <w:rPr>
          <w:rFonts w:ascii="Titillium" w:hAnsi="Titillium" w:cs="Calibri"/>
          <w:sz w:val="18"/>
          <w:szCs w:val="18"/>
        </w:rPr>
      </w:pPr>
      <w:r>
        <w:rPr>
          <w:rFonts w:cs="Calibri" w:ascii="Titillium" w:hAnsi="Titillium"/>
          <w:sz w:val="18"/>
          <w:szCs w:val="18"/>
        </w:rPr>
        <w:t>Il mancato riscontro alla richiesta della stazione appaltante entro il termine fissato da quest’ultima o comunque in tempo utile alla celere prosecuzione della procedura è considerato come rinuncia del concorrente alla partecipazione alla gara.</w:t>
      </w:r>
    </w:p>
    <w:p>
      <w:pPr>
        <w:pStyle w:val="Normal"/>
        <w:spacing w:before="60" w:after="60"/>
        <w:rPr>
          <w:rFonts w:ascii="Titillium" w:hAnsi="Titillium" w:cs="Calibri"/>
          <w:sz w:val="18"/>
          <w:szCs w:val="18"/>
        </w:rPr>
      </w:pPr>
      <w:r>
        <w:rPr>
          <w:rFonts w:cs="Calibri" w:ascii="Titillium" w:hAnsi="Titillium"/>
          <w:sz w:val="18"/>
          <w:szCs w:val="18"/>
        </w:rPr>
        <w:t xml:space="preserve">Fino al giorno fissato per l’apertura delle offerte tecniche o economiche, l’operatore economico può effettuare, tramite la PAD, la richiesta di rettifica di un errore materiale contenuto rispettivamente nell’offerta tecnica o nell’offerta economica, di cui si sia avveduto dopo la scadenza del termine per la loro presentazione. A tal fine, richiede di potersi avvalere di tale facoltà.  </w:t>
      </w:r>
    </w:p>
    <w:p>
      <w:pPr>
        <w:pStyle w:val="Normal"/>
        <w:spacing w:before="60" w:after="60"/>
        <w:rPr>
          <w:rFonts w:ascii="Titillium" w:hAnsi="Titillium" w:cs="Calibri"/>
          <w:sz w:val="18"/>
          <w:szCs w:val="18"/>
        </w:rPr>
      </w:pPr>
      <w:r>
        <w:rPr>
          <w:rFonts w:cs="Calibri" w:ascii="Titillium" w:hAnsi="Titillium"/>
          <w:sz w:val="18"/>
          <w:szCs w:val="18"/>
        </w:rPr>
        <w:t>A seguito della richiesta, sono comunicate all’operatore economico le modalità e i tempi con cui procedere all’indicazione degli elementi che consentono l’individuazione dell’errore materiale e la sua correzione. La rettifica è operata nel rispetto della segretezza dell’offerta e non può comportare la presentazione di una nuova offerta, né la sua modifica sostanziale.</w:t>
      </w:r>
    </w:p>
    <w:p>
      <w:pPr>
        <w:pStyle w:val="Normal"/>
        <w:spacing w:before="60" w:after="60"/>
        <w:rPr>
          <w:rFonts w:ascii="Titillium" w:hAnsi="Titillium" w:cs="Calibri"/>
          <w:sz w:val="18"/>
          <w:szCs w:val="18"/>
        </w:rPr>
      </w:pPr>
      <w:r>
        <w:rPr>
          <w:rFonts w:cs="Calibri" w:ascii="Titillium" w:hAnsi="Titillium"/>
          <w:sz w:val="18"/>
          <w:szCs w:val="18"/>
        </w:rPr>
        <w:t>Se la rettifica è ritenuta non accoglibile perché sostanziale, è valutata la possibilità di dichiarare l’offerta inammissibile.</w:t>
      </w:r>
    </w:p>
    <w:p>
      <w:pPr>
        <w:pStyle w:val="Normal"/>
        <w:spacing w:before="60" w:after="60"/>
        <w:rPr/>
      </w:pPr>
      <w:r>
        <w:rPr/>
      </w:r>
    </w:p>
    <w:p>
      <w:pPr>
        <w:pStyle w:val="Heading2"/>
        <w:numPr>
          <w:ilvl w:val="0"/>
          <w:numId w:val="3"/>
        </w:numPr>
        <w:rPr/>
      </w:pPr>
      <w:bookmarkStart w:id="1674" w:name="_Toc207275747"/>
      <w:bookmarkStart w:id="1675" w:name="_Ref129796272"/>
      <w:r>
        <w:rPr/>
        <w:t>SOCCORSO ISTRUTTORIO</w:t>
      </w:r>
      <w:bookmarkEnd w:id="1674"/>
      <w:bookmarkEnd w:id="1675"/>
    </w:p>
    <w:p>
      <w:pPr>
        <w:pStyle w:val="Normal"/>
        <w:spacing w:before="60" w:after="60"/>
        <w:rPr>
          <w:rFonts w:ascii="Titillium" w:hAnsi="Titillium"/>
          <w:sz w:val="18"/>
          <w:szCs w:val="18"/>
        </w:rPr>
      </w:pPr>
      <w:r>
        <w:rPr>
          <w:rFonts w:ascii="Titillium" w:hAnsi="Titillium"/>
          <w:sz w:val="18"/>
          <w:szCs w:val="18"/>
        </w:rPr>
        <w:t>Con la procedura di soccorso istruttorio di cui all’articolo 101 del Codice, possono essere sanate le carenze della documentazione trasmessa con la domanda di partecipazione ma non quelle della documentazione che compone l’offerta tecnica e l’offerta economica.</w:t>
      </w:r>
    </w:p>
    <w:p>
      <w:pPr>
        <w:pStyle w:val="Normal"/>
        <w:spacing w:before="60" w:after="60"/>
        <w:rPr>
          <w:rFonts w:ascii="Titillium" w:hAnsi="Titillium"/>
          <w:sz w:val="18"/>
          <w:szCs w:val="18"/>
        </w:rPr>
      </w:pPr>
      <w:r>
        <w:rPr>
          <w:rFonts w:ascii="Titillium" w:hAnsi="Titillium"/>
          <w:sz w:val="18"/>
          <w:szCs w:val="18"/>
        </w:rPr>
        <w:t xml:space="preserve">Con la medesima procedura può essere sanata ogni omissione, inesattezza o irregolarità della domanda di partecipazione e di ogni altro documento richiesto per la partecipazione alla procedura di gara, con esclusione della documentazione che compone l’offerta tecnica e l’offerta economica. Non sono sanabili le omissioni, le inesattezze e irregolarità che rendono assolutamente incerta l’identità del concorrente. </w:t>
      </w:r>
    </w:p>
    <w:p>
      <w:pPr>
        <w:pStyle w:val="Normal"/>
        <w:spacing w:before="60" w:after="60"/>
        <w:rPr>
          <w:rFonts w:ascii="Titillium" w:hAnsi="Titillium"/>
          <w:sz w:val="18"/>
          <w:szCs w:val="18"/>
        </w:rPr>
      </w:pPr>
      <w:r>
        <w:rPr>
          <w:rFonts w:ascii="Titillium" w:hAnsi="Titillium"/>
          <w:sz w:val="18"/>
          <w:szCs w:val="18"/>
        </w:rPr>
        <w:t xml:space="preserve">A titolo esemplificativo, si chiarisce che sono sanabili: </w:t>
      </w:r>
    </w:p>
    <w:p>
      <w:pPr>
        <w:pStyle w:val="ListParagraph"/>
        <w:numPr>
          <w:ilvl w:val="0"/>
          <w:numId w:val="36"/>
        </w:numPr>
        <w:spacing w:before="60" w:after="60"/>
        <w:ind w:hanging="360" w:left="426"/>
        <w:contextualSpacing/>
        <w:rPr>
          <w:rFonts w:ascii="Titillium" w:hAnsi="Titillium"/>
          <w:sz w:val="18"/>
          <w:szCs w:val="18"/>
        </w:rPr>
      </w:pPr>
      <w:r>
        <w:rPr>
          <w:rFonts w:ascii="Titillium" w:hAnsi="Titillium"/>
          <w:sz w:val="18"/>
          <w:szCs w:val="18"/>
        </w:rPr>
        <w:t xml:space="preserve">il mancato o parziale pagamento del contributo ANAC anche laddove non effettuato entro la scadenza del termine di presentazione delle offerte; </w:t>
      </w:r>
    </w:p>
    <w:p>
      <w:pPr>
        <w:pStyle w:val="ListParagraph"/>
        <w:numPr>
          <w:ilvl w:val="0"/>
          <w:numId w:val="36"/>
        </w:numPr>
        <w:spacing w:before="60" w:after="60"/>
        <w:ind w:hanging="360" w:left="426"/>
        <w:contextualSpacing/>
        <w:rPr>
          <w:rFonts w:ascii="Titillium" w:hAnsi="Titillium"/>
          <w:sz w:val="18"/>
          <w:szCs w:val="18"/>
        </w:rPr>
      </w:pPr>
      <w:r>
        <w:rPr>
          <w:rFonts w:ascii="Titillium" w:hAnsi="Titillium"/>
          <w:sz w:val="18"/>
          <w:szCs w:val="18"/>
        </w:rPr>
        <w:t xml:space="preserve">l’omessa o incompleta nonché irregolare presentazione delle dichiarazioni sul possesso dei requisiti di partecipazione e ogni altra mancanza, incompletezza o irregolarità della domanda;        </w:t>
      </w:r>
    </w:p>
    <w:p>
      <w:pPr>
        <w:pStyle w:val="ListParagraph"/>
        <w:numPr>
          <w:ilvl w:val="0"/>
          <w:numId w:val="36"/>
        </w:numPr>
        <w:spacing w:before="60" w:after="60"/>
        <w:ind w:hanging="360" w:left="426"/>
        <w:contextualSpacing/>
        <w:rPr>
          <w:rFonts w:ascii="Titillium" w:hAnsi="Titillium"/>
          <w:sz w:val="18"/>
          <w:szCs w:val="18"/>
        </w:rPr>
      </w:pPr>
      <w:r>
        <w:rPr>
          <w:rFonts w:ascii="Titillium" w:hAnsi="Titillium"/>
          <w:sz w:val="18"/>
          <w:szCs w:val="18"/>
        </w:rPr>
        <w:t xml:space="preserve">la mancata produzione del contratto di avvalimento, della garanzia provvisoria, del mandato collettivo speciale o dell’impegno a conferire mandato collettivo, solo se i citati documenti sono preesistenti e comprovabili con data certa anteriore al termine di presentazione dell’offerta risultante dall’apposizione della marca temporale </w:t>
      </w:r>
      <w:bookmarkStart w:id="1676" w:name="_Hlk202279869"/>
      <w:r>
        <w:rPr>
          <w:rFonts w:ascii="Titillium" w:hAnsi="Titillium"/>
          <w:sz w:val="18"/>
          <w:szCs w:val="18"/>
        </w:rPr>
        <w:t xml:space="preserve">o da ulteriori riferimenti temporali equivalenti ai sensi della vigente normativa; </w:t>
      </w:r>
      <w:bookmarkEnd w:id="1676"/>
    </w:p>
    <w:p>
      <w:pPr>
        <w:pStyle w:val="ListParagraph"/>
        <w:numPr>
          <w:ilvl w:val="0"/>
          <w:numId w:val="36"/>
        </w:numPr>
        <w:spacing w:before="60" w:after="60"/>
        <w:ind w:hanging="360" w:left="426"/>
        <w:contextualSpacing/>
        <w:rPr>
          <w:rFonts w:ascii="Titillium" w:hAnsi="Titillium"/>
          <w:sz w:val="18"/>
          <w:szCs w:val="18"/>
        </w:rPr>
      </w:pPr>
      <w:r>
        <w:rPr>
          <w:rFonts w:ascii="Titillium" w:hAnsi="Titillium"/>
          <w:sz w:val="18"/>
          <w:szCs w:val="18"/>
        </w:rPr>
        <w:t>il non corretto ammontare della garanzia provvisoria;</w:t>
      </w:r>
    </w:p>
    <w:p>
      <w:pPr>
        <w:pStyle w:val="ListParagraph"/>
        <w:numPr>
          <w:ilvl w:val="0"/>
          <w:numId w:val="36"/>
        </w:numPr>
        <w:spacing w:before="60" w:after="60"/>
        <w:ind w:hanging="360" w:left="426"/>
        <w:contextualSpacing/>
        <w:rPr>
          <w:rFonts w:ascii="Titillium" w:hAnsi="Titillium"/>
          <w:sz w:val="18"/>
          <w:szCs w:val="18"/>
        </w:rPr>
      </w:pPr>
      <w:r>
        <w:rPr>
          <w:rFonts w:ascii="Titillium" w:hAnsi="Titillium"/>
          <w:sz w:val="18"/>
          <w:szCs w:val="18"/>
        </w:rPr>
        <w:t>l’erronea indicazione del beneficiario della garanzia provvisoria che non comporti la costituzione di una nuova polizza;</w:t>
      </w:r>
    </w:p>
    <w:p>
      <w:pPr>
        <w:pStyle w:val="ListParagraph"/>
        <w:numPr>
          <w:ilvl w:val="0"/>
          <w:numId w:val="36"/>
        </w:numPr>
        <w:spacing w:before="60" w:after="60"/>
        <w:ind w:hanging="360" w:left="426"/>
        <w:contextualSpacing/>
        <w:rPr>
          <w:rFonts w:ascii="Titillium" w:hAnsi="Titillium"/>
          <w:sz w:val="18"/>
          <w:szCs w:val="18"/>
        </w:rPr>
      </w:pPr>
      <w:r>
        <w:rPr>
          <w:rFonts w:ascii="Titillium" w:hAnsi="Titillium"/>
          <w:sz w:val="18"/>
          <w:szCs w:val="18"/>
        </w:rPr>
        <w:t>l’intestazione della garanzia provvisori non a tutti i componenti del costituendo RTI;</w:t>
      </w:r>
    </w:p>
    <w:p>
      <w:pPr>
        <w:pStyle w:val="ListParagraph"/>
        <w:numPr>
          <w:ilvl w:val="0"/>
          <w:numId w:val="36"/>
        </w:numPr>
        <w:spacing w:before="60" w:after="60"/>
        <w:ind w:hanging="360" w:left="426"/>
        <w:contextualSpacing/>
        <w:rPr>
          <w:rFonts w:ascii="Titillium" w:hAnsi="Titillium"/>
          <w:sz w:val="18"/>
          <w:szCs w:val="18"/>
        </w:rPr>
      </w:pPr>
      <w:r>
        <w:rPr>
          <w:rFonts w:ascii="Titillium" w:hAnsi="Titillium"/>
          <w:sz w:val="18"/>
          <w:szCs w:val="18"/>
        </w:rPr>
        <w:t>il difetto di sottoscrizione della domanda di partecipazione, delle dichiarazioni richieste e dell’offerta, a condizione che la mancanza della sottoscrizione non precluda la riconoscibilità della provenienza dell’offerta e non comporti un’incertezza assoluta sulla stessa;</w:t>
      </w:r>
    </w:p>
    <w:p>
      <w:pPr>
        <w:pStyle w:val="ListParagraph"/>
        <w:numPr>
          <w:ilvl w:val="0"/>
          <w:numId w:val="36"/>
        </w:numPr>
        <w:spacing w:before="60" w:after="60"/>
        <w:ind w:hanging="360" w:left="426"/>
        <w:contextualSpacing/>
        <w:rPr>
          <w:rFonts w:ascii="Titillium" w:hAnsi="Titillium"/>
          <w:sz w:val="18"/>
          <w:szCs w:val="18"/>
        </w:rPr>
      </w:pPr>
      <w:r>
        <w:rPr>
          <w:rFonts w:ascii="Titillium" w:hAnsi="Titillium"/>
          <w:sz w:val="18"/>
          <w:szCs w:val="18"/>
        </w:rPr>
        <w:t>la mancata, incompleta o irregolare traduzione in italiano della documentazione di gara, quando richiesta ai sensi del paragrafo 13.1.</w:t>
      </w:r>
    </w:p>
    <w:p>
      <w:pPr>
        <w:pStyle w:val="Normal"/>
        <w:spacing w:before="60" w:after="60"/>
        <w:rPr>
          <w:rFonts w:ascii="Titillium" w:hAnsi="Titillium"/>
          <w:sz w:val="18"/>
          <w:szCs w:val="18"/>
        </w:rPr>
      </w:pPr>
      <w:r>
        <w:rPr>
          <w:rFonts w:ascii="Titillium" w:hAnsi="Titillium"/>
          <w:sz w:val="18"/>
          <w:szCs w:val="18"/>
        </w:rPr>
        <w:t xml:space="preserve">Non sono sanabili: </w:t>
      </w:r>
    </w:p>
    <w:p>
      <w:pPr>
        <w:pStyle w:val="ListParagraph"/>
        <w:numPr>
          <w:ilvl w:val="0"/>
          <w:numId w:val="32"/>
        </w:numPr>
        <w:spacing w:before="0" w:after="0"/>
        <w:ind w:hanging="360" w:left="426"/>
        <w:contextualSpacing w:val="false"/>
        <w:rPr>
          <w:rFonts w:ascii="Titillium" w:hAnsi="Titillium"/>
          <w:sz w:val="18"/>
          <w:szCs w:val="18"/>
        </w:rPr>
      </w:pPr>
      <w:r>
        <w:rPr>
          <w:rFonts w:ascii="Titillium" w:hAnsi="Titillium"/>
          <w:sz w:val="18"/>
          <w:szCs w:val="18"/>
        </w:rPr>
        <w:t>il mancato possesso dei prescritti requisiti di partecipazione;</w:t>
      </w:r>
    </w:p>
    <w:p>
      <w:pPr>
        <w:pStyle w:val="ListParagraph"/>
        <w:numPr>
          <w:ilvl w:val="0"/>
          <w:numId w:val="32"/>
        </w:numPr>
        <w:spacing w:before="60" w:after="60"/>
        <w:ind w:hanging="360" w:left="426"/>
        <w:contextualSpacing w:val="false"/>
        <w:rPr/>
      </w:pPr>
      <w:r>
        <w:rPr>
          <w:rFonts w:ascii="Titillium" w:hAnsi="Titillium"/>
          <w:sz w:val="18"/>
          <w:szCs w:val="18"/>
        </w:rPr>
        <w:t>le false dichiarazioni circa il possesso dei prescritti requisiti di partecipazione;</w:t>
      </w:r>
    </w:p>
    <w:p>
      <w:pPr>
        <w:pStyle w:val="ListParagraph"/>
        <w:numPr>
          <w:ilvl w:val="0"/>
          <w:numId w:val="32"/>
        </w:numPr>
        <w:spacing w:before="60" w:after="120"/>
        <w:ind w:hanging="360" w:left="426"/>
        <w:contextualSpacing w:val="false"/>
        <w:rPr>
          <w:rFonts w:ascii="Titillium" w:hAnsi="Titillium"/>
          <w:sz w:val="18"/>
          <w:szCs w:val="18"/>
        </w:rPr>
      </w:pPr>
      <w:r>
        <w:rPr>
          <w:rFonts w:ascii="Titillium" w:hAnsi="Titillium"/>
          <w:sz w:val="18"/>
          <w:szCs w:val="18"/>
        </w:rPr>
        <w:t>la mancata indicazione nel contratto di avvalimento delle risorse messe a disposizione dell’ausiliario, in quanto causa di nullità del contratto di avvalimento;</w:t>
      </w:r>
    </w:p>
    <w:p>
      <w:pPr>
        <w:pStyle w:val="ListParagraph"/>
        <w:numPr>
          <w:ilvl w:val="0"/>
          <w:numId w:val="32"/>
        </w:numPr>
        <w:spacing w:before="0" w:after="0"/>
        <w:ind w:hanging="360" w:left="426"/>
        <w:contextualSpacing w:val="false"/>
        <w:rPr>
          <w:rFonts w:ascii="Titillium" w:hAnsi="Titillium"/>
          <w:sz w:val="18"/>
          <w:szCs w:val="18"/>
        </w:rPr>
      </w:pPr>
      <w:r>
        <w:rPr>
          <w:rFonts w:ascii="Titillium" w:hAnsi="Titillium"/>
          <w:sz w:val="18"/>
          <w:szCs w:val="18"/>
        </w:rPr>
        <w:t>la sottoscrizione della garanzia provvisoria da parte di un soggetto non legittimato a rilasciare la garanzia o non autorizzato ad impegnare il garante.</w:t>
      </w:r>
    </w:p>
    <w:p>
      <w:pPr>
        <w:pStyle w:val="ListParagraph"/>
        <w:ind w:left="0"/>
        <w:rPr>
          <w:rFonts w:ascii="Titillium" w:hAnsi="Titillium"/>
          <w:bCs/>
          <w:iCs/>
          <w:sz w:val="18"/>
          <w:szCs w:val="18"/>
        </w:rPr>
      </w:pPr>
      <w:r>
        <w:rPr>
          <w:rFonts w:ascii="Titillium" w:hAnsi="Titillium"/>
          <w:bCs/>
          <w:iCs/>
          <w:sz w:val="18"/>
          <w:szCs w:val="18"/>
        </w:rPr>
        <w:t>Inoltre, si rappresenta che:</w:t>
      </w:r>
    </w:p>
    <w:p>
      <w:pPr>
        <w:pStyle w:val="ListParagraph"/>
        <w:numPr>
          <w:ilvl w:val="0"/>
          <w:numId w:val="6"/>
        </w:numPr>
        <w:spacing w:before="60" w:after="60"/>
        <w:ind w:hanging="360" w:left="426"/>
        <w:contextualSpacing w:val="false"/>
        <w:rPr>
          <w:rFonts w:ascii="Titillium" w:hAnsi="Titillium"/>
          <w:sz w:val="18"/>
          <w:szCs w:val="18"/>
        </w:rPr>
      </w:pPr>
      <w:r>
        <w:rPr>
          <w:rFonts w:ascii="Titillium" w:hAnsi="Titillium"/>
          <w:sz w:val="18"/>
          <w:szCs w:val="18"/>
        </w:rPr>
        <w:t xml:space="preserve">sono sanabili l’omessa dichiarazione sull’assolvimento degli obblighi di cui alla legge 68/1999 e, per i concorrenti che occupano oltre cinquanta dipendenti, l’omessa presentazione di copia </w:t>
      </w:r>
      <w:r>
        <w:rPr>
          <w:rFonts w:cs="Courier New" w:ascii="Titillium" w:hAnsi="Titillium"/>
          <w:sz w:val="18"/>
          <w:szCs w:val="18"/>
        </w:rPr>
        <w:t xml:space="preserve">dell’ultimo rapporto periodico sulla situazione del personale maschile e femminile, redatto ai sensi dell’articolo 46 decreto legislativo n. 198 del 2006, e la trasmissione dello stesso alle rappresentanze sindacali e ai consiglieri regionali di parità, purché il rapporto sia stato redatto e trasmesso in data anteriore al termine per la presentazione delle offerte; </w:t>
      </w:r>
    </w:p>
    <w:p>
      <w:pPr>
        <w:pStyle w:val="ListParagraph"/>
        <w:numPr>
          <w:ilvl w:val="0"/>
          <w:numId w:val="6"/>
        </w:numPr>
        <w:spacing w:before="60" w:after="60"/>
        <w:ind w:hanging="360" w:left="426"/>
        <w:contextualSpacing w:val="false"/>
        <w:rPr>
          <w:rFonts w:ascii="Titillium" w:hAnsi="Titillium"/>
          <w:sz w:val="18"/>
          <w:szCs w:val="18"/>
        </w:rPr>
      </w:pPr>
      <w:r>
        <w:rPr>
          <w:rFonts w:ascii="Titillium" w:hAnsi="Titillium"/>
          <w:sz w:val="18"/>
          <w:szCs w:val="18"/>
        </w:rPr>
        <w:t xml:space="preserve">non è sanabile mediante soccorso istruttorio l’omesso impegno ad assicurare, in caso di aggiudicazione del contratto, l’assunzione di una quota di </w:t>
      </w:r>
      <w:r>
        <w:rPr>
          <w:rFonts w:cs="Arial" w:ascii="Titillium" w:hAnsi="Titillium"/>
          <w:sz w:val="18"/>
          <w:szCs w:val="18"/>
        </w:rPr>
        <w:t xml:space="preserve">occupazione giovanile e femminile di cui al paragrafo </w:t>
      </w:r>
      <w:r>
        <w:rPr>
          <w:rFonts w:cs="Arial" w:ascii="Titillium" w:hAnsi="Titillium"/>
          <w:sz w:val="18"/>
          <w:szCs w:val="18"/>
        </w:rPr>
        <w:fldChar w:fldCharType="begin"/>
      </w:r>
      <w:r>
        <w:rPr>
          <w:rFonts w:cs="Arial" w:ascii="Titillium" w:hAnsi="Titillium"/>
          <w:sz w:val="18"/>
          <w:szCs w:val="18"/>
        </w:rPr>
        <w:instrText xml:space="preserve"> REF _Ref132050689 \r \r \h </w:instrText>
      </w:r>
      <w:r>
        <w:rPr>
          <w:rFonts w:cs="Arial" w:ascii="Titillium" w:hAnsi="Titillium"/>
          <w:sz w:val="18"/>
          <w:szCs w:val="18"/>
        </w:rPr>
        <w:fldChar w:fldCharType="separate"/>
      </w:r>
      <w:r>
        <w:rPr>
          <w:rFonts w:cs="Arial" w:ascii="Titillium" w:hAnsi="Titillium"/>
          <w:sz w:val="18"/>
          <w:szCs w:val="18"/>
        </w:rPr>
        <w:t>9</w:t>
      </w:r>
      <w:r>
        <w:rPr>
          <w:rFonts w:cs="Arial" w:ascii="Titillium" w:hAnsi="Titillium"/>
          <w:sz w:val="18"/>
          <w:szCs w:val="18"/>
        </w:rPr>
        <w:fldChar w:fldCharType="end"/>
      </w:r>
      <w:r>
        <w:rPr>
          <w:rFonts w:cs="Arial" w:ascii="Titillium" w:hAnsi="Titillium"/>
          <w:sz w:val="18"/>
          <w:szCs w:val="18"/>
        </w:rPr>
        <w:t xml:space="preserve"> del presente Disciplinare.</w:t>
      </w:r>
    </w:p>
    <w:p>
      <w:pPr>
        <w:pStyle w:val="ListParagraph"/>
        <w:spacing w:before="60" w:after="60"/>
        <w:contextualSpacing w:val="false"/>
        <w:rPr>
          <w:rFonts w:ascii="Titillium" w:hAnsi="Titillium"/>
          <w:sz w:val="18"/>
          <w:szCs w:val="18"/>
        </w:rPr>
      </w:pPr>
      <w:r>
        <w:rPr>
          <w:rFonts w:ascii="Titillium" w:hAnsi="Titillium"/>
          <w:sz w:val="18"/>
          <w:szCs w:val="18"/>
        </w:rPr>
      </w:r>
    </w:p>
    <w:p>
      <w:pPr>
        <w:pStyle w:val="Normal"/>
        <w:rPr>
          <w:rFonts w:ascii="Titillium" w:hAnsi="Titillium" w:eastAsia="Calibri"/>
          <w:sz w:val="18"/>
          <w:szCs w:val="18"/>
          <w:lang w:eastAsia="it-IT"/>
        </w:rPr>
      </w:pPr>
      <w:r>
        <w:rPr>
          <w:rFonts w:eastAsia="Calibri" w:ascii="Titillium" w:hAnsi="Titillium"/>
          <w:sz w:val="18"/>
          <w:szCs w:val="18"/>
          <w:lang w:eastAsia="it-IT"/>
        </w:rPr>
        <w:t xml:space="preserve">Ai fini del soccorso istruttorio la stazione appaltante assegna al concorrente un termine </w:t>
      </w:r>
      <w:r>
        <w:rPr>
          <w:rFonts w:eastAsia="Calibri" w:cs="Arial" w:ascii="Titillium" w:hAnsi="Titillium"/>
          <w:sz w:val="18"/>
          <w:szCs w:val="18"/>
          <w:lang w:eastAsia="it-IT"/>
        </w:rPr>
        <w:t>non inferiore a cinque e non superiore a dieci giorni, affinché siano rese, integrate o regolarizzate le dichiarazioni necessarie, indicando il contenuto e i soggetti che le devono rendere, nonché la sezione della PAD dove deve essere inserita</w:t>
      </w:r>
      <w:r>
        <w:rPr>
          <w:rFonts w:eastAsia="Calibri" w:ascii="Titillium" w:hAnsi="Titillium"/>
          <w:sz w:val="18"/>
          <w:szCs w:val="18"/>
          <w:lang w:eastAsia="it-IT"/>
        </w:rPr>
        <w:t xml:space="preserve"> la documentazione richiesta. </w:t>
      </w:r>
    </w:p>
    <w:p>
      <w:pPr>
        <w:pStyle w:val="Normal"/>
        <w:spacing w:before="60" w:after="60"/>
        <w:rPr/>
      </w:pPr>
      <w:r>
        <w:rPr>
          <w:rFonts w:ascii="Titillium" w:hAnsi="Titillium"/>
          <w:sz w:val="18"/>
          <w:szCs w:val="18"/>
        </w:rPr>
        <w:t>In caso di inutile decorso del termine, se la mancata allegazione, integrazione o regolarizzazione riguarda la domanda di partecipazione, il DGUE o ogni altro documento richiesto necessariamente ai fini della partecipazione alla gara, la stazione appaltante procede all’esclusione del concorrente dalla procedura.</w:t>
      </w:r>
    </w:p>
    <w:p>
      <w:pPr>
        <w:pStyle w:val="Normal"/>
        <w:spacing w:before="60" w:after="60"/>
        <w:rPr>
          <w:rFonts w:ascii="Titillium" w:hAnsi="Titillium"/>
          <w:sz w:val="18"/>
          <w:szCs w:val="18"/>
        </w:rPr>
      </w:pPr>
      <w:r>
        <w:rPr>
          <w:rFonts w:ascii="Titillium" w:hAnsi="Titillium"/>
          <w:sz w:val="18"/>
          <w:szCs w:val="18"/>
        </w:rPr>
        <w:t>Ove il concorrente produca dichiarazioni o documenti non perfettamente coerenti con la richiesta, la stazione appaltante può chiedere ulteriori precisazioni o chiarimenti, limitati alla documentazione presentata in fase di soccorso istruttorio, fissando un termine a pena di esclusione.</w:t>
      </w:r>
    </w:p>
    <w:p>
      <w:pPr>
        <w:pStyle w:val="Normal"/>
        <w:spacing w:before="60" w:after="60"/>
        <w:rPr>
          <w:rFonts w:ascii="Titillium" w:hAnsi="Titillium"/>
          <w:sz w:val="18"/>
          <w:szCs w:val="18"/>
        </w:rPr>
      </w:pPr>
      <w:r>
        <w:rPr>
          <w:rFonts w:ascii="Titillium" w:hAnsi="Titillium"/>
          <w:sz w:val="18"/>
          <w:szCs w:val="18"/>
        </w:rPr>
        <w:t>La stazione appaltante può sempre chiedere chiarimenti sui contenuti dell’offerta tecnica e dell’offerta economica e su ogni loro allegato. L’operatore economico è tenuto a fornire risposta nel termine di 5 giorni. I chiarimenti resi dall’operatore economico non possono modificare il contenuto dell’offerta.</w:t>
      </w:r>
    </w:p>
    <w:p>
      <w:pPr>
        <w:pStyle w:val="Normal"/>
        <w:spacing w:before="60" w:after="60"/>
        <w:rPr>
          <w:rFonts w:ascii="Titillium" w:hAnsi="Titillium"/>
          <w:sz w:val="18"/>
          <w:szCs w:val="18"/>
        </w:rPr>
      </w:pPr>
      <w:r>
        <w:rPr>
          <w:rFonts w:ascii="Titillium" w:hAnsi="Titillium"/>
          <w:sz w:val="18"/>
          <w:szCs w:val="18"/>
        </w:rPr>
      </w:r>
    </w:p>
    <w:p>
      <w:pPr>
        <w:pStyle w:val="Heading2"/>
        <w:numPr>
          <w:ilvl w:val="0"/>
          <w:numId w:val="3"/>
        </w:numPr>
        <w:rPr/>
      </w:pPr>
      <w:bookmarkStart w:id="1677" w:name="_Toc207275748"/>
      <w:r>
        <w:rPr/>
        <w:t>DOMANDA DI PARTECIPAZIONE E DOCUMENTAZIONE AMMINISTRATIVA</w:t>
      </w:r>
      <w:bookmarkStart w:id="1678" w:name="_Toc380501873"/>
      <w:bookmarkStart w:id="1679" w:name="_Toc391035986"/>
      <w:bookmarkStart w:id="1680" w:name="_Toc391036059"/>
      <w:bookmarkStart w:id="1681" w:name="_Toc392577500"/>
      <w:bookmarkStart w:id="1682" w:name="_Toc393110567"/>
      <w:bookmarkStart w:id="1683" w:name="_Toc393112131"/>
      <w:bookmarkStart w:id="1684" w:name="_Toc393187848"/>
      <w:bookmarkStart w:id="1685" w:name="_Toc393272604"/>
      <w:bookmarkStart w:id="1686" w:name="_Toc393272662"/>
      <w:bookmarkStart w:id="1687" w:name="_Toc393283178"/>
      <w:bookmarkStart w:id="1688" w:name="_Toc393700837"/>
      <w:bookmarkStart w:id="1689" w:name="_Toc393706910"/>
      <w:bookmarkStart w:id="1690" w:name="_Toc397346825"/>
      <w:bookmarkStart w:id="1691" w:name="_Toc397422866"/>
      <w:bookmarkStart w:id="1692" w:name="_Toc403471273"/>
      <w:bookmarkStart w:id="1693" w:name="_Toc406058379"/>
      <w:bookmarkStart w:id="1694" w:name="_Toc406754180"/>
      <w:bookmarkStart w:id="1695" w:name="_Toc416423365"/>
      <w:bookmarkStart w:id="1696" w:name="_Toc354038186"/>
      <w:bookmarkStart w:id="1697" w:name="_Ref481767068"/>
      <w:bookmarkStart w:id="1698" w:name="_Ref4817670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pPr>
        <w:pStyle w:val="Normal"/>
        <w:spacing w:before="60" w:after="60"/>
        <w:rPr/>
      </w:pPr>
      <w:r>
        <w:rPr>
          <w:rFonts w:cs="Calibri" w:ascii="Titillium" w:hAnsi="Titillium"/>
          <w:sz w:val="18"/>
          <w:szCs w:val="18"/>
        </w:rPr>
        <w:t>L’operatore economico utilizza la PAD per compilare o allegare la seguente documentazione:</w:t>
      </w:r>
    </w:p>
    <w:p>
      <w:pPr>
        <w:pStyle w:val="ListParagraph"/>
        <w:numPr>
          <w:ilvl w:val="0"/>
          <w:numId w:val="11"/>
        </w:numPr>
        <w:spacing w:before="60" w:after="60"/>
        <w:contextualSpacing w:val="false"/>
        <w:rPr/>
      </w:pPr>
      <w:r>
        <w:rPr>
          <w:rFonts w:cs="Calibri" w:ascii="Titillium" w:hAnsi="Titillium"/>
          <w:sz w:val="18"/>
          <w:szCs w:val="18"/>
        </w:rPr>
        <w:t>Capitolato speciale;</w:t>
      </w:r>
    </w:p>
    <w:p>
      <w:pPr>
        <w:pStyle w:val="ListParagraph"/>
        <w:numPr>
          <w:ilvl w:val="0"/>
          <w:numId w:val="11"/>
        </w:numPr>
        <w:spacing w:before="60" w:after="60"/>
        <w:contextualSpacing w:val="false"/>
        <w:rPr/>
      </w:pPr>
      <w:r>
        <w:rPr>
          <w:rFonts w:cs="Calibri" w:ascii="Titillium" w:hAnsi="Titillium"/>
          <w:sz w:val="18"/>
          <w:szCs w:val="18"/>
        </w:rPr>
        <w:t>Allegato 1 – Clausole vessatorie;</w:t>
      </w:r>
    </w:p>
    <w:p>
      <w:pPr>
        <w:pStyle w:val="ListParagraph"/>
        <w:numPr>
          <w:ilvl w:val="0"/>
          <w:numId w:val="11"/>
        </w:numPr>
        <w:spacing w:before="60" w:after="60"/>
        <w:contextualSpacing w:val="false"/>
        <w:rPr/>
      </w:pPr>
      <w:r>
        <w:rPr>
          <w:rFonts w:cs="Calibri" w:ascii="Titillium" w:hAnsi="Titillium"/>
          <w:sz w:val="18"/>
          <w:szCs w:val="18"/>
        </w:rPr>
        <w:t>Allegato 2 - Domanda di partecipazione+ pagamento imposta di bollo di € 16,00;</w:t>
      </w:r>
    </w:p>
    <w:p>
      <w:pPr>
        <w:pStyle w:val="ListParagraph"/>
        <w:numPr>
          <w:ilvl w:val="0"/>
          <w:numId w:val="11"/>
        </w:numPr>
        <w:spacing w:before="60" w:after="60"/>
        <w:contextualSpacing w:val="false"/>
        <w:rPr/>
      </w:pPr>
      <w:r>
        <w:rPr>
          <w:rFonts w:cs="Calibri" w:ascii="Titillium" w:hAnsi="Titillium"/>
          <w:sz w:val="18"/>
          <w:szCs w:val="18"/>
        </w:rPr>
        <w:t>Allegato 3 – Schema di contratto;</w:t>
      </w:r>
    </w:p>
    <w:p>
      <w:pPr>
        <w:pStyle w:val="ListParagraph"/>
        <w:numPr>
          <w:ilvl w:val="0"/>
          <w:numId w:val="11"/>
        </w:numPr>
        <w:rPr>
          <w:rFonts w:ascii="Titillium" w:hAnsi="Titillium" w:cs="Calibri"/>
          <w:sz w:val="18"/>
          <w:szCs w:val="18"/>
        </w:rPr>
      </w:pPr>
      <w:r>
        <w:rPr>
          <w:rFonts w:cs="Calibri" w:ascii="Titillium" w:hAnsi="Titillium"/>
          <w:sz w:val="18"/>
          <w:szCs w:val="18"/>
        </w:rPr>
        <w:t>Allegato 4 - A norma dell’articolo 35 comma 5 bis, consenso al trattamento dei dati tramite il fascicolo virtuale;</w:t>
      </w:r>
    </w:p>
    <w:p>
      <w:pPr>
        <w:pStyle w:val="ListParagraph"/>
        <w:numPr>
          <w:ilvl w:val="0"/>
          <w:numId w:val="11"/>
        </w:numPr>
        <w:rPr>
          <w:rFonts w:ascii="Titillium" w:hAnsi="Titillium" w:cs="Calibri"/>
          <w:sz w:val="18"/>
          <w:szCs w:val="18"/>
        </w:rPr>
      </w:pPr>
      <w:r>
        <w:rPr>
          <w:rFonts w:cs="Calibri" w:ascii="Titillium" w:hAnsi="Titillium"/>
          <w:sz w:val="18"/>
          <w:szCs w:val="18"/>
        </w:rPr>
        <w:t>Allegato 5 - Dichiarazione pari opportunità;</w:t>
      </w:r>
    </w:p>
    <w:p>
      <w:pPr>
        <w:pStyle w:val="ListParagraph"/>
        <w:numPr>
          <w:ilvl w:val="0"/>
          <w:numId w:val="11"/>
        </w:numPr>
        <w:rPr>
          <w:rFonts w:ascii="Titillium" w:hAnsi="Titillium" w:cs="Calibri"/>
          <w:sz w:val="18"/>
          <w:szCs w:val="18"/>
        </w:rPr>
      </w:pPr>
      <w:r>
        <w:rPr>
          <w:rFonts w:cs="Calibri" w:ascii="Titillium" w:hAnsi="Titillium"/>
          <w:sz w:val="18"/>
          <w:szCs w:val="18"/>
        </w:rPr>
        <w:t>Allegato A – Scheda tecnica;</w:t>
      </w:r>
    </w:p>
    <w:p>
      <w:pPr>
        <w:pStyle w:val="ListParagraph"/>
        <w:numPr>
          <w:ilvl w:val="0"/>
          <w:numId w:val="11"/>
        </w:numPr>
        <w:rPr>
          <w:rFonts w:ascii="Titillium" w:hAnsi="Titillium" w:cs="Calibri"/>
          <w:sz w:val="18"/>
          <w:szCs w:val="18"/>
        </w:rPr>
      </w:pPr>
      <w:r>
        <w:rPr>
          <w:rFonts w:cs="Calibri" w:ascii="Titillium" w:hAnsi="Titillium"/>
          <w:sz w:val="18"/>
          <w:szCs w:val="18"/>
        </w:rPr>
        <w:t>DUVRI</w:t>
      </w:r>
    </w:p>
    <w:p>
      <w:pPr>
        <w:pStyle w:val="ListParagraph"/>
        <w:numPr>
          <w:ilvl w:val="0"/>
          <w:numId w:val="11"/>
        </w:numPr>
        <w:rPr>
          <w:rFonts w:ascii="Titillium" w:hAnsi="Titillium" w:cs="Calibri"/>
          <w:sz w:val="18"/>
          <w:szCs w:val="18"/>
        </w:rPr>
      </w:pPr>
      <w:r>
        <w:rPr>
          <w:rFonts w:cs="Calibri" w:ascii="Titillium" w:hAnsi="Titillium"/>
          <w:sz w:val="18"/>
          <w:szCs w:val="18"/>
        </w:rPr>
        <w:t>tabella DUVRI;</w:t>
      </w:r>
    </w:p>
    <w:p>
      <w:pPr>
        <w:pStyle w:val="ListParagraph"/>
        <w:numPr>
          <w:ilvl w:val="0"/>
          <w:numId w:val="11"/>
        </w:numPr>
        <w:spacing w:before="60" w:after="60"/>
        <w:contextualSpacing w:val="false"/>
        <w:rPr>
          <w:rFonts w:ascii="Titillium" w:hAnsi="Titillium" w:cs="Calibri"/>
          <w:sz w:val="18"/>
          <w:szCs w:val="18"/>
        </w:rPr>
      </w:pPr>
      <w:r>
        <w:rPr>
          <w:rFonts w:ascii="Titillium" w:hAnsi="Titillium"/>
          <w:sz w:val="18"/>
          <w:szCs w:val="18"/>
        </w:rPr>
        <w:t>Garanzia provvisoria con prova di eventuali riduzioni</w:t>
      </w:r>
      <w:r>
        <w:rPr>
          <w:rFonts w:cs="Calibri" w:ascii="Titillium" w:hAnsi="Titillium"/>
          <w:sz w:val="18"/>
          <w:szCs w:val="18"/>
        </w:rPr>
        <w:t>;</w:t>
      </w:r>
    </w:p>
    <w:p>
      <w:pPr>
        <w:pStyle w:val="ListParagraph"/>
        <w:numPr>
          <w:ilvl w:val="0"/>
          <w:numId w:val="11"/>
        </w:numPr>
        <w:spacing w:before="60" w:after="60"/>
        <w:contextualSpacing w:val="false"/>
        <w:rPr>
          <w:rFonts w:ascii="Titillium" w:hAnsi="Titillium"/>
          <w:sz w:val="18"/>
          <w:szCs w:val="18"/>
        </w:rPr>
      </w:pPr>
      <w:r>
        <w:rPr>
          <w:rFonts w:ascii="Titillium" w:hAnsi="Titillium"/>
          <w:sz w:val="18"/>
          <w:szCs w:val="18"/>
        </w:rPr>
        <w:t>Copia del pagamento del contributo ANAC;</w:t>
      </w:r>
    </w:p>
    <w:p>
      <w:pPr>
        <w:pStyle w:val="ListParagraph"/>
        <w:numPr>
          <w:ilvl w:val="0"/>
          <w:numId w:val="11"/>
        </w:numPr>
        <w:spacing w:before="60" w:after="60"/>
        <w:contextualSpacing w:val="false"/>
        <w:rPr>
          <w:rFonts w:ascii="Titillium" w:hAnsi="Titillium" w:cs="Calibri"/>
          <w:sz w:val="18"/>
          <w:szCs w:val="18"/>
        </w:rPr>
      </w:pPr>
      <w:r>
        <w:rPr>
          <w:rFonts w:cs="Calibri" w:ascii="Titillium" w:hAnsi="Titillium"/>
          <w:sz w:val="18"/>
          <w:szCs w:val="18"/>
        </w:rPr>
        <w:t>documentazione in caso di avvalimento di cui al successivo paragrafo 15.4;</w:t>
      </w:r>
    </w:p>
    <w:p>
      <w:pPr>
        <w:pStyle w:val="ListParagraph"/>
        <w:numPr>
          <w:ilvl w:val="0"/>
          <w:numId w:val="11"/>
        </w:numPr>
        <w:spacing w:before="60" w:after="60"/>
        <w:contextualSpacing w:val="false"/>
        <w:rPr/>
      </w:pPr>
      <w:r>
        <w:rPr>
          <w:rFonts w:cs="Calibri" w:ascii="Titillium" w:hAnsi="Titillium"/>
          <w:sz w:val="18"/>
          <w:szCs w:val="18"/>
        </w:rPr>
        <w:t>documentazione per i soggetti associati di cui al successivo paragrafo 15.5;</w:t>
      </w:r>
    </w:p>
    <w:p>
      <w:pPr>
        <w:pStyle w:val="ListParagraph"/>
        <w:numPr>
          <w:ilvl w:val="0"/>
          <w:numId w:val="11"/>
        </w:numPr>
        <w:spacing w:before="60" w:after="60"/>
        <w:contextualSpacing w:val="false"/>
        <w:rPr>
          <w:rFonts w:ascii="Titillium" w:hAnsi="Titillium"/>
          <w:iCs/>
          <w:sz w:val="18"/>
          <w:szCs w:val="18"/>
          <w:u w:val="single"/>
          <w:shd w:fill="FFFFFF" w:val="clear"/>
        </w:rPr>
      </w:pPr>
      <w:r>
        <w:rPr>
          <w:rFonts w:cs="Calibri" w:ascii="Titillium" w:hAnsi="Titillium"/>
          <w:b/>
          <w:iCs/>
          <w:sz w:val="18"/>
          <w:szCs w:val="18"/>
          <w:u w:val="single"/>
        </w:rPr>
        <w:t>DGUE da compilarsi direttamente sulla Piattaforma SATER</w:t>
      </w:r>
    </w:p>
    <w:p>
      <w:pPr>
        <w:pStyle w:val="Heading3"/>
        <w:numPr>
          <w:ilvl w:val="1"/>
          <w:numId w:val="3"/>
        </w:numPr>
        <w:ind w:hanging="426" w:left="426"/>
        <w:rPr/>
      </w:pPr>
      <w:bookmarkStart w:id="1699" w:name="_Toc207275749"/>
      <w:bookmarkStart w:id="1700" w:name="_Ref129789908"/>
      <w:bookmarkStart w:id="1701" w:name="_Ref129785861"/>
      <w:bookmarkStart w:id="1702" w:name="_Toc497831557"/>
      <w:bookmarkStart w:id="1703" w:name="_Toc498419755"/>
      <w:bookmarkStart w:id="1704" w:name="_Toc497484963"/>
      <w:bookmarkStart w:id="1705" w:name="_Toc497728161"/>
      <w:bookmarkStart w:id="1706" w:name="_Toc497831556"/>
      <w:bookmarkStart w:id="1707" w:name="_Toc498419754"/>
      <w:bookmarkStart w:id="1708" w:name="_Toc497484964"/>
      <w:bookmarkStart w:id="1709" w:name="_Toc497728162"/>
      <w:bookmarkEnd w:id="1702"/>
      <w:bookmarkEnd w:id="1703"/>
      <w:bookmarkEnd w:id="1704"/>
      <w:bookmarkEnd w:id="1705"/>
      <w:bookmarkEnd w:id="1706"/>
      <w:bookmarkEnd w:id="1707"/>
      <w:bookmarkEnd w:id="1708"/>
      <w:bookmarkEnd w:id="1709"/>
      <w:r>
        <w:rPr>
          <w:rFonts w:ascii="Titillium" w:hAnsi="Titillium"/>
          <w:sz w:val="18"/>
          <w:szCs w:val="18"/>
        </w:rPr>
        <w:t>DOMANDA DI PARTECIPAZIONE ED EVENTUALE PROCURA</w:t>
      </w:r>
      <w:bookmarkEnd w:id="1699"/>
      <w:bookmarkEnd w:id="1700"/>
      <w:bookmarkEnd w:id="1701"/>
      <w:r>
        <w:rPr>
          <w:rFonts w:ascii="Titillium" w:hAnsi="Titillium"/>
          <w:sz w:val="18"/>
          <w:szCs w:val="18"/>
        </w:rPr>
        <w:t xml:space="preserve"> </w:t>
      </w:r>
    </w:p>
    <w:p>
      <w:pPr>
        <w:pStyle w:val="Normal"/>
        <w:spacing w:before="60" w:after="60"/>
        <w:rPr>
          <w:rFonts w:ascii="Titillium" w:hAnsi="Titillium" w:cs="Calibri"/>
          <w:sz w:val="18"/>
          <w:szCs w:val="18"/>
        </w:rPr>
      </w:pPr>
      <w:r>
        <w:rPr>
          <w:rFonts w:cs="Calibri" w:ascii="Titillium" w:hAnsi="Titillium"/>
          <w:sz w:val="18"/>
          <w:szCs w:val="18"/>
        </w:rPr>
        <w:t>La domanda di partecipazione è redatta secondo il modello di cui all’allegato n. 2.</w:t>
      </w:r>
    </w:p>
    <w:p>
      <w:pPr>
        <w:pStyle w:val="Normal"/>
        <w:tabs>
          <w:tab w:val="clear" w:pos="708"/>
          <w:tab w:val="left" w:pos="2268" w:leader="none"/>
        </w:tabs>
        <w:spacing w:before="60" w:after="60"/>
        <w:rPr>
          <w:rFonts w:ascii="Titillium" w:hAnsi="Titillium" w:eastAsia="Times New Roman" w:cs="Calibri"/>
          <w:color w:val="auto"/>
          <w:kern w:val="0"/>
          <w:sz w:val="18"/>
          <w:szCs w:val="18"/>
          <w:lang w:val="it-IT" w:eastAsia="en-US" w:bidi="ar-SA"/>
          <w14:ligatures w14:val="none"/>
        </w:rPr>
      </w:pPr>
      <w:r>
        <w:rPr>
          <w:rFonts w:eastAsia="Times New Roman" w:cs="Calibri" w:ascii="Titillium" w:hAnsi="Titillium"/>
          <w:color w:val="auto"/>
          <w:kern w:val="0"/>
          <w:sz w:val="18"/>
          <w:szCs w:val="18"/>
          <w:lang w:val="it-IT" w:eastAsia="en-US" w:bidi="ar-SA"/>
          <w14:ligatures w14:val="none"/>
        </w:rPr>
        <w:t>In conformità alla vigente normativa in tema di utilizzo di sistemi di intelligenza artificiale, nella domanda il concorrente è tenuto a dichiarare:</w:t>
      </w:r>
    </w:p>
    <w:p>
      <w:pPr>
        <w:pStyle w:val="ListParagraph"/>
        <w:numPr>
          <w:ilvl w:val="0"/>
          <w:numId w:val="34"/>
        </w:numPr>
        <w:tabs>
          <w:tab w:val="clear" w:pos="708"/>
          <w:tab w:val="left" w:pos="2268" w:leader="none"/>
        </w:tabs>
        <w:suppressAutoHyphens w:val="true"/>
        <w:spacing w:before="60" w:after="60"/>
        <w:contextualSpacing w:val="false"/>
        <w:rPr>
          <w:rFonts w:ascii="Titillium" w:hAnsi="Titillium" w:eastAsia="Times New Roman" w:cs="Calibri"/>
          <w:color w:val="auto"/>
          <w:kern w:val="0"/>
          <w:sz w:val="18"/>
          <w:szCs w:val="18"/>
          <w:lang w:val="it-IT" w:eastAsia="en-US" w:bidi="ar-SA"/>
          <w14:ligatures w14:val="none"/>
        </w:rPr>
      </w:pPr>
      <w:r>
        <w:rPr>
          <w:rFonts w:eastAsia="Times New Roman" w:cs="Calibri" w:ascii="Titillium" w:hAnsi="Titillium"/>
          <w:color w:val="auto"/>
          <w:kern w:val="0"/>
          <w:sz w:val="18"/>
          <w:szCs w:val="18"/>
          <w:lang w:val="it-IT" w:eastAsia="en-US" w:bidi="ar-SA"/>
          <w14:ligatures w14:val="none"/>
        </w:rPr>
        <w:t>se nell’elaborazione dell’offerta tecnica si è avvalso dei sistemi di intelligenza artificiale, garantendo che l’uso di tali sistemi è avvenuto nel pieno rispetto del Regolamento UE 2024/1689, della legge n. 132 del 2025 e della vigente normativa sul trattamento e protezione dei dati (Regolamento UE 2016/679, decreto legislativo 196/2003);</w:t>
      </w:r>
    </w:p>
    <w:p>
      <w:pPr>
        <w:pStyle w:val="ListParagraph"/>
        <w:numPr>
          <w:ilvl w:val="0"/>
          <w:numId w:val="34"/>
        </w:numPr>
        <w:tabs>
          <w:tab w:val="clear" w:pos="708"/>
          <w:tab w:val="left" w:pos="2268" w:leader="none"/>
        </w:tabs>
        <w:suppressAutoHyphens w:val="true"/>
        <w:spacing w:before="60" w:after="60"/>
        <w:contextualSpacing w:val="false"/>
        <w:rPr>
          <w:rFonts w:ascii="Titillium" w:hAnsi="Titillium" w:eastAsia="Times New Roman" w:cs="Calibri"/>
          <w:color w:val="auto"/>
          <w:kern w:val="0"/>
          <w:sz w:val="18"/>
          <w:szCs w:val="18"/>
          <w:lang w:val="it-IT" w:eastAsia="en-US" w:bidi="ar-SA"/>
          <w14:ligatures w14:val="none"/>
        </w:rPr>
      </w:pPr>
      <w:r>
        <w:rPr>
          <w:rFonts w:eastAsia="Times New Roman" w:cs="Calibri" w:ascii="Titillium" w:hAnsi="Titillium"/>
          <w:color w:val="auto"/>
          <w:kern w:val="0"/>
          <w:sz w:val="18"/>
          <w:szCs w:val="18"/>
          <w:lang w:val="it-IT" w:eastAsia="en-US" w:bidi="ar-SA"/>
          <w14:ligatures w14:val="none"/>
        </w:rPr>
        <w:t xml:space="preserve">se, in caso di aggiudicazione dell’appalto, si avvarrà di sistemi di intelligenza artificiale ai fini dell’esecuzione della prestazione impegnandosi ad assicurare il rispetto delle medesime condizioni e garantendo l’osservanza del medesimo Regolamento UE 2024/1689, della legge n. 132 del 2025 e della normativa sul trattamento e protezione dei dati. </w:t>
      </w:r>
    </w:p>
    <w:p>
      <w:pPr>
        <w:pStyle w:val="Normal"/>
        <w:tabs>
          <w:tab w:val="clear" w:pos="708"/>
          <w:tab w:val="left" w:pos="2268" w:leader="none"/>
        </w:tabs>
        <w:spacing w:before="60" w:after="60"/>
        <w:rPr>
          <w:rFonts w:ascii="Titillium" w:hAnsi="Titillium" w:eastAsia="Times New Roman" w:cs="Calibri"/>
          <w:color w:val="auto"/>
          <w:kern w:val="0"/>
          <w:sz w:val="18"/>
          <w:szCs w:val="18"/>
          <w:lang w:val="it-IT" w:eastAsia="en-US" w:bidi="ar-SA"/>
          <w14:ligatures w14:val="none"/>
        </w:rPr>
      </w:pPr>
      <w:r>
        <w:rPr>
          <w:rFonts w:eastAsia="Times New Roman" w:cs="Calibri" w:ascii="Titillium" w:hAnsi="Titillium"/>
          <w:color w:val="auto"/>
          <w:kern w:val="0"/>
          <w:sz w:val="18"/>
          <w:szCs w:val="18"/>
          <w:lang w:val="it-IT" w:eastAsia="en-US" w:bidi="ar-SA"/>
          <w14:ligatures w14:val="none"/>
        </w:rPr>
        <w:t>In conformità a quanto previsto dall’articolo 13 della legge132/2025, nella domanda il concorrente è tenuto a dichiarare:</w:t>
      </w:r>
    </w:p>
    <w:p>
      <w:pPr>
        <w:pStyle w:val="ListParagraph"/>
        <w:numPr>
          <w:ilvl w:val="0"/>
          <w:numId w:val="34"/>
        </w:numPr>
        <w:tabs>
          <w:tab w:val="clear" w:pos="708"/>
          <w:tab w:val="left" w:pos="2268" w:leader="none"/>
        </w:tabs>
        <w:suppressAutoHyphens w:val="true"/>
        <w:spacing w:before="60" w:after="60"/>
        <w:contextualSpacing w:val="false"/>
        <w:rPr>
          <w:rFonts w:ascii="Titillium" w:hAnsi="Titillium" w:eastAsia="Times New Roman" w:cs="Calibri"/>
          <w:color w:val="auto"/>
          <w:kern w:val="0"/>
          <w:sz w:val="18"/>
          <w:szCs w:val="18"/>
          <w:lang w:val="it-IT" w:eastAsia="en-US" w:bidi="ar-SA"/>
          <w14:ligatures w14:val="none"/>
        </w:rPr>
      </w:pPr>
      <w:r>
        <w:rPr>
          <w:rFonts w:eastAsia="Times New Roman" w:cs="Calibri" w:ascii="Titillium" w:hAnsi="Titillium"/>
          <w:color w:val="auto"/>
          <w:kern w:val="0"/>
          <w:sz w:val="18"/>
          <w:szCs w:val="18"/>
          <w:lang w:val="it-IT" w:eastAsia="en-US" w:bidi="ar-SA"/>
          <w14:ligatures w14:val="none"/>
        </w:rPr>
        <w:t>se nell’elaborazione dell’offerta tecnica si è avvalso dei sistemi di intelligenza artificiale, specificando in caso di dichiarazione positiva di quale tipologia ed assicurando comunque la prevalenza del lavoro intellettuale, il controllo e la verifica dei risultati ottenuti e garantendo che l’uso di tali sistemi è avvenuto nel pieno rispetto del Regolamento UE 2024/1689, della legge n. 132 del 2025 e della vigente normativa sul trattamento e protezione dei dati (Regolamento UE 2016/679, decreto legislativo 196/2003);</w:t>
      </w:r>
    </w:p>
    <w:p>
      <w:pPr>
        <w:pStyle w:val="ListParagraph"/>
        <w:numPr>
          <w:ilvl w:val="0"/>
          <w:numId w:val="34"/>
        </w:numPr>
        <w:tabs>
          <w:tab w:val="clear" w:pos="708"/>
          <w:tab w:val="left" w:pos="2268" w:leader="none"/>
        </w:tabs>
        <w:suppressAutoHyphens w:val="true"/>
        <w:spacing w:before="60" w:after="60"/>
        <w:contextualSpacing w:val="false"/>
        <w:rPr>
          <w:rFonts w:ascii="Titillium" w:hAnsi="Titillium" w:eastAsia="Times New Roman" w:cs="Calibri"/>
          <w:color w:val="auto"/>
          <w:kern w:val="0"/>
          <w:sz w:val="18"/>
          <w:szCs w:val="18"/>
          <w:lang w:val="it-IT" w:eastAsia="en-US" w:bidi="ar-SA"/>
          <w14:ligatures w14:val="none"/>
        </w:rPr>
      </w:pPr>
      <w:r>
        <w:rPr>
          <w:rFonts w:eastAsia="Times New Roman" w:cs="Calibri" w:ascii="Titillium" w:hAnsi="Titillium"/>
          <w:color w:val="auto"/>
          <w:kern w:val="0"/>
          <w:sz w:val="18"/>
          <w:szCs w:val="18"/>
          <w:lang w:val="it-IT" w:eastAsia="en-US" w:bidi="ar-SA"/>
          <w14:ligatures w14:val="none"/>
        </w:rPr>
        <w:t xml:space="preserve">se, in caso di aggiudicazione dell’appalto, si avvarrà di sistemi di intelligenza artificiale ai fini dell’esecuzione della prestazione impegnandosi ad assicurare il rispetto delle medesime condizioni e garantendo l’osservanza del medesimo Regolamento UE 2024/1689, della legge n. 132 del 2025 e della normativa sul trattamento e protezione dei dati. </w:t>
      </w:r>
    </w:p>
    <w:p>
      <w:pPr>
        <w:pStyle w:val="Normal"/>
        <w:spacing w:before="60" w:after="60"/>
        <w:rPr>
          <w:rFonts w:ascii="Titillium" w:hAnsi="Titillium" w:cs="Calibri"/>
          <w:iCs/>
          <w:sz w:val="18"/>
          <w:szCs w:val="18"/>
        </w:rPr>
      </w:pPr>
      <w:r>
        <w:rPr>
          <w:rFonts w:cs="Calibri" w:ascii="Titillium" w:hAnsi="Titillium"/>
          <w:iCs/>
          <w:sz w:val="18"/>
          <w:szCs w:val="18"/>
        </w:rPr>
        <w:t xml:space="preserve">Le dichiarazioni in ordine all’insussistenza delle cause automatiche di esclusione di cui all’articolo 94 commi 1 e 2 del Codice sono rese dall’operatore economico in relazione a tutti i soggetti indicati al comma 3. </w:t>
      </w:r>
    </w:p>
    <w:p>
      <w:pPr>
        <w:pStyle w:val="Normal"/>
        <w:spacing w:before="60" w:after="60"/>
        <w:rPr>
          <w:rFonts w:ascii="Titillium" w:hAnsi="Titillium" w:cs="Calibri"/>
          <w:iCs/>
          <w:sz w:val="18"/>
          <w:szCs w:val="18"/>
        </w:rPr>
      </w:pPr>
      <w:r>
        <w:rPr>
          <w:rFonts w:cs="Calibri" w:ascii="Titillium" w:hAnsi="Titillium"/>
          <w:iCs/>
          <w:sz w:val="18"/>
          <w:szCs w:val="18"/>
        </w:rPr>
        <w:t>Le dichiarazioni in ordine all’insussistenza delle cause non automatiche di esclusione di cui all’articolo 98, comma 3, lettere g) ed h) del Codice sono rese dall’operatore economico in relazione ai soggetti di cui al punto precedente.</w:t>
      </w:r>
    </w:p>
    <w:p>
      <w:pPr>
        <w:pStyle w:val="Normal"/>
        <w:spacing w:before="60" w:after="60"/>
        <w:rPr>
          <w:rFonts w:ascii="Titillium" w:hAnsi="Titillium" w:cs="Calibri"/>
          <w:iCs/>
          <w:sz w:val="18"/>
          <w:szCs w:val="18"/>
        </w:rPr>
      </w:pPr>
      <w:r>
        <w:rPr>
          <w:rFonts w:cs="Calibri" w:ascii="Titillium" w:hAnsi="Titillium"/>
          <w:iCs/>
          <w:sz w:val="18"/>
          <w:szCs w:val="18"/>
        </w:rPr>
        <w:t>Le dichiarazioni in ordine all’insussistenza delle altre cause di esclusione sono rese in relazione all’operatore economico.</w:t>
      </w:r>
    </w:p>
    <w:p>
      <w:pPr>
        <w:pStyle w:val="Normal"/>
        <w:spacing w:before="60" w:after="60"/>
        <w:rPr>
          <w:rFonts w:ascii="Titillium" w:hAnsi="Titillium" w:cs="Calibri"/>
          <w:iCs/>
          <w:sz w:val="18"/>
          <w:szCs w:val="18"/>
        </w:rPr>
      </w:pPr>
      <w:r>
        <w:rPr>
          <w:rFonts w:cs="Calibri" w:ascii="Titillium" w:hAnsi="Titillium"/>
          <w:iCs/>
          <w:sz w:val="18"/>
          <w:szCs w:val="18"/>
        </w:rPr>
        <w:t>Con riferimento alle cause di esclusione di cui all’articolo 95 del Codice, il concorrente dichiara:</w:t>
      </w:r>
    </w:p>
    <w:p>
      <w:pPr>
        <w:pStyle w:val="Normal"/>
        <w:spacing w:before="60" w:after="60"/>
        <w:rPr>
          <w:rFonts w:ascii="Titillium" w:hAnsi="Titillium" w:cs="Calibri"/>
          <w:iCs/>
          <w:sz w:val="18"/>
          <w:szCs w:val="18"/>
        </w:rPr>
      </w:pPr>
      <w:r>
        <w:rPr>
          <w:rFonts w:cs="Calibri" w:ascii="Titillium" w:hAnsi="Titillium"/>
          <w:iCs/>
          <w:sz w:val="18"/>
          <w:szCs w:val="18"/>
        </w:rPr>
        <w:t>-</w:t>
        <w:tab/>
        <w:t xml:space="preserve">le gravi infrazioni di cui all’articolo 95, comma 1, lettera a) del Codice commesse nei tre anni antecedenti la data di pubblicazione del bando di gara; </w:t>
      </w:r>
    </w:p>
    <w:p>
      <w:pPr>
        <w:pStyle w:val="Normal"/>
        <w:spacing w:before="60" w:after="60"/>
        <w:rPr>
          <w:rFonts w:ascii="Titillium" w:hAnsi="Titillium" w:cs="Calibri"/>
          <w:iCs/>
          <w:sz w:val="18"/>
          <w:szCs w:val="18"/>
        </w:rPr>
      </w:pPr>
      <w:r>
        <w:rPr>
          <w:rFonts w:cs="Calibri" w:ascii="Titillium" w:hAnsi="Titillium"/>
          <w:iCs/>
          <w:sz w:val="18"/>
          <w:szCs w:val="18"/>
        </w:rPr>
        <w:t>-</w:t>
        <w:tab/>
        <w:t>gli atti e i provvedimenti indicati all’articolo 98 comma 6 del codice emessi nei tre anni antecedenti la data di pubblicazione del bando di gara</w:t>
      </w:r>
    </w:p>
    <w:p>
      <w:pPr>
        <w:pStyle w:val="Normal"/>
        <w:spacing w:before="60" w:after="60"/>
        <w:rPr>
          <w:rFonts w:ascii="Titillium" w:hAnsi="Titillium" w:cs="Calibri"/>
          <w:iCs/>
          <w:sz w:val="18"/>
          <w:szCs w:val="18"/>
        </w:rPr>
      </w:pPr>
      <w:r>
        <w:rPr>
          <w:rFonts w:cs="Calibri" w:ascii="Titillium" w:hAnsi="Titillium"/>
          <w:iCs/>
          <w:sz w:val="18"/>
          <w:szCs w:val="18"/>
        </w:rPr>
        <w:t>-</w:t>
        <w:tab/>
        <w:t>tutti gli altri comportamenti di cui all’articolo 98 del Codice, commessi nei tre anni antecedenti la data di pubblicazione del bando di gara.</w:t>
      </w:r>
    </w:p>
    <w:p>
      <w:pPr>
        <w:pStyle w:val="Normal"/>
        <w:spacing w:before="60" w:after="60"/>
        <w:rPr>
          <w:rFonts w:ascii="Titillium" w:hAnsi="Titillium" w:cs="Calibri"/>
          <w:iCs/>
          <w:sz w:val="18"/>
          <w:szCs w:val="18"/>
        </w:rPr>
      </w:pPr>
      <w:r>
        <w:rPr>
          <w:rFonts w:cs="Calibri" w:ascii="Titillium" w:hAnsi="Titillium"/>
          <w:iCs/>
          <w:sz w:val="18"/>
          <w:szCs w:val="18"/>
        </w:rPr>
        <w:t>La dichiarazione di cui sopra deve essere resa anche nel caso di impugnazione in giudizio dei relativi provvedimenti.</w:t>
      </w:r>
    </w:p>
    <w:p>
      <w:pPr>
        <w:pStyle w:val="Normal"/>
        <w:spacing w:before="60" w:after="60"/>
        <w:rPr>
          <w:rFonts w:ascii="Titillium" w:hAnsi="Titillium" w:cs="Calibri"/>
          <w:iCs/>
          <w:sz w:val="18"/>
          <w:szCs w:val="18"/>
        </w:rPr>
      </w:pPr>
      <w:r>
        <w:rPr>
          <w:rFonts w:cs="Calibri" w:ascii="Titillium" w:hAnsi="Titillium"/>
          <w:iCs/>
          <w:sz w:val="18"/>
          <w:szCs w:val="18"/>
        </w:rPr>
        <w:t>L’operatore economico dichiara la sussistenza delle cause di esclusione che si sono verificate prima della presentazione dell’offerta e indica le misure di self-cleaning adottate, oppure dimostra l’impossibilità di adottare tali misure prima della presentazione dell’offerta.</w:t>
      </w:r>
    </w:p>
    <w:p>
      <w:pPr>
        <w:pStyle w:val="Normal"/>
        <w:spacing w:before="60" w:after="60"/>
        <w:rPr>
          <w:rFonts w:ascii="Titillium" w:hAnsi="Titillium" w:cs="Calibri"/>
          <w:iCs/>
          <w:sz w:val="18"/>
          <w:szCs w:val="18"/>
        </w:rPr>
      </w:pPr>
      <w:r>
        <w:rPr>
          <w:rFonts w:cs="Calibri" w:ascii="Titillium" w:hAnsi="Titillium"/>
          <w:iCs/>
          <w:sz w:val="18"/>
          <w:szCs w:val="18"/>
        </w:rPr>
        <w:t>L’operatore economico adotta le misure di self-cleaning che è stato impossibilitato ad adottare prima della presentazione dell’offerta e quelle relative a cause di esclusione che si sono verificate dopo tale momento.</w:t>
      </w:r>
    </w:p>
    <w:p>
      <w:pPr>
        <w:pStyle w:val="Normal"/>
        <w:spacing w:before="60" w:after="60"/>
        <w:rPr>
          <w:rFonts w:ascii="Titillium" w:hAnsi="Titillium" w:cs="Calibri"/>
          <w:iCs/>
          <w:sz w:val="18"/>
          <w:szCs w:val="18"/>
        </w:rPr>
      </w:pPr>
      <w:r>
        <w:rPr>
          <w:rFonts w:cs="Calibri" w:ascii="Titillium" w:hAnsi="Titillium"/>
          <w:iCs/>
          <w:sz w:val="18"/>
          <w:szCs w:val="18"/>
        </w:rPr>
        <w:t>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pPr>
        <w:pStyle w:val="Normal"/>
        <w:spacing w:before="60" w:after="60"/>
        <w:rPr>
          <w:rFonts w:ascii="Titillium" w:hAnsi="Titillium" w:cs="Calibri"/>
          <w:iCs/>
          <w:sz w:val="18"/>
          <w:szCs w:val="18"/>
        </w:rPr>
      </w:pPr>
      <w:r>
        <w:rPr>
          <w:rFonts w:cs="Calibri" w:ascii="Titillium" w:hAnsi="Titillium"/>
          <w:iCs/>
          <w:sz w:val="18"/>
          <w:szCs w:val="18"/>
        </w:rPr>
        <w:t>In caso di raggruppamento temporaneo, consorzio ordinario, aggregazione di retisti, GEIE, il concorrente fornisce i dati identificativi (ragione sociale, codice fiscale, sede) e il ruolo di ciascun partecipante.</w:t>
      </w:r>
    </w:p>
    <w:p>
      <w:pPr>
        <w:pStyle w:val="Normal"/>
        <w:spacing w:before="60" w:after="60"/>
        <w:rPr>
          <w:rFonts w:ascii="Titillium" w:hAnsi="Titillium" w:cs="Calibri"/>
          <w:iCs/>
          <w:sz w:val="18"/>
          <w:szCs w:val="18"/>
        </w:rPr>
      </w:pPr>
      <w:r>
        <w:rPr>
          <w:rFonts w:cs="Calibri" w:ascii="Titillium" w:hAnsi="Titillium"/>
          <w:iCs/>
          <w:sz w:val="18"/>
          <w:szCs w:val="18"/>
        </w:rPr>
        <w:t>In caso di consorzio di cooperative, consorzio imprese artigiane o di consorzio stabile di cui all’articolo 65, comma 2, lettera b), c), d) del Codice, il consorzio indica il consorziato per il quale concorre alla gara.</w:t>
      </w:r>
    </w:p>
    <w:p>
      <w:pPr>
        <w:pStyle w:val="Normal"/>
        <w:spacing w:before="60" w:after="60"/>
        <w:rPr>
          <w:rFonts w:ascii="Titillium" w:hAnsi="Titillium" w:cs="Calibri"/>
          <w:iCs/>
          <w:sz w:val="18"/>
          <w:szCs w:val="18"/>
        </w:rPr>
      </w:pPr>
      <w:r>
        <w:rPr>
          <w:rFonts w:cs="Calibri" w:ascii="Titillium" w:hAnsi="Titillium"/>
          <w:iCs/>
          <w:sz w:val="18"/>
          <w:szCs w:val="18"/>
        </w:rPr>
        <w:t>Nella domanda di partecipazione il concorrente dichiara:</w:t>
      </w:r>
    </w:p>
    <w:p>
      <w:pPr>
        <w:pStyle w:val="Normal"/>
        <w:spacing w:before="60" w:after="60"/>
        <w:rPr>
          <w:rFonts w:ascii="Titillium" w:hAnsi="Titillium" w:cs="Calibri"/>
          <w:iCs/>
          <w:sz w:val="18"/>
          <w:szCs w:val="18"/>
        </w:rPr>
      </w:pPr>
      <w:r>
        <w:rPr>
          <w:rFonts w:cs="Calibri" w:ascii="Titillium" w:hAnsi="Titillium"/>
          <w:iCs/>
          <w:sz w:val="18"/>
          <w:szCs w:val="18"/>
        </w:rPr>
        <w:t>- i dati identificativi (nome, cognome, data e luogo di nascita, codice fiscale, comune di residenza etc.) dei soggetti di cui all’articolo 94, comma 3, del Codice, ivi incluso l’amministratore di fatto, ove presente, ovvero indica la banca dati ufficiale o il pubblico registro da cui i medesimi possono essere ricavati in modo aggiornato alla data di presentazione dell’offerta;</w:t>
      </w:r>
    </w:p>
    <w:p>
      <w:pPr>
        <w:pStyle w:val="Normal"/>
        <w:spacing w:before="60" w:after="60"/>
        <w:rPr>
          <w:rFonts w:ascii="Titillium" w:hAnsi="Titillium" w:cs="Calibri"/>
          <w:iCs/>
          <w:sz w:val="18"/>
          <w:szCs w:val="18"/>
        </w:rPr>
      </w:pPr>
      <w:r>
        <w:rPr>
          <w:rFonts w:cs="Calibri" w:ascii="Titillium" w:hAnsi="Titillium"/>
          <w:iCs/>
          <w:sz w:val="18"/>
          <w:szCs w:val="18"/>
        </w:rPr>
        <w:t>- 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w:t>
      </w:r>
    </w:p>
    <w:p>
      <w:pPr>
        <w:pStyle w:val="Normal"/>
        <w:spacing w:before="60" w:after="60"/>
        <w:rPr>
          <w:rFonts w:ascii="Titillium" w:hAnsi="Titillium" w:cs="Calibri"/>
          <w:iCs/>
          <w:sz w:val="18"/>
          <w:szCs w:val="18"/>
        </w:rPr>
      </w:pPr>
      <w:r>
        <w:rPr>
          <w:rFonts w:cs="Calibri" w:ascii="Titillium" w:hAnsi="Titillium"/>
          <w:iCs/>
          <w:sz w:val="18"/>
          <w:szCs w:val="18"/>
        </w:rPr>
        <w:t>- di accettare, senza condizione o riserva alcuna, tutte le norme e disposizioni contenute nella documentazione gara;</w:t>
      </w:r>
    </w:p>
    <w:p>
      <w:pPr>
        <w:pStyle w:val="Normal"/>
        <w:spacing w:before="60" w:after="60"/>
        <w:rPr>
          <w:rFonts w:ascii="Titillium" w:hAnsi="Titillium" w:cs="Calibri"/>
          <w:iCs/>
          <w:sz w:val="18"/>
          <w:szCs w:val="18"/>
        </w:rPr>
      </w:pPr>
      <w:r>
        <w:rPr>
          <w:rFonts w:cs="Calibri" w:ascii="Titillium" w:hAnsi="Titillium"/>
          <w:iCs/>
          <w:sz w:val="18"/>
          <w:szCs w:val="18"/>
        </w:rPr>
        <w:t>- di applicare il CCNL indicato dalla stazione appaltante o altro CCNL equivalente, con l’indicazione del relativo codice alfanumerico unico di cui all’articolo 16 quater del decreto-legge 76/20;</w:t>
      </w:r>
    </w:p>
    <w:p>
      <w:pPr>
        <w:pStyle w:val="Normal"/>
        <w:spacing w:before="60" w:after="60"/>
        <w:rPr>
          <w:rFonts w:ascii="Titillium" w:hAnsi="Titillium" w:cs="Calibri"/>
          <w:iCs/>
          <w:sz w:val="18"/>
          <w:szCs w:val="18"/>
        </w:rPr>
      </w:pPr>
      <w:r>
        <w:rPr>
          <w:rFonts w:cs="Calibri" w:ascii="Titillium" w:hAnsi="Titillium"/>
          <w:iCs/>
          <w:sz w:val="18"/>
          <w:szCs w:val="18"/>
        </w:rPr>
        <w:t>- di garantire, secondo quanto indicato all’articolo 9, la stabilità occupazionale del personale impiegato;</w:t>
      </w:r>
    </w:p>
    <w:p>
      <w:pPr>
        <w:pStyle w:val="Normal"/>
        <w:spacing w:before="60" w:after="60"/>
        <w:rPr>
          <w:rFonts w:ascii="Titillium" w:hAnsi="Titillium" w:cs="Calibri"/>
          <w:iCs/>
          <w:sz w:val="18"/>
          <w:szCs w:val="18"/>
        </w:rPr>
      </w:pPr>
      <w:r>
        <w:rPr>
          <w:rFonts w:cs="Calibri" w:ascii="Titillium" w:hAnsi="Titillium"/>
          <w:iCs/>
          <w:sz w:val="18"/>
          <w:szCs w:val="18"/>
        </w:rPr>
        <w:t>- di essere edotto degli obblighi derivanti dal Codice di comportamento adottato dalla stazione appaltante con Delibera del Direttore Generale n.40 del 25.01.2024, pubblicato nella sezione amministrazione trasparente https://www.ausl.bologna.it/amministrazione-trasparente/disposizioni-generali/atti-generali/cdcc e di impegnarsi, in caso di aggiudicazione, ad osservare e a far osservare ai propri dipendenti e collaboratori, per quanto applicabile, il suddetto codice, pena la risoluzione del contratto;</w:t>
      </w:r>
    </w:p>
    <w:p>
      <w:pPr>
        <w:pStyle w:val="Normal"/>
        <w:spacing w:before="60" w:after="60"/>
        <w:rPr>
          <w:rFonts w:ascii="Titillium" w:hAnsi="Titillium" w:cs="Calibri"/>
          <w:iCs/>
          <w:sz w:val="18"/>
          <w:szCs w:val="18"/>
        </w:rPr>
      </w:pPr>
      <w:r>
        <w:rPr>
          <w:rFonts w:cs="Calibri" w:ascii="Titillium" w:hAnsi="Titillium"/>
          <w:iCs/>
          <w:sz w:val="18"/>
          <w:szCs w:val="18"/>
        </w:rPr>
        <w:t>- di accettare il patto di integrità di cui a protocollo n.121859 del 13.11.2023 dell’Ausl di Bologna di aggiornamento del Patto di Integrità approvato di cui a delibera n.41 del 30.01.2015 dell’Azienda USL di Bologna  accessibile al seguente link https://www.ausl.bologna.it/asl-bologna/da/uoc-servizio-acquisti-metropolitano/trasparenza/atti-generali/Patto%20di%20Integrita.pdf/view :</w:t>
      </w:r>
    </w:p>
    <w:p>
      <w:pPr>
        <w:pStyle w:val="Normal"/>
        <w:spacing w:before="60" w:after="60"/>
        <w:rPr>
          <w:rFonts w:ascii="Titillium" w:hAnsi="Titillium" w:cs="Calibri"/>
          <w:iCs/>
          <w:sz w:val="18"/>
          <w:szCs w:val="18"/>
        </w:rPr>
      </w:pPr>
      <w:r>
        <w:rPr>
          <w:rFonts w:cs="Calibri" w:ascii="Titillium" w:hAnsi="Titillium"/>
          <w:iCs/>
          <w:sz w:val="18"/>
          <w:szCs w:val="18"/>
        </w:rPr>
        <w:t>- per gli operatori economici non residenti e privi di stabile organizzazione in Italia, l’impegno ad uniformarsi, in caso di aggiudicazione, alla disciplina di cui agli articoli 17, comma 2, e 53, comma 3 del decreto del Presidente della Repubblica 633/72 e a comunicare alla stazione appaltante la nomina del proprio rappresentante fiscale, nelle forme di legge;</w:t>
      </w:r>
    </w:p>
    <w:p>
      <w:pPr>
        <w:pStyle w:val="Normal"/>
        <w:spacing w:before="60" w:after="60"/>
        <w:rPr>
          <w:rFonts w:ascii="Titillium" w:hAnsi="Titillium" w:cs="Calibri"/>
          <w:iCs/>
          <w:sz w:val="18"/>
          <w:szCs w:val="18"/>
        </w:rPr>
      </w:pPr>
      <w:r>
        <w:rPr>
          <w:rFonts w:cs="Calibri" w:ascii="Titillium" w:hAnsi="Titillium"/>
          <w:iCs/>
          <w:sz w:val="18"/>
          <w:szCs w:val="18"/>
        </w:rPr>
        <w:t>- per gli operatori economici non residenti e privi di stabile organizzazione in Italia, il domicilio fiscale …, il codice fiscale …, la partita IVA …, l’indirizzo di posta elettronica certificata o strumento analogo negli altri Stati Membri, ai fini delle comunicazioni di cui all’articolo 90 del Codice;</w:t>
      </w:r>
    </w:p>
    <w:p>
      <w:pPr>
        <w:pStyle w:val="Normal"/>
        <w:spacing w:before="60" w:after="60"/>
        <w:rPr>
          <w:rFonts w:ascii="Titillium" w:hAnsi="Titillium" w:cs="Calibri"/>
          <w:iCs/>
          <w:sz w:val="18"/>
          <w:szCs w:val="18"/>
        </w:rPr>
      </w:pPr>
      <w:r>
        <w:rPr>
          <w:rFonts w:cs="Calibri" w:ascii="Titillium" w:hAnsi="Titillium"/>
          <w:iCs/>
          <w:sz w:val="18"/>
          <w:szCs w:val="18"/>
        </w:rPr>
        <w:t>- di aver preso visione e di accettare il trattamento dei dati personali di cui al punto 29.</w:t>
      </w:r>
    </w:p>
    <w:p>
      <w:pPr>
        <w:pStyle w:val="Normal"/>
        <w:spacing w:before="60" w:after="60"/>
        <w:rPr>
          <w:rFonts w:ascii="Titillium" w:hAnsi="Titillium" w:cs="Calibri"/>
          <w:iCs/>
          <w:sz w:val="18"/>
          <w:szCs w:val="18"/>
        </w:rPr>
      </w:pPr>
      <w:r>
        <w:rPr>
          <w:rFonts w:cs="Calibri" w:ascii="Titillium" w:hAnsi="Titillium"/>
          <w:iCs/>
          <w:sz w:val="18"/>
          <w:szCs w:val="18"/>
        </w:rPr>
      </w:r>
    </w:p>
    <w:p>
      <w:pPr>
        <w:pStyle w:val="Normal"/>
        <w:spacing w:before="60" w:after="60"/>
        <w:rPr>
          <w:rFonts w:ascii="Titillium" w:hAnsi="Titillium"/>
          <w:sz w:val="18"/>
          <w:szCs w:val="18"/>
        </w:rPr>
      </w:pPr>
      <w:bookmarkStart w:id="1710" w:name="_Ref484611690"/>
      <w:bookmarkStart w:id="1711" w:name="_Ref484611693"/>
      <w:bookmarkStart w:id="1712" w:name="_Toc484688885"/>
      <w:bookmarkStart w:id="1713" w:name="_Toc485218321"/>
      <w:bookmarkStart w:id="1714" w:name="_Toc483302395"/>
      <w:bookmarkStart w:id="1715" w:name="_Toc483316016"/>
      <w:bookmarkStart w:id="1716" w:name="_Toc483316221"/>
      <w:bookmarkStart w:id="1717" w:name="_Toc483316353"/>
      <w:bookmarkStart w:id="1718" w:name="_Toc483316484"/>
      <w:bookmarkStart w:id="1719" w:name="_Toc483325787"/>
      <w:bookmarkStart w:id="1720" w:name="_Toc483401266"/>
      <w:bookmarkStart w:id="1721" w:name="_Toc483474063"/>
      <w:bookmarkStart w:id="1722" w:name="_Toc483571492"/>
      <w:bookmarkStart w:id="1723" w:name="_Toc483571613"/>
      <w:bookmarkStart w:id="1724" w:name="_Toc483906990"/>
      <w:bookmarkStart w:id="1725" w:name="_Toc484010740"/>
      <w:bookmarkStart w:id="1726" w:name="_Toc484010862"/>
      <w:bookmarkStart w:id="1727" w:name="_Toc484010986"/>
      <w:bookmarkStart w:id="1728" w:name="_Toc484011108"/>
      <w:bookmarkStart w:id="1729" w:name="_Toc484011230"/>
      <w:bookmarkStart w:id="1730" w:name="_Toc484011705"/>
      <w:bookmarkStart w:id="1731" w:name="_Toc484097779"/>
      <w:bookmarkStart w:id="1732" w:name="_Toc484428951"/>
      <w:bookmarkStart w:id="1733" w:name="_Toc484429121"/>
      <w:bookmarkStart w:id="1734" w:name="_Toc484438696"/>
      <w:bookmarkStart w:id="1735" w:name="_Toc484438820"/>
      <w:bookmarkStart w:id="1736" w:name="_Toc484438944"/>
      <w:bookmarkStart w:id="1737" w:name="_Toc484439864"/>
      <w:bookmarkStart w:id="1738" w:name="_Toc484439987"/>
      <w:bookmarkStart w:id="1739" w:name="_Toc484440111"/>
      <w:bookmarkStart w:id="1740" w:name="_Toc484440471"/>
      <w:bookmarkStart w:id="1741" w:name="_Toc484448130"/>
      <w:bookmarkStart w:id="1742" w:name="_Toc484448255"/>
      <w:bookmarkStart w:id="1743" w:name="_Toc484448379"/>
      <w:bookmarkStart w:id="1744" w:name="_Toc484448503"/>
      <w:bookmarkStart w:id="1745" w:name="_Toc484448627"/>
      <w:bookmarkStart w:id="1746" w:name="_Toc484448751"/>
      <w:bookmarkStart w:id="1747" w:name="_Toc484448874"/>
      <w:bookmarkStart w:id="1748" w:name="_Toc484448998"/>
      <w:bookmarkStart w:id="1749" w:name="_Toc484449122"/>
      <w:bookmarkStart w:id="1750" w:name="_Toc484526617"/>
      <w:bookmarkStart w:id="1751" w:name="_Toc484605337"/>
      <w:bookmarkStart w:id="1752" w:name="_Toc484605461"/>
      <w:bookmarkStart w:id="1753" w:name="_Toc484688330"/>
      <w:bookmarkStart w:id="1754" w:name="_Ref4984219821"/>
      <w:bookmarkStart w:id="1755" w:name="_Toc609251781"/>
      <w:bookmarkStart w:id="1756" w:name="_Toc3805018791"/>
      <w:bookmarkStart w:id="1757" w:name="_Toc3910359921"/>
      <w:bookmarkStart w:id="1758" w:name="_Toc3910360651"/>
      <w:bookmarkStart w:id="1759" w:name="_Toc3925775061"/>
      <w:bookmarkStart w:id="1760" w:name="_Toc3931105731"/>
      <w:bookmarkStart w:id="1761" w:name="_Toc3931121371"/>
      <w:bookmarkStart w:id="1762" w:name="_Toc3931878541"/>
      <w:bookmarkStart w:id="1763" w:name="_Toc3932726101"/>
      <w:bookmarkStart w:id="1764" w:name="_Toc3932726681"/>
      <w:bookmarkStart w:id="1765" w:name="_Toc3932831841"/>
      <w:bookmarkStart w:id="1766" w:name="_Toc3937008431"/>
      <w:bookmarkStart w:id="1767" w:name="_Toc3937069161"/>
      <w:bookmarkStart w:id="1768" w:name="_Toc3973468311"/>
      <w:bookmarkStart w:id="1769" w:name="_Toc3974228721"/>
      <w:bookmarkStart w:id="1770" w:name="_Toc4034712791"/>
      <w:bookmarkStart w:id="1771" w:name="_Toc4060583871"/>
      <w:bookmarkStart w:id="1772" w:name="_Toc4067541881"/>
      <w:bookmarkStart w:id="1773" w:name="_Toc4164233711"/>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r>
        <w:rPr>
          <w:rFonts w:cs="Calibri" w:ascii="Titillium" w:hAnsi="Titillium"/>
          <w:sz w:val="18"/>
          <w:szCs w:val="18"/>
        </w:rPr>
        <w:t>La domanda e le relative dichiarazioni sono sottoscritte</w:t>
      </w:r>
      <w:r>
        <w:rPr>
          <w:rFonts w:ascii="Titillium" w:hAnsi="Titillium"/>
          <w:sz w:val="18"/>
          <w:szCs w:val="18"/>
        </w:rPr>
        <w:t xml:space="preserve"> </w:t>
      </w:r>
      <w:r>
        <w:rPr>
          <w:rFonts w:cs="Calibri" w:ascii="Titillium" w:hAnsi="Titillium"/>
          <w:sz w:val="18"/>
          <w:szCs w:val="18"/>
        </w:rPr>
        <w:t>ai sensi del decreto legislativo n. 82/2005:</w:t>
      </w:r>
    </w:p>
    <w:p>
      <w:pPr>
        <w:pStyle w:val="ListParagraph"/>
        <w:numPr>
          <w:ilvl w:val="0"/>
          <w:numId w:val="7"/>
        </w:numPr>
        <w:spacing w:before="60" w:after="60"/>
        <w:ind w:hanging="284" w:left="426"/>
        <w:contextualSpacing w:val="false"/>
        <w:rPr>
          <w:rFonts w:ascii="Titillium" w:hAnsi="Titillium"/>
          <w:sz w:val="18"/>
          <w:szCs w:val="18"/>
        </w:rPr>
      </w:pPr>
      <w:r>
        <w:rPr>
          <w:rFonts w:cs="Calibri" w:ascii="Titillium" w:hAnsi="Titillium"/>
          <w:sz w:val="18"/>
          <w:szCs w:val="18"/>
        </w:rPr>
        <w:t>dal concorrente che partecipa in forma singola;</w:t>
      </w:r>
    </w:p>
    <w:p>
      <w:pPr>
        <w:pStyle w:val="ListParagraph"/>
        <w:numPr>
          <w:ilvl w:val="0"/>
          <w:numId w:val="7"/>
        </w:numPr>
        <w:spacing w:before="60" w:after="60"/>
        <w:ind w:hanging="284" w:left="426"/>
        <w:contextualSpacing w:val="false"/>
        <w:rPr>
          <w:rFonts w:ascii="Titillium" w:hAnsi="Titillium"/>
          <w:sz w:val="18"/>
          <w:szCs w:val="18"/>
        </w:rPr>
      </w:pPr>
      <w:r>
        <w:rPr>
          <w:rFonts w:cs="Calibri" w:ascii="Titillium" w:hAnsi="Titillium"/>
          <w:sz w:val="18"/>
          <w:szCs w:val="18"/>
        </w:rPr>
        <w:t>nel caso di raggruppamento temporaneo o consorzio ordinario o GEIE costituiti, dalla mandataria/capofila;</w:t>
      </w:r>
    </w:p>
    <w:p>
      <w:pPr>
        <w:pStyle w:val="ListParagraph"/>
        <w:numPr>
          <w:ilvl w:val="0"/>
          <w:numId w:val="7"/>
        </w:numPr>
        <w:spacing w:before="60" w:after="60"/>
        <w:ind w:hanging="284" w:left="426"/>
        <w:contextualSpacing w:val="false"/>
        <w:rPr>
          <w:rFonts w:ascii="Titillium" w:hAnsi="Titillium"/>
          <w:sz w:val="18"/>
          <w:szCs w:val="18"/>
        </w:rPr>
      </w:pPr>
      <w:r>
        <w:rPr>
          <w:rFonts w:cs="Calibri" w:ascii="Titillium" w:hAnsi="Titillium"/>
          <w:sz w:val="18"/>
          <w:szCs w:val="18"/>
        </w:rPr>
        <w:t>nel caso di raggruppamento temporaneo o consorzio ordinario o GEIE non ancora costituiti, da tutti i soggetti che costituiranno il raggruppamento o il consorzio o il gruppo;</w:t>
      </w:r>
    </w:p>
    <w:p>
      <w:pPr>
        <w:pStyle w:val="ListParagraph"/>
        <w:numPr>
          <w:ilvl w:val="0"/>
          <w:numId w:val="7"/>
        </w:numPr>
        <w:spacing w:before="60" w:after="60"/>
        <w:ind w:hanging="284" w:left="426"/>
        <w:contextualSpacing w:val="false"/>
        <w:rPr>
          <w:rFonts w:ascii="Titillium" w:hAnsi="Titillium" w:cs="Calibri"/>
          <w:sz w:val="18"/>
          <w:szCs w:val="18"/>
        </w:rPr>
      </w:pPr>
      <w:r>
        <w:rPr>
          <w:rFonts w:cs="Calibri" w:ascii="Titillium" w:hAnsi="Titillium"/>
          <w:sz w:val="18"/>
          <w:szCs w:val="18"/>
        </w:rPr>
        <w:t>nel caso di aggregazioni di retisti:</w:t>
      </w:r>
    </w:p>
    <w:p>
      <w:pPr>
        <w:pStyle w:val="Normal"/>
        <w:numPr>
          <w:ilvl w:val="4"/>
          <w:numId w:val="1"/>
        </w:numPr>
        <w:spacing w:before="60" w:after="60"/>
        <w:ind w:hanging="283" w:left="709"/>
        <w:rPr>
          <w:rFonts w:ascii="Titillium" w:hAnsi="Titillium"/>
          <w:sz w:val="18"/>
          <w:szCs w:val="18"/>
        </w:rPr>
      </w:pPr>
      <w:r>
        <w:rPr>
          <w:rFonts w:cs="Calibri" w:ascii="Titillium" w:hAnsi="Titillium"/>
          <w:sz w:val="18"/>
          <w:szCs w:val="18"/>
        </w:rPr>
        <w:t>se la rete è dotata di un organo comune con potere di rappresentanza e con soggettività giuridica, ai sensi dell’articolo 3, comma 4-</w:t>
      </w:r>
      <w:r>
        <w:rPr>
          <w:rFonts w:cs="Calibri" w:ascii="Titillium" w:hAnsi="Titillium"/>
          <w:i/>
          <w:sz w:val="18"/>
          <w:szCs w:val="18"/>
        </w:rPr>
        <w:t>quater</w:t>
      </w:r>
      <w:r>
        <w:rPr>
          <w:rFonts w:cs="Calibri" w:ascii="Titillium" w:hAnsi="Titillium"/>
          <w:sz w:val="18"/>
          <w:szCs w:val="18"/>
        </w:rPr>
        <w:t>, del decreto-legge 10 febbraio 2009, n. 5, la domanda di partecipazione deve essere sottoscritta dal solo operatore economico che riveste la funzione di organo comune;</w:t>
      </w:r>
    </w:p>
    <w:p>
      <w:pPr>
        <w:pStyle w:val="Normal"/>
        <w:numPr>
          <w:ilvl w:val="4"/>
          <w:numId w:val="1"/>
        </w:numPr>
        <w:spacing w:before="60" w:after="60"/>
        <w:ind w:hanging="283" w:left="709"/>
        <w:rPr>
          <w:rFonts w:ascii="Titillium" w:hAnsi="Titillium"/>
          <w:sz w:val="18"/>
          <w:szCs w:val="18"/>
        </w:rPr>
      </w:pPr>
      <w:r>
        <w:rPr>
          <w:rFonts w:cs="Calibri" w:ascii="Titillium" w:hAnsi="Titillium"/>
          <w:sz w:val="18"/>
          <w:szCs w:val="18"/>
          <w:lang w:eastAsia="it-IT"/>
        </w:rPr>
        <w:t>se la rete è dotata di un organo comune con potere di rappresentanza ma è priva di soggettività giuridica, ai sensi dell’articolo 3, comma 4-</w:t>
      </w:r>
      <w:r>
        <w:rPr>
          <w:rFonts w:cs="Calibri" w:ascii="Titillium" w:hAnsi="Titillium"/>
          <w:i/>
          <w:sz w:val="18"/>
          <w:szCs w:val="18"/>
          <w:lang w:eastAsia="it-IT"/>
        </w:rPr>
        <w:t>quater</w:t>
      </w:r>
      <w:r>
        <w:rPr>
          <w:rFonts w:cs="Calibri" w:ascii="Titillium" w:hAnsi="Titillium"/>
          <w:sz w:val="18"/>
          <w:szCs w:val="18"/>
          <w:lang w:eastAsia="it-IT"/>
        </w:rPr>
        <w:t xml:space="preserve">, del decreto-legge 10 febbraio 2009, n. 5, la domanda di partecipazione deve essere sottoscritta </w:t>
      </w:r>
      <w:r>
        <w:rPr>
          <w:rFonts w:cs="Calibri" w:ascii="Titillium" w:hAnsi="Titillium"/>
          <w:sz w:val="18"/>
          <w:szCs w:val="18"/>
        </w:rPr>
        <w:t>dal</w:t>
      </w:r>
      <w:r>
        <w:rPr>
          <w:rFonts w:cs="Calibri" w:ascii="Titillium" w:hAnsi="Titillium"/>
          <w:sz w:val="18"/>
          <w:szCs w:val="18"/>
          <w:lang w:eastAsia="it-IT"/>
        </w:rPr>
        <w:t xml:space="preserve">l’impresa che riveste le funzioni di organo comune nonché da ognuno dei retisti che partecipa alla gara; </w:t>
      </w:r>
    </w:p>
    <w:p>
      <w:pPr>
        <w:pStyle w:val="Normal"/>
        <w:numPr>
          <w:ilvl w:val="4"/>
          <w:numId w:val="1"/>
        </w:numPr>
        <w:spacing w:before="60" w:after="60"/>
        <w:ind w:hanging="283" w:left="709"/>
        <w:rPr>
          <w:rFonts w:ascii="Titillium" w:hAnsi="Titillium"/>
          <w:sz w:val="18"/>
          <w:szCs w:val="18"/>
        </w:rPr>
      </w:pPr>
      <w:r>
        <w:rPr>
          <w:rFonts w:cs="Calibri" w:ascii="Titillium" w:hAnsi="Titillium"/>
          <w:sz w:val="18"/>
          <w:szCs w:val="18"/>
          <w:lang w:eastAsia="it-IT"/>
        </w:rPr>
        <w:t xml:space="preserve">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 </w:t>
      </w:r>
    </w:p>
    <w:p>
      <w:pPr>
        <w:pStyle w:val="Normal"/>
        <w:spacing w:before="60" w:after="60"/>
        <w:ind w:hanging="256" w:left="426"/>
        <w:rPr>
          <w:rFonts w:ascii="Titillium" w:hAnsi="Titillium"/>
          <w:sz w:val="18"/>
          <w:szCs w:val="18"/>
        </w:rPr>
      </w:pPr>
      <w:r>
        <w:rPr>
          <w:rFonts w:cs="Arial" w:ascii="Titillium" w:hAnsi="Titillium"/>
          <w:sz w:val="18"/>
          <w:szCs w:val="18"/>
        </w:rPr>
        <w:t xml:space="preserve">- </w:t>
        <w:tab/>
        <w:t>nel</w:t>
      </w:r>
      <w:r>
        <w:rPr>
          <w:rFonts w:cs="Calibri" w:ascii="Titillium" w:hAnsi="Titillium"/>
          <w:sz w:val="18"/>
          <w:szCs w:val="18"/>
          <w:lang w:eastAsia="it-IT"/>
        </w:rPr>
        <w:t xml:space="preserve"> caso di consorzio di cooperative e imprese artigiane o di consorzio stabile di cui all’articolo 65, comma 2, lettera b), c) e d) del Codice, </w:t>
      </w:r>
      <w:r>
        <w:rPr>
          <w:rFonts w:cs="Calibri" w:ascii="Titillium" w:hAnsi="Titillium"/>
          <w:sz w:val="18"/>
          <w:szCs w:val="18"/>
        </w:rPr>
        <w:t>la domanda è sottoscritta</w:t>
      </w:r>
      <w:r>
        <w:rPr>
          <w:rFonts w:cs="Calibri" w:ascii="Titillium" w:hAnsi="Titillium"/>
          <w:sz w:val="18"/>
          <w:szCs w:val="18"/>
          <w:lang w:eastAsia="it-IT"/>
        </w:rPr>
        <w:t xml:space="preserve"> digitalmente dal consorzio medesimo.</w:t>
      </w:r>
    </w:p>
    <w:p>
      <w:pPr>
        <w:pStyle w:val="Normal"/>
        <w:rPr>
          <w:rFonts w:ascii="Titillium" w:hAnsi="Titillium"/>
          <w:iCs/>
          <w:sz w:val="18"/>
          <w:szCs w:val="18"/>
        </w:rPr>
      </w:pPr>
      <w:r>
        <w:rPr>
          <w:rFonts w:ascii="Titillium" w:hAnsi="Titillium"/>
          <w:sz w:val="18"/>
          <w:szCs w:val="18"/>
        </w:rPr>
        <w:t>La domanda e le relative dichiarazioni sono firmate dal legale rappresentante del concorrente o da un suo procuratore munito della relativa procura</w:t>
      </w:r>
      <w:r>
        <w:rPr>
          <w:rFonts w:ascii="Titillium" w:hAnsi="Titillium"/>
          <w:b/>
          <w:sz w:val="18"/>
          <w:szCs w:val="18"/>
        </w:rPr>
        <w:t xml:space="preserve">. </w:t>
      </w:r>
      <w:r>
        <w:rPr>
          <w:rFonts w:ascii="Titillium" w:hAnsi="Titillium"/>
          <w:sz w:val="18"/>
          <w:szCs w:val="18"/>
        </w:rPr>
        <w:t xml:space="preserve">In tal caso, il concorrente allega alla domanda copia conforme all’originale della procura. </w:t>
      </w:r>
      <w:r>
        <w:rPr>
          <w:rFonts w:ascii="Titillium" w:hAnsi="Titillium"/>
          <w:iCs/>
          <w:sz w:val="18"/>
          <w:szCs w:val="18"/>
        </w:rPr>
        <w:t>Non è necessario allegare la procura se dalla visura camerale del concorrente risulti l’indicazione espressa dei poteri rappresentativi conferiti al procuratore.</w:t>
      </w:r>
    </w:p>
    <w:p>
      <w:pPr>
        <w:pStyle w:val="Normal"/>
        <w:rPr>
          <w:rFonts w:ascii="Titillium" w:hAnsi="Titillium"/>
          <w:sz w:val="18"/>
          <w:szCs w:val="18"/>
        </w:rPr>
      </w:pPr>
      <w:r>
        <w:rPr>
          <w:rFonts w:ascii="Titillium" w:hAnsi="Titillium"/>
          <w:sz w:val="18"/>
          <w:szCs w:val="18"/>
        </w:rPr>
      </w:r>
    </w:p>
    <w:p>
      <w:pPr>
        <w:pStyle w:val="ListParagraph"/>
        <w:spacing w:before="60" w:after="60"/>
        <w:ind w:left="0"/>
        <w:contextualSpacing/>
        <w:rPr/>
      </w:pPr>
      <w:r>
        <w:rPr>
          <w:rFonts w:cs="Calibri" w:ascii="Titillium" w:hAnsi="Titillium"/>
          <w:sz w:val="18"/>
          <w:szCs w:val="18"/>
        </w:rPr>
        <w:t>La domanda di partecipazione deve essere presentata nel rispetto di quanto stabilito dal Decreto del Presidente della Repubblica n. 642/72 in ordine all’assolvimento dell’imposta di bollo. Il pagamento della suddetta imposta del valore di € 16,00 viene effettuato tramite F24, bollo virtuale previa autorizzazione rilasciata dall’Agenzia delle Entrate o tramite il servizio @e.bollo</w:t>
      </w:r>
      <w:r>
        <w:rPr>
          <w:rFonts w:cs="Calibri" w:ascii="Calibri" w:hAnsi="Calibri"/>
          <w:sz w:val="18"/>
          <w:szCs w:val="18"/>
        </w:rPr>
        <w:t xml:space="preserve"> </w:t>
      </w:r>
      <w:r>
        <w:rPr>
          <w:rFonts w:cs="Calibri" w:ascii="Titillium" w:hAnsi="Titillium"/>
          <w:sz w:val="18"/>
          <w:szCs w:val="18"/>
        </w:rPr>
        <w:t xml:space="preserve">dell'Agenzia delle Entrate o </w:t>
      </w:r>
      <w:r>
        <w:rPr>
          <w:rFonts w:cs="Calibri" w:ascii="Titillium" w:hAnsi="Titillium"/>
          <w:iCs/>
          <w:sz w:val="18"/>
          <w:szCs w:val="18"/>
        </w:rPr>
        <w:t xml:space="preserve">per gli operatori economici esteri tramite il pagamento del tributo con bonifico utilizzando il codice Iban IT07Y0100003245348008120501 e specificando nella causale la propria denominazione, codice fiscale (se presente) e gli estremi dell'atto a cui si riferisce il pagamento. </w:t>
      </w:r>
      <w:r>
        <w:rPr>
          <w:rFonts w:cs="Calibri" w:ascii="Titillium" w:hAnsi="Titillium"/>
          <w:i/>
          <w:iCs/>
          <w:sz w:val="18"/>
          <w:szCs w:val="18"/>
        </w:rPr>
        <w:t xml:space="preserve"> </w:t>
      </w:r>
    </w:p>
    <w:p>
      <w:pPr>
        <w:pStyle w:val="ListParagraph"/>
        <w:spacing w:before="60" w:after="60"/>
        <w:ind w:left="0"/>
        <w:contextualSpacing/>
        <w:rPr/>
      </w:pPr>
      <w:r>
        <w:rPr>
          <w:rFonts w:cs="Calibri" w:ascii="Titillium" w:hAnsi="Titillium"/>
          <w:sz w:val="18"/>
          <w:szCs w:val="18"/>
        </w:rPr>
        <w:t>A comprova del pagamento, il concorrente allega la ricevuta di pagamento elettronico ovvero del bonifico bancario.</w:t>
      </w:r>
    </w:p>
    <w:p>
      <w:pPr>
        <w:pStyle w:val="ListParagraph"/>
        <w:spacing w:before="60" w:after="60"/>
        <w:ind w:left="0"/>
        <w:contextualSpacing/>
        <w:rPr>
          <w:rFonts w:ascii="Titillium" w:hAnsi="Titillium" w:cs="Calibri"/>
          <w:iCs/>
          <w:sz w:val="18"/>
          <w:szCs w:val="18"/>
        </w:rPr>
      </w:pPr>
      <w:r>
        <w:rPr>
          <w:rFonts w:cs="Calibri" w:ascii="Titillium" w:hAnsi="Titillium"/>
          <w:iCs/>
          <w:sz w:val="18"/>
          <w:szCs w:val="18"/>
        </w:rPr>
        <w:t>In alternativa il concorrente può acquistare la marca da bollo da euro 16,00 ed inserire il suo numero seriale all'interno della dichiarazione contenuta nell'istanza telematica e allegare, obbligatoriamente copia del contrassegno in formato.pdf. Il concorrente si assume ogni responsabilità in caso di utilizzo plurimo dei contrassegni.</w:t>
      </w:r>
    </w:p>
    <w:p>
      <w:pPr>
        <w:pStyle w:val="ListParagraph"/>
        <w:spacing w:before="60" w:after="60"/>
        <w:ind w:left="0"/>
        <w:contextualSpacing/>
        <w:rPr>
          <w:rFonts w:ascii="Titillium" w:hAnsi="Titillium" w:cs="Calibri"/>
          <w:iCs/>
          <w:sz w:val="18"/>
          <w:szCs w:val="18"/>
        </w:rPr>
      </w:pPr>
      <w:r>
        <w:rPr>
          <w:rFonts w:cs="Calibri" w:ascii="Titillium" w:hAnsi="Titillium"/>
          <w:iCs/>
          <w:sz w:val="18"/>
          <w:szCs w:val="18"/>
        </w:rPr>
      </w:r>
    </w:p>
    <w:p>
      <w:pPr>
        <w:pStyle w:val="ListParagraph"/>
        <w:spacing w:before="60" w:after="60"/>
        <w:ind w:left="0"/>
        <w:contextualSpacing/>
        <w:rPr>
          <w:rFonts w:ascii="Titillium" w:hAnsi="Titillium" w:cs="Calibri"/>
          <w:sz w:val="18"/>
          <w:szCs w:val="18"/>
        </w:rPr>
      </w:pPr>
      <w:r>
        <w:rPr>
          <w:rFonts w:cs="Calibri" w:ascii="Titillium" w:hAnsi="Titillium"/>
          <w:sz w:val="18"/>
          <w:szCs w:val="18"/>
        </w:rPr>
        <w:t>Si specifica inoltre che ai sensi del comma 10 dell’articolo 18 del codice, viste la risoluzione dell’agenzia delle entrate n.37/e del 28 giugno 2023 e la circolare n.22/e del 28 luglio 2023, il pagamento dell’imposta di bollo al momento della stipulazione del contratto ha natura sostitutiva dell’imposta di bollo dovuta per tutti gli atti e documenti riguardanti la procedura di selezione e l’esecuzione dell’appalto, fatta eccezione per le fatture, note e simili di cui all’articolo 13, punto 1, della tabella A tariffa, parte I, allegata al decreto del presidente della repubblica 26 ottobre 1972, n. 642; pertanto l’aggiudicatario al momento della stipula del contratto, assolve l’imposta da lui complessivamente dovuta, quantificandola secondo gli scaglioni stabiliti dalla tabella a di cui all’allegato I.4 al d.lgs. 36/2023, in relazione all’importo massimo previsto nel contratto medesimo.</w:t>
      </w:r>
    </w:p>
    <w:p>
      <w:pPr>
        <w:pStyle w:val="ListParagraph"/>
        <w:spacing w:before="60" w:after="60"/>
        <w:ind w:left="0"/>
        <w:contextualSpacing/>
        <w:rPr>
          <w:rFonts w:ascii="Titillium" w:hAnsi="Titillium" w:cs="Calibri"/>
          <w:iCs/>
          <w:sz w:val="18"/>
          <w:szCs w:val="18"/>
        </w:rPr>
      </w:pPr>
      <w:r>
        <w:rPr>
          <w:rFonts w:cs="Calibri" w:ascii="Titillium" w:hAnsi="Titillium"/>
          <w:iCs/>
          <w:sz w:val="18"/>
          <w:szCs w:val="18"/>
        </w:rPr>
      </w:r>
      <w:bookmarkStart w:id="1774" w:name="Copia__Ref484611690_1"/>
      <w:bookmarkStart w:id="1775" w:name="Copia__Ref484611693_1"/>
      <w:bookmarkEnd w:id="1774"/>
      <w:bookmarkEnd w:id="1775"/>
    </w:p>
    <w:p>
      <w:pPr>
        <w:pStyle w:val="Heading3"/>
        <w:numPr>
          <w:ilvl w:val="1"/>
          <w:numId w:val="3"/>
        </w:numPr>
        <w:ind w:hanging="426" w:left="426"/>
        <w:rPr/>
      </w:pPr>
      <w:bookmarkStart w:id="1776" w:name="_Toc207275750"/>
      <w:r>
        <w:rPr>
          <w:rFonts w:ascii="Titillium" w:hAnsi="Titillium"/>
          <w:sz w:val="18"/>
          <w:szCs w:val="18"/>
        </w:rPr>
        <w:t>DICHIARAZIONI DA RENDERE A CURA DEGLI OPERATORI ECONOMICI AMMESSI AL CONCORDATO PREVENTIVO CON CONTINUITÀ AZIENDALE DI CUI ALL’ARTICOLO 372 del DECRETO LEGISLATIVO 12 GENNAIO 2019, n. 14</w:t>
      </w:r>
      <w:bookmarkEnd w:id="1776"/>
    </w:p>
    <w:p>
      <w:pPr>
        <w:pStyle w:val="Normal"/>
        <w:spacing w:before="60" w:after="60"/>
        <w:rPr>
          <w:rFonts w:ascii="Titillium" w:hAnsi="Titillium" w:cs="Calibri"/>
          <w:sz w:val="18"/>
          <w:szCs w:val="18"/>
        </w:rPr>
      </w:pPr>
      <w:r>
        <w:rPr>
          <w:rFonts w:cs="Calibri" w:ascii="Titillium" w:hAnsi="Titillium"/>
          <w:sz w:val="18"/>
          <w:szCs w:val="18"/>
        </w:rPr>
        <w:t>Nella domanda di partecipazione, il concorrente dichiara ai sensi degli articoli 46 e 47 del decreto del Presidente della Repubblica n. 445/2000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w:t>
      </w:r>
    </w:p>
    <w:p>
      <w:pPr>
        <w:pStyle w:val="Normal"/>
        <w:spacing w:before="60" w:after="60"/>
        <w:rPr>
          <w:rFonts w:ascii="Titillium" w:hAnsi="Titillium" w:cs="Calibri"/>
          <w:sz w:val="18"/>
          <w:szCs w:val="18"/>
        </w:rPr>
      </w:pPr>
      <w:r>
        <w:rPr>
          <w:rFonts w:cs="Calibri" w:ascii="Titillium" w:hAnsi="Titillium"/>
          <w:sz w:val="18"/>
          <w:szCs w:val="18"/>
        </w:rPr>
        <w:t>Il concorrente presenta una relazione di un professionista in possesso dei requisiti di cui all'articolo 2, comma 1, lettera o) del decreto legislativo succitato che attesta la conformità al piano e la ragionevole capacità di adempimento del contratto.</w:t>
      </w:r>
    </w:p>
    <w:p>
      <w:pPr>
        <w:pStyle w:val="Normal"/>
        <w:spacing w:before="60" w:after="60"/>
        <w:rPr>
          <w:rFonts w:ascii="Titillium" w:hAnsi="Titillium" w:cs="Calibri"/>
          <w:sz w:val="18"/>
          <w:szCs w:val="18"/>
        </w:rPr>
      </w:pPr>
      <w:r>
        <w:rPr>
          <w:rFonts w:cs="Calibri" w:ascii="Titillium" w:hAnsi="Titillium"/>
          <w:sz w:val="18"/>
          <w:szCs w:val="18"/>
        </w:rPr>
      </w:r>
    </w:p>
    <w:p>
      <w:pPr>
        <w:pStyle w:val="Heading3"/>
        <w:numPr>
          <w:ilvl w:val="1"/>
          <w:numId w:val="3"/>
        </w:numPr>
        <w:ind w:hanging="426" w:left="426"/>
        <w:rPr/>
      </w:pPr>
      <w:bookmarkStart w:id="1777" w:name="_Toc207275751"/>
      <w:r>
        <w:rPr>
          <w:rFonts w:ascii="Titillium" w:hAnsi="Titillium"/>
          <w:sz w:val="18"/>
          <w:szCs w:val="18"/>
        </w:rPr>
        <w:t>DICHIARAZIONI DA RENDERE NEL DGUE</w:t>
      </w:r>
      <w:bookmarkEnd w:id="1777"/>
    </w:p>
    <w:p>
      <w:pPr>
        <w:pStyle w:val="Normal"/>
        <w:spacing w:before="60" w:after="60"/>
        <w:rPr>
          <w:rFonts w:ascii="Titillium" w:hAnsi="Titillium" w:cs="Calibri"/>
          <w:sz w:val="18"/>
          <w:szCs w:val="18"/>
        </w:rPr>
      </w:pPr>
      <w:r>
        <w:rPr>
          <w:rFonts w:cs="Calibri" w:ascii="Titillium" w:hAnsi="Titillium"/>
          <w:sz w:val="18"/>
          <w:szCs w:val="18"/>
        </w:rPr>
        <w:t>Le dichiarazioni in ordine all’insussistenza delle cause automatiche di esclusione di cui all’articolo 94, commi 1 e 2, del Codice sono rese dall’operatore economico nel DGUE, redatto digitalmente a sistema, in relazione a tutti i soggetti indicati al comma 3.</w:t>
      </w:r>
    </w:p>
    <w:p>
      <w:pPr>
        <w:pStyle w:val="Normal"/>
        <w:spacing w:before="60" w:after="60"/>
        <w:rPr>
          <w:rFonts w:ascii="Titillium" w:hAnsi="Titillium" w:cs="Calibri"/>
          <w:sz w:val="18"/>
          <w:szCs w:val="18"/>
        </w:rPr>
      </w:pPr>
      <w:r>
        <w:rPr>
          <w:rFonts w:cs="Calibri" w:ascii="Titillium" w:hAnsi="Titillium"/>
          <w:sz w:val="18"/>
          <w:szCs w:val="18"/>
        </w:rPr>
        <w:t>Le dichiarazioni in ordine all’insussistenza delle cause non automatiche di esclusione di cui all’articolo 98, comma 3, lettere g) ed h) del Codice sono rese dall’operatore economico in relazione ai soggetti di cui al punto precedente.</w:t>
      </w:r>
    </w:p>
    <w:p>
      <w:pPr>
        <w:pStyle w:val="Normal"/>
        <w:spacing w:before="60" w:after="60"/>
        <w:rPr>
          <w:rFonts w:ascii="Titillium" w:hAnsi="Titillium" w:cs="Calibri"/>
          <w:sz w:val="18"/>
          <w:szCs w:val="18"/>
        </w:rPr>
      </w:pPr>
      <w:r>
        <w:rPr>
          <w:rFonts w:cs="Calibri" w:ascii="Titillium" w:hAnsi="Titillium"/>
          <w:sz w:val="18"/>
          <w:szCs w:val="18"/>
        </w:rPr>
        <w:t>Le dichiarazioni in ordine all’insussistenza delle altre cause di esclusione sono rese in relazione all’operatore economico.</w:t>
      </w:r>
    </w:p>
    <w:p>
      <w:pPr>
        <w:pStyle w:val="Normal"/>
        <w:spacing w:before="60" w:after="60"/>
        <w:rPr>
          <w:rFonts w:ascii="Titillium" w:hAnsi="Titillium" w:cs="Calibri"/>
          <w:sz w:val="18"/>
          <w:szCs w:val="18"/>
        </w:rPr>
      </w:pPr>
      <w:r>
        <w:rPr>
          <w:rFonts w:cs="Calibri" w:ascii="Titillium" w:hAnsi="Titillium"/>
          <w:sz w:val="18"/>
          <w:szCs w:val="18"/>
        </w:rPr>
        <w:t>Con riferimento alle cause di esclusione di cui all’articolo 95 del Codice, il concorrente dichiara:</w:t>
      </w:r>
    </w:p>
    <w:p>
      <w:pPr>
        <w:pStyle w:val="ListParagraph"/>
        <w:numPr>
          <w:ilvl w:val="0"/>
          <w:numId w:val="6"/>
        </w:numPr>
        <w:spacing w:before="60" w:after="60"/>
        <w:ind w:hanging="360" w:left="426"/>
        <w:contextualSpacing w:val="false"/>
        <w:rPr>
          <w:rFonts w:ascii="Titillium" w:hAnsi="Titillium" w:cs="Calibri"/>
          <w:sz w:val="18"/>
          <w:szCs w:val="18"/>
        </w:rPr>
      </w:pPr>
      <w:r>
        <w:rPr>
          <w:rFonts w:cs="Calibri" w:ascii="Titillium" w:hAnsi="Titillium"/>
          <w:sz w:val="18"/>
          <w:szCs w:val="18"/>
        </w:rPr>
        <w:t xml:space="preserve">le gravi infrazioni di cui all’articolo 95, comma 1, lettera a) del Codice commesse nei tre anni antecedenti la data di pubblicazione del bando di gara; </w:t>
      </w:r>
    </w:p>
    <w:p>
      <w:pPr>
        <w:pStyle w:val="ListParagraph"/>
        <w:numPr>
          <w:ilvl w:val="0"/>
          <w:numId w:val="6"/>
        </w:numPr>
        <w:spacing w:before="60" w:after="60"/>
        <w:ind w:hanging="360" w:left="426"/>
        <w:contextualSpacing w:val="false"/>
        <w:rPr>
          <w:rFonts w:ascii="Titillium" w:hAnsi="Titillium" w:cs="Calibri"/>
          <w:sz w:val="18"/>
          <w:szCs w:val="18"/>
        </w:rPr>
      </w:pPr>
      <w:r>
        <w:rPr>
          <w:rFonts w:cs="Calibri" w:ascii="Titillium" w:hAnsi="Titillium"/>
          <w:sz w:val="18"/>
          <w:szCs w:val="18"/>
        </w:rPr>
        <w:t>gli atti e i provvedimenti indicati all’articolo 98 comma 6 del codice emessi nei tre anni antecedenti la data di pubblicazione del bando di gara;</w:t>
      </w:r>
    </w:p>
    <w:p>
      <w:pPr>
        <w:pStyle w:val="ListParagraph"/>
        <w:numPr>
          <w:ilvl w:val="0"/>
          <w:numId w:val="6"/>
        </w:numPr>
        <w:spacing w:before="60" w:after="60"/>
        <w:ind w:hanging="360" w:left="426"/>
        <w:contextualSpacing w:val="false"/>
        <w:rPr>
          <w:rFonts w:ascii="Titillium" w:hAnsi="Titillium" w:cs="Calibri"/>
          <w:sz w:val="18"/>
          <w:szCs w:val="18"/>
        </w:rPr>
      </w:pPr>
      <w:r>
        <w:rPr>
          <w:rFonts w:cs="Calibri" w:ascii="Titillium" w:hAnsi="Titillium"/>
          <w:sz w:val="18"/>
          <w:szCs w:val="18"/>
        </w:rPr>
        <w:t>tutti gli altri comportamenti di cui all’articolo 98 del Codice, commessi nei tre anni antecedenti la data di pubblicazione del bando di gara.</w:t>
      </w:r>
    </w:p>
    <w:p>
      <w:pPr>
        <w:pStyle w:val="Normal"/>
        <w:spacing w:before="60" w:after="60"/>
        <w:rPr>
          <w:rFonts w:ascii="Titillium" w:hAnsi="Titillium" w:cs="Calibri"/>
          <w:sz w:val="18"/>
          <w:szCs w:val="18"/>
        </w:rPr>
      </w:pPr>
      <w:r>
        <w:rPr>
          <w:rFonts w:cs="Calibri" w:ascii="Titillium" w:hAnsi="Titillium"/>
          <w:sz w:val="18"/>
          <w:szCs w:val="18"/>
        </w:rPr>
        <w:t>La dichiarazione di cui sopra deve essere resa anche nel caso di impugnazione in giudizio dei relativi provvedimenti, fatta eccezione per la fattispecie di cui all’ articolo 98, comma 3, lett. e), per la quale va resa soltanto in caso di accertamento definitivo della violazione.</w:t>
      </w:r>
    </w:p>
    <w:p>
      <w:pPr>
        <w:pStyle w:val="Normal"/>
        <w:spacing w:before="60" w:after="60"/>
        <w:rPr>
          <w:rFonts w:ascii="Titillium" w:hAnsi="Titillium" w:cs="Calibri"/>
          <w:sz w:val="18"/>
          <w:szCs w:val="18"/>
        </w:rPr>
      </w:pPr>
      <w:r>
        <w:rPr>
          <w:rFonts w:cs="Calibri" w:ascii="Titillium" w:hAnsi="Titillium"/>
          <w:sz w:val="18"/>
          <w:szCs w:val="18"/>
        </w:rPr>
        <w:t>L’operatore economico dichiara la sussistenza delle cause di esclusione che si sono verificate prima della presentazione dell’offerta e indica le misure di self-cleaning adottate, oppure dimostra l’impossibilità di adottare tali misure prima della presentazione dell’offerta.</w:t>
      </w:r>
    </w:p>
    <w:p>
      <w:pPr>
        <w:pStyle w:val="Normal"/>
        <w:spacing w:before="60" w:after="60"/>
        <w:rPr>
          <w:rFonts w:ascii="Titillium" w:hAnsi="Titillium" w:cs="Calibri"/>
          <w:sz w:val="18"/>
          <w:szCs w:val="18"/>
        </w:rPr>
      </w:pPr>
      <w:r>
        <w:rPr>
          <w:rFonts w:cs="Calibri" w:ascii="Titillium" w:hAnsi="Titillium"/>
          <w:sz w:val="18"/>
          <w:szCs w:val="18"/>
        </w:rPr>
        <w:t>L’operatore economico adotta le misure di self-cleaning che è stato impossibilitato ad adottare prima della presentazione dell’offerta e quelle relative a cause di esclusione che si sono verificate dopo tale momento.</w:t>
      </w:r>
    </w:p>
    <w:p>
      <w:pPr>
        <w:pStyle w:val="Normal"/>
        <w:spacing w:before="60" w:after="60"/>
        <w:rPr>
          <w:rFonts w:ascii="Titillium" w:hAnsi="Titillium" w:cs="Calibri"/>
          <w:sz w:val="18"/>
          <w:szCs w:val="18"/>
        </w:rPr>
      </w:pPr>
      <w:r>
        <w:rPr>
          <w:rFonts w:cs="Calibri" w:ascii="Titillium" w:hAnsi="Titillium"/>
          <w:sz w:val="18"/>
          <w:szCs w:val="18"/>
        </w:rPr>
        <w:t>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pPr>
        <w:pStyle w:val="Normal"/>
        <w:rPr/>
      </w:pPr>
      <w:r>
        <w:rPr/>
      </w:r>
    </w:p>
    <w:p>
      <w:pPr>
        <w:pStyle w:val="Heading3"/>
        <w:numPr>
          <w:ilvl w:val="1"/>
          <w:numId w:val="3"/>
        </w:numPr>
        <w:ind w:hanging="426" w:left="426"/>
        <w:rPr>
          <w:rFonts w:ascii="Titillium" w:hAnsi="Titillium"/>
          <w:sz w:val="18"/>
          <w:szCs w:val="18"/>
        </w:rPr>
      </w:pPr>
      <w:bookmarkStart w:id="1778" w:name="_Toc207275752"/>
      <w:bookmarkStart w:id="1779" w:name="_Ref132054207"/>
      <w:r>
        <w:rPr>
          <w:rFonts w:ascii="Titillium" w:hAnsi="Titillium"/>
          <w:sz w:val="18"/>
          <w:szCs w:val="18"/>
        </w:rPr>
        <w:t>DOCUMENTAZIONE IN CASO DI AVVALIMENTO</w:t>
      </w:r>
      <w:bookmarkEnd w:id="1778"/>
      <w:bookmarkEnd w:id="1779"/>
    </w:p>
    <w:p>
      <w:pPr>
        <w:pStyle w:val="Normal"/>
        <w:spacing w:before="60" w:after="60"/>
        <w:rPr>
          <w:rFonts w:ascii="Titillium" w:hAnsi="Titillium" w:cs="Calibri"/>
          <w:sz w:val="18"/>
          <w:szCs w:val="18"/>
        </w:rPr>
      </w:pPr>
      <w:r>
        <w:rPr>
          <w:rFonts w:cs="Calibri" w:ascii="Titillium" w:hAnsi="Titillium"/>
          <w:sz w:val="18"/>
          <w:szCs w:val="18"/>
        </w:rPr>
        <w:t>L’impresa ausiliaria rende le dichiarazioni sul possesso dei requisiti di ordine generale mediante compilazione dell’apposita sezione del DGUE.</w:t>
      </w:r>
    </w:p>
    <w:p>
      <w:pPr>
        <w:pStyle w:val="Normal"/>
        <w:spacing w:before="60" w:after="60"/>
        <w:rPr>
          <w:rFonts w:ascii="Titillium" w:hAnsi="Titillium" w:cs="Calibri"/>
          <w:sz w:val="18"/>
          <w:szCs w:val="18"/>
        </w:rPr>
      </w:pPr>
      <w:r>
        <w:rPr>
          <w:rFonts w:cs="Calibri" w:ascii="Titillium" w:hAnsi="Titillium"/>
          <w:sz w:val="18"/>
          <w:szCs w:val="18"/>
        </w:rPr>
        <w:t>Il concorrente, per ciascuna impresa ausiliaria, allega:</w:t>
      </w:r>
    </w:p>
    <w:p>
      <w:pPr>
        <w:pStyle w:val="ListParagraph"/>
        <w:numPr>
          <w:ilvl w:val="2"/>
          <w:numId w:val="12"/>
        </w:numPr>
        <w:spacing w:before="60" w:after="60"/>
        <w:ind w:hanging="567" w:left="567"/>
        <w:contextualSpacing w:val="false"/>
        <w:rPr>
          <w:rFonts w:ascii="Titillium" w:hAnsi="Titillium" w:cs="Calibri"/>
          <w:sz w:val="18"/>
          <w:szCs w:val="18"/>
        </w:rPr>
      </w:pPr>
      <w:r>
        <w:rPr>
          <w:rFonts w:cs="Calibri" w:ascii="Titillium" w:hAnsi="Titillium"/>
          <w:sz w:val="18"/>
          <w:szCs w:val="18"/>
        </w:rPr>
        <w:t xml:space="preserve">il consenso al trattamento dei dati tramite il fascicolo virtuale, nel rispetto di quanto previsto dal codice in materia di protezione dei dati personali, di cui al decreto legislativo 30 giugno 2003, n. 196, ai fini della verifica del possesso dei requisiti dichiarati;   </w:t>
      </w:r>
    </w:p>
    <w:p>
      <w:pPr>
        <w:pStyle w:val="ListParagraph"/>
        <w:numPr>
          <w:ilvl w:val="2"/>
          <w:numId w:val="12"/>
        </w:numPr>
        <w:spacing w:before="60" w:after="60"/>
        <w:ind w:hanging="567" w:left="567"/>
        <w:contextualSpacing w:val="false"/>
        <w:rPr>
          <w:rFonts w:ascii="Titillium" w:hAnsi="Titillium" w:cs="Calibri"/>
          <w:sz w:val="18"/>
          <w:szCs w:val="18"/>
        </w:rPr>
      </w:pPr>
      <w:r>
        <w:rPr>
          <w:rFonts w:cs="Calibri" w:ascii="Titillium" w:hAnsi="Titillium"/>
          <w:sz w:val="18"/>
          <w:szCs w:val="18"/>
        </w:rPr>
        <w:t>la dichiarazione di avvalimento;</w:t>
      </w:r>
    </w:p>
    <w:p>
      <w:pPr>
        <w:pStyle w:val="ListParagraph"/>
        <w:numPr>
          <w:ilvl w:val="2"/>
          <w:numId w:val="12"/>
        </w:numPr>
        <w:spacing w:before="60" w:after="60"/>
        <w:ind w:hanging="567" w:left="567"/>
        <w:contextualSpacing w:val="false"/>
        <w:rPr>
          <w:rFonts w:ascii="Titillium" w:hAnsi="Titillium" w:cs="Calibri"/>
          <w:sz w:val="18"/>
          <w:szCs w:val="18"/>
        </w:rPr>
      </w:pPr>
      <w:r>
        <w:rPr>
          <w:rFonts w:cs="Calibri" w:ascii="Titillium" w:hAnsi="Titillium"/>
          <w:sz w:val="18"/>
          <w:szCs w:val="18"/>
        </w:rPr>
        <w:t>il contratto di avvalimento.</w:t>
      </w:r>
    </w:p>
    <w:p>
      <w:pPr>
        <w:pStyle w:val="Heading3"/>
        <w:numPr>
          <w:ilvl w:val="1"/>
          <w:numId w:val="3"/>
        </w:numPr>
        <w:ind w:hanging="426" w:left="426"/>
        <w:rPr>
          <w:rFonts w:ascii="Titillium" w:hAnsi="Titillium"/>
          <w:sz w:val="18"/>
          <w:szCs w:val="18"/>
        </w:rPr>
      </w:pPr>
      <w:bookmarkStart w:id="1780" w:name="_Toc207275753"/>
      <w:bookmarkStart w:id="1781" w:name="_Ref498427979"/>
      <w:r>
        <w:rPr>
          <w:rFonts w:ascii="Titillium" w:hAnsi="Titillium"/>
          <w:sz w:val="18"/>
          <w:szCs w:val="18"/>
        </w:rPr>
        <w:t>DOCUMENTAZIONE ULTERIORE PER I SOGGETTI ASSOCIATI</w:t>
      </w:r>
      <w:bookmarkEnd w:id="1780"/>
      <w:bookmarkEnd w:id="1781"/>
    </w:p>
    <w:p>
      <w:pPr>
        <w:pStyle w:val="Normal"/>
        <w:spacing w:before="60" w:after="60"/>
        <w:rPr>
          <w:rFonts w:ascii="Titillium" w:hAnsi="Titillium"/>
          <w:b/>
          <w:sz w:val="18"/>
          <w:szCs w:val="18"/>
        </w:rPr>
      </w:pPr>
      <w:r>
        <w:rPr>
          <w:rFonts w:ascii="Titillium" w:hAnsi="Titillium"/>
          <w:b/>
          <w:sz w:val="18"/>
          <w:szCs w:val="18"/>
        </w:rPr>
        <w:t>Per i raggruppamenti temporanei già costituiti</w:t>
      </w:r>
    </w:p>
    <w:p>
      <w:pPr>
        <w:pStyle w:val="ListParagraph"/>
        <w:numPr>
          <w:ilvl w:val="0"/>
          <w:numId w:val="18"/>
        </w:numPr>
        <w:spacing w:before="60" w:after="60"/>
        <w:ind w:hanging="284" w:left="284"/>
        <w:contextualSpacing w:val="false"/>
        <w:rPr>
          <w:rFonts w:ascii="Titillium" w:hAnsi="Titillium" w:cs="Calibri"/>
          <w:sz w:val="18"/>
          <w:szCs w:val="18"/>
        </w:rPr>
      </w:pPr>
      <w:r>
        <w:rPr>
          <w:rFonts w:cs="Calibri" w:ascii="Titillium" w:hAnsi="Titillium"/>
          <w:sz w:val="18"/>
          <w:szCs w:val="18"/>
        </w:rPr>
        <w:t>copia del mandato collettivo irrevocabile con rappresentanza conferito alla mandataria per atto pubblico o scrittura privata autenticata;</w:t>
      </w:r>
    </w:p>
    <w:p>
      <w:pPr>
        <w:pStyle w:val="ListParagraph"/>
        <w:numPr>
          <w:ilvl w:val="0"/>
          <w:numId w:val="18"/>
        </w:numPr>
        <w:spacing w:before="60" w:after="60"/>
        <w:ind w:hanging="284" w:left="284"/>
        <w:contextualSpacing w:val="false"/>
        <w:rPr>
          <w:rFonts w:ascii="Titillium" w:hAnsi="Titillium"/>
          <w:b/>
          <w:sz w:val="18"/>
          <w:szCs w:val="18"/>
        </w:rPr>
      </w:pPr>
      <w:r>
        <w:rPr>
          <w:rFonts w:cs="Calibri" w:ascii="Titillium" w:hAnsi="Titillium"/>
          <w:sz w:val="18"/>
          <w:szCs w:val="18"/>
        </w:rPr>
        <w:t xml:space="preserve">dichiarazione delle parti del servizio/fornitura, ovvero della percentuale in caso di servizio/forniture indivisibili, che saranno eseguite dai singoli operatori economici riuniti. </w:t>
      </w:r>
    </w:p>
    <w:p>
      <w:pPr>
        <w:pStyle w:val="Normal"/>
        <w:spacing w:before="60" w:after="60"/>
        <w:rPr>
          <w:rFonts w:ascii="Titillium" w:hAnsi="Titillium"/>
          <w:b/>
          <w:sz w:val="18"/>
          <w:szCs w:val="18"/>
        </w:rPr>
      </w:pPr>
      <w:r>
        <w:rPr>
          <w:rFonts w:ascii="Titillium" w:hAnsi="Titillium"/>
          <w:b/>
          <w:sz w:val="18"/>
          <w:szCs w:val="18"/>
        </w:rPr>
        <w:t>Per i consorzi ordinari o GEIE già costituiti</w:t>
      </w:r>
    </w:p>
    <w:p>
      <w:pPr>
        <w:pStyle w:val="ListParagraph"/>
        <w:numPr>
          <w:ilvl w:val="0"/>
          <w:numId w:val="18"/>
        </w:numPr>
        <w:spacing w:before="60" w:after="60"/>
        <w:ind w:hanging="284" w:left="284"/>
        <w:contextualSpacing w:val="false"/>
        <w:rPr>
          <w:rFonts w:ascii="Titillium" w:hAnsi="Titillium" w:cs="Calibri"/>
          <w:sz w:val="18"/>
          <w:szCs w:val="18"/>
        </w:rPr>
      </w:pPr>
      <w:r>
        <w:rPr>
          <w:rFonts w:cs="Calibri" w:ascii="Titillium" w:hAnsi="Titillium"/>
          <w:sz w:val="18"/>
          <w:szCs w:val="18"/>
        </w:rPr>
        <w:t xml:space="preserve">copia dell’atto costitutivo e dello statuto del consorzio o GEIE, con indicazione del soggetto designato quale capofila; </w:t>
      </w:r>
    </w:p>
    <w:p>
      <w:pPr>
        <w:pStyle w:val="ListParagraph"/>
        <w:numPr>
          <w:ilvl w:val="0"/>
          <w:numId w:val="18"/>
        </w:numPr>
        <w:spacing w:before="60" w:after="60"/>
        <w:ind w:hanging="284" w:left="284"/>
        <w:contextualSpacing w:val="false"/>
        <w:rPr>
          <w:rFonts w:ascii="Titillium" w:hAnsi="Titillium" w:cs="Calibri"/>
          <w:sz w:val="18"/>
          <w:szCs w:val="18"/>
        </w:rPr>
      </w:pPr>
      <w:r>
        <w:rPr>
          <w:rFonts w:cs="Calibri" w:ascii="Titillium" w:hAnsi="Titillium"/>
          <w:sz w:val="18"/>
          <w:szCs w:val="18"/>
        </w:rPr>
        <w:t xml:space="preserve">dichiarazione sottoscritta delle parti del servizio/fornitura, ovvero la percentuale in caso di servizi/forniture indivisibili, che saranno eseguite dai singoli operatori economici consorziati. </w:t>
      </w:r>
    </w:p>
    <w:p>
      <w:pPr>
        <w:pStyle w:val="Normal"/>
        <w:spacing w:before="60" w:after="60"/>
        <w:rPr>
          <w:rFonts w:ascii="Titillium" w:hAnsi="Titillium"/>
          <w:b/>
          <w:sz w:val="18"/>
          <w:szCs w:val="18"/>
        </w:rPr>
      </w:pPr>
      <w:r>
        <w:rPr>
          <w:rFonts w:ascii="Titillium" w:hAnsi="Titillium"/>
          <w:b/>
          <w:sz w:val="18"/>
          <w:szCs w:val="18"/>
        </w:rPr>
        <w:t>Per i raggruppamenti temporanei o consorzi ordinari o GEIE non ancora costituiti</w:t>
      </w:r>
    </w:p>
    <w:p>
      <w:pPr>
        <w:pStyle w:val="ListParagraph"/>
        <w:numPr>
          <w:ilvl w:val="0"/>
          <w:numId w:val="18"/>
        </w:numPr>
        <w:spacing w:before="60" w:after="60"/>
        <w:ind w:hanging="284" w:left="284"/>
        <w:contextualSpacing w:val="false"/>
        <w:rPr>
          <w:rFonts w:ascii="Titillium" w:hAnsi="Titillium" w:cs="Calibri"/>
          <w:sz w:val="18"/>
          <w:szCs w:val="18"/>
        </w:rPr>
      </w:pPr>
      <w:r>
        <w:rPr>
          <w:rFonts w:cs="Calibri" w:ascii="Titillium" w:hAnsi="Titillium"/>
          <w:sz w:val="18"/>
          <w:szCs w:val="18"/>
        </w:rPr>
        <w:t xml:space="preserve"> </w:t>
      </w:r>
      <w:r>
        <w:rPr>
          <w:rFonts w:cs="Calibri" w:ascii="Titillium" w:hAnsi="Titillium"/>
          <w:sz w:val="18"/>
          <w:szCs w:val="18"/>
        </w:rPr>
        <w:t>dichiarazione resa da ciascun concorrente, attestante:</w:t>
      </w:r>
    </w:p>
    <w:p>
      <w:pPr>
        <w:pStyle w:val="Normal"/>
        <w:numPr>
          <w:ilvl w:val="0"/>
          <w:numId w:val="8"/>
        </w:numPr>
        <w:spacing w:before="60" w:after="60"/>
        <w:ind w:hanging="284" w:left="567"/>
        <w:rPr>
          <w:rFonts w:ascii="Titillium" w:hAnsi="Titillium" w:cs="Calibri"/>
          <w:sz w:val="18"/>
          <w:szCs w:val="18"/>
        </w:rPr>
      </w:pPr>
      <w:r>
        <w:rPr>
          <w:rFonts w:cs="Calibri" w:ascii="Titillium" w:hAnsi="Titillium"/>
          <w:sz w:val="18"/>
          <w:szCs w:val="18"/>
        </w:rPr>
        <w:t>a quale operatore economico, in caso di aggiudicazione, sarà conferito mandato speciale con rappresentanza o funzioni di capogruppo;</w:t>
      </w:r>
    </w:p>
    <w:p>
      <w:pPr>
        <w:pStyle w:val="Normal"/>
        <w:numPr>
          <w:ilvl w:val="0"/>
          <w:numId w:val="8"/>
        </w:numPr>
        <w:spacing w:before="60" w:after="60"/>
        <w:ind w:hanging="284" w:left="567"/>
        <w:rPr/>
      </w:pPr>
      <w:r>
        <w:rPr>
          <w:rFonts w:cs="Calibri" w:ascii="Titillium" w:hAnsi="Titillium"/>
          <w:sz w:val="18"/>
          <w:szCs w:val="18"/>
        </w:rPr>
        <w:t>l’impegno,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pPr>
        <w:pStyle w:val="Normal"/>
        <w:numPr>
          <w:ilvl w:val="0"/>
          <w:numId w:val="8"/>
        </w:numPr>
        <w:spacing w:before="60" w:after="60"/>
        <w:ind w:hanging="284" w:left="567"/>
        <w:rPr/>
      </w:pPr>
      <w:r>
        <w:rPr>
          <w:rFonts w:cs="Calibri" w:ascii="Titillium" w:hAnsi="Titillium"/>
          <w:sz w:val="18"/>
          <w:szCs w:val="18"/>
        </w:rPr>
        <w:t xml:space="preserve">le parti del servizio/fornitura, ovvero la percentuale in caso di servizio/forniture indivisibili, che saranno eseguite dai singoli operatori economici riuniti o consorziati. </w:t>
      </w:r>
    </w:p>
    <w:p>
      <w:pPr>
        <w:pStyle w:val="Normal"/>
        <w:spacing w:before="60" w:after="60"/>
        <w:rPr>
          <w:rFonts w:ascii="Titillium" w:hAnsi="Titillium"/>
          <w:b/>
          <w:sz w:val="18"/>
          <w:szCs w:val="18"/>
        </w:rPr>
      </w:pPr>
      <w:r>
        <w:rPr>
          <w:rFonts w:ascii="Titillium" w:hAnsi="Titillium"/>
          <w:b/>
          <w:sz w:val="18"/>
          <w:szCs w:val="18"/>
        </w:rPr>
        <w:t>Per le aggregazioni di retisti: se la rete è dotata di un organo comune con potere di rappresentanza e soggettività giuridica</w:t>
      </w:r>
    </w:p>
    <w:p>
      <w:pPr>
        <w:pStyle w:val="ListParagraph"/>
        <w:numPr>
          <w:ilvl w:val="0"/>
          <w:numId w:val="9"/>
        </w:numPr>
        <w:spacing w:before="60" w:after="60"/>
        <w:ind w:hanging="360" w:left="426"/>
        <w:contextualSpacing w:val="false"/>
        <w:rPr>
          <w:rFonts w:ascii="Titillium" w:hAnsi="Titillium" w:cs="Calibri"/>
          <w:sz w:val="18"/>
          <w:szCs w:val="18"/>
        </w:rPr>
      </w:pPr>
      <w:r>
        <w:rPr>
          <w:rFonts w:cs="Calibri" w:ascii="Titillium" w:hAnsi="Titillium"/>
          <w:sz w:val="18"/>
          <w:szCs w:val="18"/>
        </w:rPr>
        <w:t>copia del contratto di rete, con indicazione dell’organo comune che agisce in rappresentanza della rete;</w:t>
      </w:r>
    </w:p>
    <w:p>
      <w:pPr>
        <w:pStyle w:val="ListParagraph"/>
        <w:numPr>
          <w:ilvl w:val="0"/>
          <w:numId w:val="9"/>
        </w:numPr>
        <w:spacing w:before="60" w:after="60"/>
        <w:ind w:hanging="360" w:left="426"/>
        <w:contextualSpacing w:val="false"/>
        <w:rPr>
          <w:rFonts w:ascii="Titillium" w:hAnsi="Titillium" w:cs="Calibri"/>
          <w:sz w:val="18"/>
          <w:szCs w:val="18"/>
        </w:rPr>
      </w:pPr>
      <w:r>
        <w:rPr>
          <w:rFonts w:cs="Calibri" w:ascii="Titillium" w:hAnsi="Titillium"/>
          <w:sz w:val="18"/>
          <w:szCs w:val="18"/>
        </w:rPr>
        <w:t xml:space="preserve">dichiarazione che indichi per quali imprese la rete concorre; </w:t>
      </w:r>
    </w:p>
    <w:p>
      <w:pPr>
        <w:pStyle w:val="ListParagraph"/>
        <w:numPr>
          <w:ilvl w:val="0"/>
          <w:numId w:val="9"/>
        </w:numPr>
        <w:spacing w:before="60" w:after="60"/>
        <w:ind w:hanging="360" w:left="426"/>
        <w:contextualSpacing w:val="false"/>
        <w:rPr>
          <w:rFonts w:ascii="Titillium" w:hAnsi="Titillium" w:cs="Calibri"/>
          <w:sz w:val="18"/>
          <w:szCs w:val="18"/>
        </w:rPr>
      </w:pPr>
      <w:r>
        <w:rPr>
          <w:rFonts w:cs="Calibri" w:ascii="Titillium" w:hAnsi="Titillium"/>
          <w:sz w:val="18"/>
          <w:szCs w:val="18"/>
        </w:rPr>
        <w:t xml:space="preserve">dichiarazione sottoscritta con firma digitale delle parti del servizio o della fornitura, ovvero la percentuale in caso di servizio/forniture indivisibili, eseguite dai singoli operatori economici aggregati in rete. </w:t>
      </w:r>
    </w:p>
    <w:p>
      <w:pPr>
        <w:pStyle w:val="Normal"/>
        <w:spacing w:before="60" w:after="60"/>
        <w:rPr>
          <w:rFonts w:ascii="Titillium" w:hAnsi="Titillium"/>
          <w:b/>
          <w:sz w:val="18"/>
          <w:szCs w:val="18"/>
        </w:rPr>
      </w:pPr>
      <w:r>
        <w:rPr>
          <w:rFonts w:ascii="Titillium" w:hAnsi="Titillium"/>
          <w:b/>
          <w:sz w:val="18"/>
          <w:szCs w:val="18"/>
        </w:rPr>
        <w:t>Per le aggregazioni di retisti: se la rete è dotata di un organo comune con potere di rappresentanza ma è priva di soggettività giuridica</w:t>
      </w:r>
    </w:p>
    <w:p>
      <w:pPr>
        <w:pStyle w:val="ListParagraph"/>
        <w:numPr>
          <w:ilvl w:val="0"/>
          <w:numId w:val="9"/>
        </w:numPr>
        <w:spacing w:before="60" w:after="60"/>
        <w:ind w:hanging="425" w:left="426"/>
        <w:contextualSpacing w:val="false"/>
        <w:rPr>
          <w:rFonts w:ascii="Titillium" w:hAnsi="Titillium" w:cs="Calibri"/>
          <w:sz w:val="18"/>
          <w:szCs w:val="18"/>
        </w:rPr>
      </w:pPr>
      <w:r>
        <w:rPr>
          <w:rFonts w:cs="Calibri" w:ascii="Titillium" w:hAnsi="Titillium"/>
          <w:sz w:val="18"/>
          <w:szCs w:val="18"/>
        </w:rPr>
        <w:t>copia del contratto di rete;</w:t>
      </w:r>
    </w:p>
    <w:p>
      <w:pPr>
        <w:pStyle w:val="ListParagraph"/>
        <w:numPr>
          <w:ilvl w:val="0"/>
          <w:numId w:val="9"/>
        </w:numPr>
        <w:spacing w:before="60" w:after="60"/>
        <w:ind w:hanging="425" w:left="426"/>
        <w:contextualSpacing w:val="false"/>
        <w:rPr>
          <w:rFonts w:ascii="Titillium" w:hAnsi="Titillium" w:cs="Calibri"/>
          <w:sz w:val="18"/>
          <w:szCs w:val="18"/>
        </w:rPr>
      </w:pPr>
      <w:r>
        <w:rPr>
          <w:rFonts w:cs="Calibri" w:ascii="Titillium" w:hAnsi="Titillium"/>
          <w:sz w:val="18"/>
          <w:szCs w:val="18"/>
        </w:rPr>
        <w:t xml:space="preserve">copia del mandato collettivo irrevocabile con rappresentanza conferito all’organo comune; </w:t>
      </w:r>
    </w:p>
    <w:p>
      <w:pPr>
        <w:pStyle w:val="ListParagraph"/>
        <w:numPr>
          <w:ilvl w:val="0"/>
          <w:numId w:val="9"/>
        </w:numPr>
        <w:spacing w:before="60" w:after="60"/>
        <w:ind w:hanging="425" w:left="426"/>
        <w:contextualSpacing w:val="false"/>
        <w:rPr>
          <w:rFonts w:ascii="Titillium" w:hAnsi="Titillium" w:cs="Calibri"/>
          <w:sz w:val="18"/>
          <w:szCs w:val="18"/>
        </w:rPr>
      </w:pPr>
      <w:r>
        <w:rPr>
          <w:rFonts w:cs="Calibri" w:ascii="Titillium" w:hAnsi="Titillium"/>
          <w:sz w:val="18"/>
          <w:szCs w:val="18"/>
        </w:rPr>
        <w:t>dichiarazione delle parti del servizio o della fornitura, ovvero la percentuale in caso di servizio/forniture indivisibili, eseguite dai singoli operatori economici aggregati in rete.</w:t>
      </w:r>
    </w:p>
    <w:p>
      <w:pPr>
        <w:pStyle w:val="Normal"/>
        <w:spacing w:before="60" w:after="60"/>
        <w:rPr>
          <w:rFonts w:ascii="Titillium" w:hAnsi="Titillium"/>
          <w:b/>
          <w:sz w:val="18"/>
          <w:szCs w:val="18"/>
        </w:rPr>
      </w:pPr>
      <w:r>
        <w:rPr>
          <w:rFonts w:ascii="Titillium" w:hAnsi="Titillium"/>
          <w:b/>
          <w:sz w:val="18"/>
          <w:szCs w:val="18"/>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pPr>
        <w:pStyle w:val="ListParagraph"/>
        <w:numPr>
          <w:ilvl w:val="0"/>
          <w:numId w:val="9"/>
        </w:numPr>
        <w:spacing w:before="60" w:after="60"/>
        <w:ind w:hanging="360" w:left="426"/>
        <w:contextualSpacing w:val="false"/>
        <w:rPr/>
      </w:pPr>
      <w:r>
        <w:rPr>
          <w:rFonts w:cs="Calibri" w:ascii="Titillium" w:hAnsi="Titillium"/>
          <w:b/>
          <w:sz w:val="18"/>
          <w:szCs w:val="18"/>
        </w:rPr>
        <w:t>in caso di raggruppamento temporaneo di imprese costituito</w:t>
      </w:r>
      <w:r>
        <w:rPr>
          <w:rFonts w:cs="Calibri" w:ascii="Titillium" w:hAnsi="Titillium"/>
          <w:sz w:val="18"/>
          <w:szCs w:val="18"/>
        </w:rPr>
        <w:t xml:space="preserve">: </w:t>
      </w:r>
    </w:p>
    <w:p>
      <w:pPr>
        <w:pStyle w:val="ListParagraph"/>
        <w:numPr>
          <w:ilvl w:val="0"/>
          <w:numId w:val="9"/>
        </w:numPr>
        <w:spacing w:before="60" w:after="60"/>
        <w:ind w:hanging="142" w:left="426"/>
        <w:contextualSpacing w:val="false"/>
        <w:rPr>
          <w:rFonts w:ascii="Titillium" w:hAnsi="Titillium" w:cs="Calibri"/>
          <w:sz w:val="18"/>
          <w:szCs w:val="18"/>
        </w:rPr>
      </w:pPr>
      <w:r>
        <w:rPr>
          <w:rFonts w:cs="Calibri" w:ascii="Titillium" w:hAnsi="Titillium"/>
          <w:sz w:val="18"/>
          <w:szCs w:val="18"/>
        </w:rPr>
        <w:t>copia del contratto di rete;</w:t>
      </w:r>
    </w:p>
    <w:p>
      <w:pPr>
        <w:pStyle w:val="ListParagraph"/>
        <w:numPr>
          <w:ilvl w:val="0"/>
          <w:numId w:val="9"/>
        </w:numPr>
        <w:spacing w:before="60" w:after="60"/>
        <w:ind w:hanging="142" w:left="426"/>
        <w:contextualSpacing w:val="false"/>
        <w:rPr>
          <w:rFonts w:ascii="Titillium" w:hAnsi="Titillium" w:cs="Calibri"/>
          <w:sz w:val="18"/>
          <w:szCs w:val="18"/>
        </w:rPr>
      </w:pPr>
      <w:r>
        <w:rPr>
          <w:rFonts w:cs="Calibri" w:ascii="Titillium" w:hAnsi="Titillium"/>
          <w:sz w:val="18"/>
          <w:szCs w:val="18"/>
        </w:rPr>
        <w:t>copia del mandato collettivo irrevocabile con rappresentanza conferito alla mandataria;</w:t>
      </w:r>
    </w:p>
    <w:p>
      <w:pPr>
        <w:pStyle w:val="ListParagraph"/>
        <w:numPr>
          <w:ilvl w:val="0"/>
          <w:numId w:val="9"/>
        </w:numPr>
        <w:spacing w:before="60" w:after="60"/>
        <w:ind w:hanging="142" w:left="426"/>
        <w:contextualSpacing w:val="false"/>
        <w:rPr>
          <w:rFonts w:ascii="Titillium" w:hAnsi="Titillium" w:cs="Calibri"/>
          <w:sz w:val="18"/>
          <w:szCs w:val="18"/>
        </w:rPr>
      </w:pPr>
      <w:r>
        <w:rPr>
          <w:rFonts w:cs="Calibri" w:ascii="Titillium" w:hAnsi="Titillium"/>
          <w:sz w:val="18"/>
          <w:szCs w:val="18"/>
        </w:rPr>
        <w:t>dichiarazione delle parti del servizio o della fornitura, ovvero la percentuale in caso di servizio/forniture indivisibili, eseguite dai singoli operatori economici aggregati in rete.</w:t>
      </w:r>
    </w:p>
    <w:p>
      <w:pPr>
        <w:pStyle w:val="ListParagraph"/>
        <w:numPr>
          <w:ilvl w:val="0"/>
          <w:numId w:val="9"/>
        </w:numPr>
        <w:spacing w:before="60" w:after="60"/>
        <w:ind w:hanging="360" w:left="426"/>
        <w:contextualSpacing w:val="false"/>
        <w:rPr/>
      </w:pPr>
      <w:r>
        <w:rPr>
          <w:rFonts w:cs="Calibri" w:ascii="Titillium" w:hAnsi="Titillium"/>
          <w:b/>
          <w:sz w:val="18"/>
          <w:szCs w:val="18"/>
        </w:rPr>
        <w:t>in caso di raggruppamento temporaneo di imprese costituendo</w:t>
      </w:r>
      <w:r>
        <w:rPr>
          <w:rFonts w:cs="Calibri" w:ascii="Titillium" w:hAnsi="Titillium"/>
          <w:sz w:val="18"/>
          <w:szCs w:val="18"/>
        </w:rPr>
        <w:t xml:space="preserve">: </w:t>
      </w:r>
    </w:p>
    <w:p>
      <w:pPr>
        <w:pStyle w:val="ListParagraph"/>
        <w:numPr>
          <w:ilvl w:val="0"/>
          <w:numId w:val="9"/>
        </w:numPr>
        <w:spacing w:before="60" w:after="60"/>
        <w:ind w:hanging="142" w:left="426"/>
        <w:contextualSpacing w:val="false"/>
        <w:rPr>
          <w:rFonts w:ascii="Titillium" w:hAnsi="Titillium" w:cs="Calibri"/>
          <w:sz w:val="18"/>
          <w:szCs w:val="18"/>
        </w:rPr>
      </w:pPr>
      <w:r>
        <w:rPr>
          <w:rFonts w:cs="Calibri" w:ascii="Titillium" w:hAnsi="Titillium"/>
          <w:sz w:val="18"/>
          <w:szCs w:val="18"/>
        </w:rPr>
        <w:t>copia del contratto di rete;</w:t>
      </w:r>
    </w:p>
    <w:p>
      <w:pPr>
        <w:pStyle w:val="ListParagraph"/>
        <w:numPr>
          <w:ilvl w:val="0"/>
          <w:numId w:val="9"/>
        </w:numPr>
        <w:spacing w:before="60" w:after="60"/>
        <w:ind w:hanging="142" w:left="426"/>
        <w:contextualSpacing w:val="false"/>
        <w:rPr>
          <w:rFonts w:ascii="Titillium" w:hAnsi="Titillium" w:cs="Calibri"/>
          <w:sz w:val="18"/>
          <w:szCs w:val="18"/>
        </w:rPr>
      </w:pPr>
      <w:r>
        <w:rPr>
          <w:rFonts w:cs="Calibri" w:ascii="Titillium" w:hAnsi="Titillium"/>
          <w:sz w:val="18"/>
          <w:szCs w:val="18"/>
        </w:rPr>
        <w:t>dichiarazioni, rese da ciascun concorrente aderente all’aggregazione di rete, attestanti:</w:t>
      </w:r>
    </w:p>
    <w:p>
      <w:pPr>
        <w:pStyle w:val="Normal"/>
        <w:numPr>
          <w:ilvl w:val="3"/>
          <w:numId w:val="10"/>
        </w:numPr>
        <w:spacing w:before="60" w:after="60"/>
        <w:ind w:hanging="284" w:left="709"/>
        <w:rPr>
          <w:rFonts w:ascii="Titillium" w:hAnsi="Titillium" w:cs="Calibri"/>
          <w:sz w:val="18"/>
          <w:szCs w:val="18"/>
        </w:rPr>
      </w:pPr>
      <w:r>
        <w:rPr>
          <w:rFonts w:cs="Calibri" w:ascii="Titillium" w:hAnsi="Titillium"/>
          <w:sz w:val="18"/>
          <w:szCs w:val="18"/>
        </w:rPr>
        <w:t>a quale concorrente, in caso di aggiudicazione, sarà conferito mandato speciale con rappresentanza o funzioni di capogruppo;</w:t>
      </w:r>
    </w:p>
    <w:p>
      <w:pPr>
        <w:pStyle w:val="Normal"/>
        <w:numPr>
          <w:ilvl w:val="3"/>
          <w:numId w:val="10"/>
        </w:numPr>
        <w:spacing w:before="60" w:after="60"/>
        <w:ind w:hanging="284" w:left="709"/>
        <w:rPr>
          <w:rFonts w:ascii="Titillium" w:hAnsi="Titillium" w:cs="Calibri"/>
          <w:sz w:val="18"/>
          <w:szCs w:val="18"/>
        </w:rPr>
      </w:pPr>
      <w:r>
        <w:rPr>
          <w:rFonts w:cs="Calibri" w:ascii="Titillium" w:hAnsi="Titillium"/>
          <w:sz w:val="18"/>
          <w:szCs w:val="18"/>
        </w:rPr>
        <w:t>l’impegno, in caso di aggiudicazione, ad uniformarsi alla disciplina vigente in materia di raggruppamenti temporanei;</w:t>
      </w:r>
    </w:p>
    <w:p>
      <w:pPr>
        <w:pStyle w:val="Normal"/>
        <w:numPr>
          <w:ilvl w:val="3"/>
          <w:numId w:val="10"/>
        </w:numPr>
        <w:spacing w:before="60" w:after="60"/>
        <w:ind w:hanging="284" w:left="709"/>
        <w:rPr>
          <w:rFonts w:ascii="Titillium" w:hAnsi="Titillium" w:cs="Calibri"/>
          <w:sz w:val="18"/>
          <w:szCs w:val="18"/>
        </w:rPr>
      </w:pPr>
      <w:r>
        <w:rPr>
          <w:rFonts w:cs="Calibri" w:ascii="Titillium" w:hAnsi="Titillium"/>
          <w:sz w:val="18"/>
          <w:szCs w:val="18"/>
        </w:rPr>
        <w:t>le parti del servizio o della fornitura, ovvero la percentuale in caso di servizio/forniture indivisibili, eseguite dai singoli operatori economici aggregati in rete.</w:t>
      </w:r>
    </w:p>
    <w:p>
      <w:pPr>
        <w:pStyle w:val="Normal"/>
        <w:spacing w:before="60" w:after="60"/>
        <w:rPr>
          <w:rFonts w:ascii="Titillium" w:hAnsi="Titillium" w:cs="Calibri"/>
          <w:b/>
          <w:bCs/>
          <w:sz w:val="18"/>
          <w:szCs w:val="18"/>
        </w:rPr>
      </w:pPr>
      <w:r>
        <w:rPr>
          <w:rFonts w:cs="Calibri" w:ascii="Titillium" w:hAnsi="Titillium"/>
          <w:b/>
          <w:bCs/>
          <w:sz w:val="18"/>
          <w:szCs w:val="18"/>
        </w:rPr>
        <w:t>Per i consorzi di cui all’art. 65, comma 2, lett. b), c) e d) del Codice</w:t>
      </w:r>
    </w:p>
    <w:p>
      <w:pPr>
        <w:pStyle w:val="ListParagraph"/>
        <w:numPr>
          <w:ilvl w:val="0"/>
          <w:numId w:val="9"/>
        </w:numPr>
        <w:spacing w:before="60" w:after="60"/>
        <w:ind w:hanging="360" w:left="426"/>
        <w:contextualSpacing/>
        <w:rPr>
          <w:rFonts w:ascii="Titillium" w:hAnsi="Titillium" w:cs="Calibri"/>
          <w:sz w:val="18"/>
          <w:szCs w:val="18"/>
        </w:rPr>
      </w:pPr>
      <w:r>
        <w:rPr>
          <w:rFonts w:cs="Calibri" w:ascii="Titillium" w:hAnsi="Titillium"/>
          <w:sz w:val="18"/>
          <w:szCs w:val="18"/>
        </w:rPr>
        <w:t>DGUE compilato e sottoscritto da ciascuna consorziata esecutrice e da ciascuna consorziata che presta i requisiti;</w:t>
      </w:r>
    </w:p>
    <w:p>
      <w:pPr>
        <w:pStyle w:val="ListParagraph"/>
        <w:numPr>
          <w:ilvl w:val="0"/>
          <w:numId w:val="9"/>
        </w:numPr>
        <w:spacing w:before="60" w:after="60"/>
        <w:ind w:hanging="360" w:left="426"/>
        <w:contextualSpacing/>
        <w:rPr>
          <w:rFonts w:ascii="Titillium" w:hAnsi="Titillium" w:cs="Calibri"/>
          <w:sz w:val="18"/>
          <w:szCs w:val="18"/>
        </w:rPr>
      </w:pPr>
      <w:r>
        <w:rPr>
          <w:rFonts w:cs="Calibri" w:ascii="Titillium" w:hAnsi="Titillium"/>
          <w:sz w:val="18"/>
          <w:szCs w:val="18"/>
        </w:rPr>
        <w:t xml:space="preserve">dichiarazione resa da ciascuna consorziata esecutrice e da ciascuna consorziata che presta i requisiti, attestante: </w:t>
      </w:r>
    </w:p>
    <w:p>
      <w:pPr>
        <w:pStyle w:val="ListParagraph"/>
        <w:numPr>
          <w:ilvl w:val="1"/>
          <w:numId w:val="8"/>
        </w:numPr>
        <w:spacing w:before="60" w:after="60"/>
        <w:ind w:hanging="360" w:left="709"/>
        <w:contextualSpacing/>
        <w:rPr>
          <w:rFonts w:ascii="Titillium" w:hAnsi="Titillium" w:cs="Calibri"/>
          <w:sz w:val="18"/>
          <w:szCs w:val="18"/>
        </w:rPr>
      </w:pPr>
      <w:r>
        <w:rPr>
          <w:rFonts w:cs="Calibri" w:ascii="Titillium" w:hAnsi="Titillium"/>
          <w:i/>
          <w:iCs/>
          <w:sz w:val="18"/>
          <w:szCs w:val="18"/>
        </w:rPr>
        <w:t>[Eventuale, in caso di servizi o forniture rientranti in una delle attività a maggior rischio di infiltrazione mafiosa di cui al comma 53, dell’art. 1, della legge 6 novembre 2012, n. 190]</w:t>
      </w:r>
      <w:r>
        <w:rPr>
          <w:rFonts w:cs="Calibri" w:ascii="Titillium" w:hAnsi="Titillium"/>
          <w:sz w:val="18"/>
          <w:szCs w:val="18"/>
        </w:rPr>
        <w:t>:</w:t>
      </w:r>
    </w:p>
    <w:p>
      <w:pPr>
        <w:pStyle w:val="ListParagraph"/>
        <w:numPr>
          <w:ilvl w:val="4"/>
          <w:numId w:val="8"/>
        </w:numPr>
        <w:spacing w:before="60" w:after="60"/>
        <w:ind w:hanging="142" w:left="851"/>
        <w:contextualSpacing/>
        <w:rPr>
          <w:rFonts w:ascii="Titillium" w:hAnsi="Titillium" w:cs="Calibri"/>
          <w:sz w:val="18"/>
          <w:szCs w:val="18"/>
        </w:rPr>
      </w:pPr>
      <w:r>
        <w:rPr>
          <w:rFonts w:cs="Calibri" w:ascii="Titillium" w:hAnsi="Titillium"/>
          <w:sz w:val="18"/>
          <w:szCs w:val="18"/>
        </w:rPr>
        <w:t>1 di essere iscritto nell’elenco dei fornitori, prestatori di servizi non soggetti a tentativo di infiltrazione mafiosa (c.d. White List), indicando la Prefettura presso cui l’elenco è istituito</w:t>
      </w:r>
      <w:bookmarkStart w:id="1782" w:name="_Hlk203730467"/>
      <w:r>
        <w:rPr>
          <w:rFonts w:cs="Calibri" w:ascii="Titillium" w:hAnsi="Titillium"/>
          <w:sz w:val="18"/>
          <w:szCs w:val="18"/>
        </w:rPr>
        <w:t>;</w:t>
      </w:r>
    </w:p>
    <w:p>
      <w:pPr>
        <w:pStyle w:val="ListParagraph"/>
        <w:spacing w:before="60" w:after="60"/>
        <w:ind w:firstLine="695" w:left="-284"/>
        <w:contextualSpacing/>
        <w:rPr>
          <w:rFonts w:ascii="Titillium" w:hAnsi="Titillium" w:eastAsia="Calibri" w:cs="Courier New"/>
          <w:b/>
          <w:i/>
          <w:iCs/>
          <w:sz w:val="18"/>
          <w:szCs w:val="18"/>
          <w:lang w:eastAsia="it-IT"/>
        </w:rPr>
      </w:pPr>
      <w:r>
        <w:rPr>
          <w:rFonts w:eastAsia="Calibri" w:cs="Courier New" w:ascii="Titillium" w:hAnsi="Titillium"/>
          <w:b/>
          <w:i/>
          <w:iCs/>
          <w:sz w:val="18"/>
          <w:szCs w:val="18"/>
          <w:lang w:eastAsia="it-IT"/>
        </w:rPr>
        <w:t xml:space="preserve">(o, in alternativa,) </w:t>
      </w:r>
      <w:bookmarkEnd w:id="1782"/>
    </w:p>
    <w:p>
      <w:pPr>
        <w:pStyle w:val="Title"/>
        <w:spacing w:lineRule="auto" w:line="276" w:before="60" w:after="60"/>
        <w:ind w:left="709"/>
        <w:contextualSpacing/>
        <w:rPr>
          <w:rFonts w:ascii="Titillium" w:hAnsi="Titillium" w:cs="Calibri"/>
          <w:sz w:val="18"/>
          <w:szCs w:val="18"/>
        </w:rPr>
      </w:pPr>
      <w:r>
        <w:rPr>
          <w:rFonts w:cs="Calibri" w:ascii="Titillium" w:hAnsi="Titillium"/>
          <w:sz w:val="18"/>
          <w:szCs w:val="18"/>
        </w:rPr>
        <w:t>a..2 di aver presentato la domanda di iscrizione o di rinnovo nell’elenco dei fornitori, prestatori di servizi non soggetti a tentativo di infiltrazione mafiosa, indicando la Prefettura presso cui l’elenco è istituito;</w:t>
      </w:r>
    </w:p>
    <w:p>
      <w:pPr>
        <w:pStyle w:val="ListParagraph"/>
        <w:numPr>
          <w:ilvl w:val="1"/>
          <w:numId w:val="8"/>
        </w:numPr>
        <w:spacing w:before="60" w:after="60"/>
        <w:ind w:hanging="360" w:left="851"/>
        <w:contextualSpacing/>
        <w:rPr>
          <w:rFonts w:ascii="Titillium" w:hAnsi="Titillium" w:cs="Calibri"/>
          <w:i/>
          <w:iCs/>
          <w:sz w:val="18"/>
          <w:szCs w:val="18"/>
        </w:rPr>
      </w:pPr>
      <w:r>
        <w:rPr>
          <w:rFonts w:cs="Calibri" w:ascii="Titillium" w:hAnsi="Titillium"/>
          <w:i/>
          <w:iCs/>
          <w:sz w:val="18"/>
          <w:szCs w:val="18"/>
        </w:rPr>
        <w:t>[Eventuale in caso di adozione di misure di self-cleaning]:</w:t>
      </w:r>
    </w:p>
    <w:p>
      <w:pPr>
        <w:pStyle w:val="Normal"/>
        <w:ind w:left="709"/>
        <w:rPr>
          <w:rFonts w:ascii="Titillium" w:hAnsi="Titillium" w:cs="Calibri"/>
          <w:sz w:val="18"/>
          <w:szCs w:val="18"/>
        </w:rPr>
      </w:pPr>
      <w:r>
        <w:rPr>
          <w:rFonts w:cs="Calibri" w:ascii="Titillium" w:hAnsi="Titillium"/>
          <w:sz w:val="18"/>
          <w:szCs w:val="18"/>
        </w:rPr>
        <w:t>b.1 di avere inserito nel FVOE la relazione che illustra le misure di self cleaning adottate in relazione alle cause di esclusione verificate prima della presentazione della presente domanda e di aver indicato nel DGUE, il riferimento al documento caricato nel FVOE;</w:t>
      </w:r>
    </w:p>
    <w:p>
      <w:pPr>
        <w:pStyle w:val="ListParagraph"/>
        <w:spacing w:before="60" w:after="60"/>
        <w:ind w:firstLine="695" w:left="-284"/>
        <w:contextualSpacing/>
        <w:rPr>
          <w:rFonts w:ascii="Titillium" w:hAnsi="Titillium" w:eastAsia="Calibri" w:cs="Courier New"/>
          <w:b/>
          <w:i/>
          <w:iCs/>
          <w:sz w:val="18"/>
          <w:szCs w:val="18"/>
          <w:lang w:eastAsia="it-IT"/>
        </w:rPr>
      </w:pPr>
      <w:r>
        <w:rPr>
          <w:rFonts w:eastAsia="Calibri" w:cs="Courier New" w:ascii="Titillium" w:hAnsi="Titillium"/>
          <w:b/>
          <w:i/>
          <w:iCs/>
          <w:sz w:val="18"/>
          <w:szCs w:val="18"/>
          <w:lang w:eastAsia="it-IT"/>
        </w:rPr>
        <w:t xml:space="preserve">(o, in alternativa) </w:t>
      </w:r>
    </w:p>
    <w:p>
      <w:pPr>
        <w:pStyle w:val="ListParagraph"/>
        <w:ind w:left="709"/>
        <w:rPr>
          <w:rFonts w:ascii="Titillium" w:hAnsi="Titillium" w:cs="Calibri"/>
          <w:sz w:val="18"/>
          <w:szCs w:val="18"/>
        </w:rPr>
      </w:pPr>
      <w:r>
        <w:rPr>
          <w:rFonts w:cs="Calibri" w:ascii="Titillium" w:hAnsi="Titillium"/>
          <w:sz w:val="18"/>
          <w:szCs w:val="18"/>
        </w:rPr>
        <w:t>b.2 di essere stato impossibilitato ad adottare misure di self cleaning per i seguenti motivi ……………………………. [indicare le motivazioni] e si impegna ad adottare misure idonee e a comunicare le stesse tempestivamente e comunque prima dell’aggiudicazione;</w:t>
      </w:r>
    </w:p>
    <w:p>
      <w:pPr>
        <w:pStyle w:val="ListParagraph"/>
        <w:numPr>
          <w:ilvl w:val="1"/>
          <w:numId w:val="8"/>
        </w:numPr>
        <w:spacing w:before="60" w:after="60"/>
        <w:ind w:hanging="283" w:left="709"/>
        <w:contextualSpacing/>
        <w:rPr>
          <w:rFonts w:ascii="Titillium" w:hAnsi="Titillium" w:cs="Calibri"/>
          <w:sz w:val="18"/>
          <w:szCs w:val="18"/>
        </w:rPr>
      </w:pPr>
      <w:r>
        <w:rPr>
          <w:rFonts w:cs="Calibri" w:ascii="Titillium" w:hAnsi="Titillium"/>
          <w:i/>
          <w:iCs/>
          <w:sz w:val="18"/>
          <w:szCs w:val="18"/>
        </w:rPr>
        <w:t>[Eventuale, in caso di sottoposizione a concordato preventivo con continuità aziendale]:</w:t>
      </w:r>
    </w:p>
    <w:p>
      <w:pPr>
        <w:pStyle w:val="Title"/>
        <w:numPr>
          <w:ilvl w:val="0"/>
          <w:numId w:val="33"/>
        </w:numPr>
        <w:spacing w:lineRule="auto" w:line="276" w:before="0" w:after="0"/>
        <w:ind w:hanging="283" w:left="709"/>
        <w:contextualSpacing/>
        <w:rPr>
          <w:rFonts w:ascii="Titillium" w:hAnsi="Titillium" w:cs="Calibri"/>
          <w:sz w:val="18"/>
          <w:szCs w:val="18"/>
        </w:rPr>
      </w:pPr>
      <w:r>
        <w:rPr>
          <w:rFonts w:eastAsia="Times New Roman" w:cs="Calibri" w:ascii="Titillium" w:hAnsi="Titillium"/>
          <w:spacing w:val="0"/>
          <w:kern w:val="0"/>
          <w:sz w:val="18"/>
          <w:szCs w:val="18"/>
        </w:rPr>
        <w:t>che il provvedimento di ammissione al concordato è stato emesso il ……………. da …………………</w:t>
      </w:r>
    </w:p>
    <w:p>
      <w:pPr>
        <w:pStyle w:val="ListParagraph"/>
        <w:numPr>
          <w:ilvl w:val="0"/>
          <w:numId w:val="33"/>
        </w:numPr>
        <w:spacing w:before="60" w:after="60"/>
        <w:ind w:hanging="283" w:left="709"/>
        <w:contextualSpacing/>
        <w:rPr>
          <w:rFonts w:ascii="Titillium" w:hAnsi="Titillium" w:cs="Calibri"/>
          <w:sz w:val="18"/>
          <w:szCs w:val="18"/>
        </w:rPr>
      </w:pPr>
      <w:r>
        <w:rPr>
          <w:rFonts w:cs="Calibri" w:ascii="Titillium" w:hAnsi="Titillium"/>
          <w:sz w:val="18"/>
          <w:szCs w:val="18"/>
        </w:rPr>
        <w:t>che il provvedimento di autorizzazione a partecipare alle gare è stato emesso il ……………. da …….;</w:t>
      </w:r>
    </w:p>
    <w:p>
      <w:pPr>
        <w:pStyle w:val="ListParagraph"/>
        <w:numPr>
          <w:ilvl w:val="1"/>
          <w:numId w:val="8"/>
        </w:numPr>
        <w:spacing w:before="60" w:after="60"/>
        <w:ind w:hanging="283" w:left="709"/>
        <w:contextualSpacing/>
        <w:rPr>
          <w:rFonts w:ascii="Titillium" w:hAnsi="Titillium" w:cs="Calibri"/>
          <w:sz w:val="18"/>
          <w:szCs w:val="18"/>
        </w:rPr>
      </w:pPr>
      <w:r>
        <w:rPr>
          <w:rFonts w:cs="Calibri" w:ascii="Titillium" w:hAnsi="Titillium"/>
          <w:i/>
          <w:iCs/>
          <w:sz w:val="18"/>
          <w:szCs w:val="18"/>
        </w:rPr>
        <w:t>[Eventuale, in caso di 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pPr>
        <w:pStyle w:val="Title"/>
        <w:numPr>
          <w:ilvl w:val="0"/>
          <w:numId w:val="33"/>
        </w:numPr>
        <w:spacing w:lineRule="auto" w:line="276" w:before="0" w:after="0"/>
        <w:ind w:hanging="283" w:left="709"/>
        <w:contextualSpacing/>
        <w:rPr>
          <w:rFonts w:ascii="Titillium" w:hAnsi="Titillium" w:cs="Calibri"/>
          <w:sz w:val="18"/>
          <w:szCs w:val="18"/>
        </w:rPr>
      </w:pPr>
      <w:r>
        <w:rPr>
          <w:rFonts w:eastAsia="Times New Roman" w:cs="Calibri" w:ascii="Titillium" w:hAnsi="Titillium"/>
          <w:spacing w:val="0"/>
          <w:kern w:val="0"/>
          <w:sz w:val="18"/>
          <w:szCs w:val="18"/>
        </w:rPr>
        <w:t xml:space="preserve"> </w:t>
      </w:r>
      <w:r>
        <w:rPr>
          <w:rFonts w:eastAsia="Times New Roman" w:cs="Calibri" w:ascii="Titillium" w:hAnsi="Titillium"/>
          <w:spacing w:val="0"/>
          <w:kern w:val="0"/>
          <w:sz w:val="18"/>
          <w:szCs w:val="18"/>
        </w:rPr>
        <w:t>che è stato emesso il provvedimento …. (indicare il tipo di provvedimento: sottoposizione a sequestro o confisca ai sensi dell'articolo 240-bis del codice penale o degli articoli 20 e 24 del decreto legislativo 6 settembre 2011, n. 159, e affidamento a custode o amministratore giudiziario o finanziario) in data … da parte di ….;</w:t>
      </w:r>
    </w:p>
    <w:p>
      <w:pPr>
        <w:pStyle w:val="ListParagraph"/>
        <w:numPr>
          <w:ilvl w:val="1"/>
          <w:numId w:val="8"/>
        </w:numPr>
        <w:spacing w:before="60" w:after="60"/>
        <w:ind w:hanging="283" w:left="709"/>
        <w:contextualSpacing/>
        <w:rPr>
          <w:rFonts w:ascii="Titillium" w:hAnsi="Titillium" w:cs="Calibri"/>
          <w:sz w:val="18"/>
          <w:szCs w:val="18"/>
        </w:rPr>
      </w:pPr>
      <w:r>
        <w:rPr>
          <w:rFonts w:cs="Calibri" w:ascii="Titillium" w:hAnsi="Titillium"/>
          <w:i/>
          <w:iCs/>
          <w:sz w:val="18"/>
          <w:szCs w:val="18"/>
        </w:rPr>
        <w:t>[</w:t>
      </w:r>
      <w:r>
        <w:rPr>
          <w:rFonts w:cs="Calibri" w:ascii="Titillium" w:hAnsi="Titillium"/>
          <w:b/>
          <w:bCs/>
          <w:i/>
          <w:iCs/>
          <w:sz w:val="18"/>
          <w:szCs w:val="18"/>
        </w:rPr>
        <w:t>solo per i consorzi stabili</w:t>
      </w:r>
      <w:r>
        <w:rPr>
          <w:rFonts w:cs="Calibri" w:ascii="Titillium" w:hAnsi="Titillium"/>
          <w:i/>
          <w:iCs/>
          <w:sz w:val="18"/>
          <w:szCs w:val="18"/>
        </w:rPr>
        <w:t>]</w:t>
      </w:r>
      <w:r>
        <w:rPr>
          <w:rFonts w:cs="Calibri" w:ascii="Titillium" w:hAnsi="Titillium"/>
          <w:sz w:val="18"/>
          <w:szCs w:val="18"/>
        </w:rPr>
        <w:t xml:space="preserve"> di non partecipare a più di un consorzio stabile;</w:t>
      </w:r>
    </w:p>
    <w:p>
      <w:pPr>
        <w:pStyle w:val="ListParagraph"/>
        <w:numPr>
          <w:ilvl w:val="1"/>
          <w:numId w:val="8"/>
        </w:numPr>
        <w:spacing w:before="60" w:after="60"/>
        <w:ind w:hanging="283" w:left="709"/>
        <w:contextualSpacing/>
        <w:rPr>
          <w:rFonts w:ascii="Titillium" w:hAnsi="Titillium"/>
          <w:sz w:val="18"/>
          <w:szCs w:val="18"/>
        </w:rPr>
      </w:pPr>
      <w:r>
        <w:rPr>
          <w:rFonts w:ascii="Titillium" w:hAnsi="Titillium"/>
          <w:sz w:val="18"/>
          <w:szCs w:val="18"/>
        </w:rPr>
        <w:t>di non partecipare alla medesima gara contemporaneamente in forme diverse (singola/associata, in più forme associate, in forma singola e quale consorziato esecutore di un consorzio) e come impresa ausiliaria di altro concorrente che sia ricorso all’avvalimento per migliorare la propria offerta;</w:t>
      </w:r>
    </w:p>
    <w:p>
      <w:pPr>
        <w:pStyle w:val="ListParagraph"/>
        <w:spacing w:before="60" w:after="60"/>
        <w:ind w:firstLine="695" w:left="-284"/>
        <w:contextualSpacing/>
        <w:rPr>
          <w:rFonts w:ascii="Titillium" w:hAnsi="Titillium" w:eastAsia="Calibri" w:cs="Courier New"/>
          <w:b/>
          <w:i/>
          <w:iCs/>
          <w:sz w:val="18"/>
          <w:szCs w:val="18"/>
          <w:lang w:eastAsia="it-IT"/>
        </w:rPr>
      </w:pPr>
      <w:r>
        <w:rPr>
          <w:rFonts w:eastAsia="Calibri" w:cs="Courier New" w:ascii="Titillium" w:hAnsi="Titillium"/>
          <w:b/>
          <w:i/>
          <w:iCs/>
          <w:sz w:val="18"/>
          <w:szCs w:val="18"/>
          <w:lang w:eastAsia="it-IT"/>
        </w:rPr>
        <w:t xml:space="preserve">(o, in alternativa) </w:t>
      </w:r>
    </w:p>
    <w:p>
      <w:pPr>
        <w:pStyle w:val="ListParagraph"/>
        <w:numPr>
          <w:ilvl w:val="1"/>
          <w:numId w:val="8"/>
        </w:numPr>
        <w:ind w:hanging="283" w:left="709"/>
        <w:rPr>
          <w:rFonts w:ascii="Titillium" w:hAnsi="Titillium" w:cs="Calibri"/>
          <w:sz w:val="18"/>
          <w:szCs w:val="18"/>
        </w:rPr>
      </w:pPr>
      <w:r>
        <w:rPr>
          <w:rFonts w:cs="Calibri" w:ascii="Titillium" w:hAnsi="Titillium"/>
          <w:sz w:val="18"/>
          <w:szCs w:val="18"/>
        </w:rPr>
        <w:t xml:space="preserve">di partecipare in più di una forma, ………………… </w:t>
      </w:r>
      <w:r>
        <w:rPr>
          <w:rFonts w:cs="Calibri" w:ascii="Titillium" w:hAnsi="Titillium"/>
          <w:i/>
          <w:iCs/>
          <w:sz w:val="18"/>
          <w:szCs w:val="18"/>
        </w:rPr>
        <w:t xml:space="preserve">[indicare quali] </w:t>
      </w:r>
      <w:r>
        <w:rPr>
          <w:rFonts w:cs="Calibri" w:ascii="Titillium" w:hAnsi="Titillium"/>
          <w:sz w:val="18"/>
          <w:szCs w:val="18"/>
        </w:rPr>
        <w:t>e inserisce nel FVOE idonea documentazione atta a dimostrare che la circostanza non ha influito sulla gara, né è idonea a incidere sulla capacità di rispettare gli obblighi contrattuali;</w:t>
      </w:r>
    </w:p>
    <w:p>
      <w:pPr>
        <w:pStyle w:val="ListParagraph"/>
        <w:spacing w:before="60" w:after="60"/>
        <w:ind w:firstLine="695" w:left="-284"/>
        <w:contextualSpacing/>
        <w:rPr>
          <w:rFonts w:ascii="Titillium" w:hAnsi="Titillium" w:eastAsia="Calibri" w:cs="Courier New"/>
          <w:b/>
          <w:i/>
          <w:iCs/>
          <w:sz w:val="18"/>
          <w:szCs w:val="18"/>
          <w:lang w:eastAsia="it-IT"/>
        </w:rPr>
      </w:pPr>
      <w:r>
        <w:rPr>
          <w:rFonts w:eastAsia="Calibri" w:cs="Courier New" w:ascii="Titillium" w:hAnsi="Titillium"/>
          <w:b/>
          <w:i/>
          <w:iCs/>
          <w:sz w:val="18"/>
          <w:szCs w:val="18"/>
          <w:lang w:eastAsia="it-IT"/>
        </w:rPr>
        <w:t xml:space="preserve">(o, in alternativa) </w:t>
      </w:r>
    </w:p>
    <w:p>
      <w:pPr>
        <w:pStyle w:val="ListParagraph"/>
        <w:numPr>
          <w:ilvl w:val="1"/>
          <w:numId w:val="8"/>
        </w:numPr>
        <w:ind w:hanging="283" w:left="709"/>
        <w:rPr>
          <w:rFonts w:ascii="Titillium" w:hAnsi="Titillium" w:cs="Calibri"/>
          <w:sz w:val="18"/>
          <w:szCs w:val="18"/>
        </w:rPr>
      </w:pPr>
      <w:r>
        <w:rPr>
          <w:rFonts w:cs="Calibri" w:ascii="Titillium" w:hAnsi="Titillium"/>
          <w:sz w:val="18"/>
          <w:szCs w:val="18"/>
        </w:rPr>
        <w:t xml:space="preserve">di avere prestato risorse, in qualità di impresa ausiliaria, al concorrente …. </w:t>
      </w:r>
      <w:r>
        <w:rPr>
          <w:rFonts w:cs="Calibri" w:ascii="Titillium" w:hAnsi="Titillium"/>
          <w:i/>
          <w:iCs/>
          <w:sz w:val="18"/>
          <w:szCs w:val="18"/>
        </w:rPr>
        <w:t>[indicare il nominativo]</w:t>
      </w:r>
      <w:r>
        <w:rPr>
          <w:rFonts w:cs="Calibri" w:ascii="Titillium" w:hAnsi="Titillium"/>
          <w:sz w:val="18"/>
          <w:szCs w:val="18"/>
        </w:rPr>
        <w:t>, che se ne è avvalso ai fini del miglioramento dell’offerta, e inserisce nel FVOE idonea documentazione atta a dimostrare che non sussistono collegamenti tali da ricondurre entrambe le imprese allo stesso centro decisionale;</w:t>
      </w:r>
    </w:p>
    <w:p>
      <w:pPr>
        <w:pStyle w:val="ListParagraph"/>
        <w:numPr>
          <w:ilvl w:val="1"/>
          <w:numId w:val="8"/>
        </w:numPr>
        <w:ind w:hanging="283" w:left="709"/>
        <w:rPr>
          <w:rFonts w:ascii="Titillium" w:hAnsi="Titillium" w:cs="Calibri"/>
          <w:sz w:val="18"/>
          <w:szCs w:val="18"/>
        </w:rPr>
      </w:pPr>
      <w:r>
        <w:rPr>
          <w:rFonts w:cs="Calibri" w:ascii="Titillium" w:hAnsi="Titillium"/>
          <w:sz w:val="18"/>
          <w:szCs w:val="18"/>
        </w:rPr>
        <w:t>di prestare il consenso al trattamento dei dati tramite il FVOE, nel rispetto di quanto previsto dal D.lgs. 196 del 30 giugno 2003, ai fini della verifica da parte della stazione appaltante del possesso dei requisiti dichiarati.</w:t>
      </w:r>
    </w:p>
    <w:p>
      <w:pPr>
        <w:pStyle w:val="Normal"/>
        <w:ind w:left="774"/>
        <w:rPr>
          <w:rFonts w:ascii="Titillium" w:hAnsi="Titillium" w:cs="Calibri"/>
          <w:sz w:val="18"/>
          <w:szCs w:val="18"/>
        </w:rPr>
      </w:pPr>
      <w:r>
        <w:rPr>
          <w:rFonts w:cs="Calibri" w:ascii="Titillium" w:hAnsi="Titillium"/>
          <w:sz w:val="18"/>
          <w:szCs w:val="18"/>
        </w:rPr>
      </w:r>
    </w:p>
    <w:p>
      <w:pPr>
        <w:pStyle w:val="Heading2"/>
        <w:numPr>
          <w:ilvl w:val="0"/>
          <w:numId w:val="3"/>
        </w:numPr>
        <w:rPr/>
      </w:pPr>
      <w:r>
        <w:rPr/>
        <w:t xml:space="preserve"> </w:t>
      </w:r>
      <w:bookmarkStart w:id="1783" w:name="_Toc207275754"/>
      <w:r>
        <w:rPr/>
        <w:t>OFFERTA TECNICA</w:t>
      </w:r>
      <w:bookmarkEnd w:id="1783"/>
    </w:p>
    <w:p>
      <w:pPr>
        <w:pStyle w:val="Normal"/>
        <w:spacing w:before="60" w:after="60"/>
        <w:rPr/>
      </w:pPr>
      <w:bookmarkStart w:id="1784" w:name="_Toc406754183"/>
      <w:bookmarkStart w:id="1785" w:name="_Toc407013507"/>
      <w:bookmarkStart w:id="1786" w:name="_Toc406058382"/>
      <w:bookmarkEnd w:id="1784"/>
      <w:bookmarkEnd w:id="1785"/>
      <w:bookmarkEnd w:id="1786"/>
      <w:r>
        <w:rPr>
          <w:rFonts w:cs="Calibri" w:ascii="Titillium" w:hAnsi="Titillium"/>
          <w:sz w:val="18"/>
          <w:szCs w:val="18"/>
        </w:rPr>
        <w:t>L’operatore economico inserisce la documentazione relativa all’offerta tecnica nella PAD secondo le seguenti modalità,</w:t>
      </w:r>
      <w:r>
        <w:rPr>
          <w:rFonts w:cs="Calibri" w:ascii="Titillium" w:hAnsi="Titillium"/>
          <w:i/>
          <w:sz w:val="18"/>
          <w:szCs w:val="18"/>
        </w:rPr>
        <w:t xml:space="preserve">, </w:t>
      </w:r>
      <w:r>
        <w:rPr>
          <w:rFonts w:cs="Calibri" w:ascii="Titillium" w:hAnsi="Titillium"/>
          <w:iCs/>
          <w:sz w:val="18"/>
          <w:szCs w:val="18"/>
        </w:rPr>
        <w:t xml:space="preserve">a pena </w:t>
      </w:r>
      <w:r>
        <w:rPr>
          <w:rFonts w:cs="Calibri" w:ascii="Titillium" w:hAnsi="Titillium"/>
          <w:iCs/>
          <w:sz w:val="18"/>
          <w:szCs w:val="18"/>
          <w:shd w:fill="FFFFFF" w:val="clear"/>
        </w:rPr>
        <w:t>di inammissibilità dell’offerta. L’offerta è fi</w:t>
      </w:r>
      <w:r>
        <w:rPr>
          <w:rFonts w:cs="Calibri" w:ascii="Titillium" w:hAnsi="Titillium"/>
          <w:sz w:val="18"/>
          <w:szCs w:val="18"/>
          <w:shd w:fill="FFFFFF" w:val="clear"/>
        </w:rPr>
        <w:t>rmata secondo le modalità previste al precedente paragrafo 13 e deve contenere i seguenti documenti:</w:t>
      </w:r>
    </w:p>
    <w:p>
      <w:pPr>
        <w:pStyle w:val="ListParagraph"/>
        <w:numPr>
          <w:ilvl w:val="0"/>
          <w:numId w:val="19"/>
        </w:numPr>
        <w:spacing w:before="60" w:after="60"/>
        <w:ind w:hanging="360" w:left="709"/>
        <w:contextualSpacing w:val="false"/>
        <w:rPr>
          <w:shd w:fill="FFFFFF" w:val="clear"/>
        </w:rPr>
      </w:pPr>
      <w:r>
        <w:rPr>
          <w:rFonts w:cs="Calibri" w:ascii="Titillium" w:hAnsi="Titillium"/>
          <w:sz w:val="18"/>
          <w:szCs w:val="18"/>
          <w:shd w:fill="FFFFFF" w:val="clear"/>
        </w:rPr>
        <w:t>relazione tecnica generale delle apparecchiature offerte e del servizio di manutenzione delle stesse;</w:t>
      </w:r>
    </w:p>
    <w:p>
      <w:pPr>
        <w:pStyle w:val="ListParagraph"/>
        <w:numPr>
          <w:ilvl w:val="0"/>
          <w:numId w:val="19"/>
        </w:numPr>
        <w:spacing w:before="60" w:after="60"/>
        <w:ind w:hanging="360" w:left="709"/>
        <w:contextualSpacing w:val="false"/>
        <w:rPr>
          <w:rFonts w:ascii="Titillium" w:hAnsi="Titillium" w:cs="Calibri"/>
          <w:sz w:val="18"/>
          <w:szCs w:val="18"/>
          <w:shd w:fill="FFFFFF" w:val="clear"/>
        </w:rPr>
      </w:pPr>
      <w:r>
        <w:rPr>
          <w:rFonts w:cs="Calibri" w:ascii="Titillium" w:hAnsi="Titillium"/>
          <w:sz w:val="18"/>
          <w:szCs w:val="18"/>
          <w:shd w:fill="FFFFFF" w:val="clear"/>
        </w:rPr>
        <w:t>relazione Migliorie – Criterio di valutazione A;</w:t>
      </w:r>
    </w:p>
    <w:p>
      <w:pPr>
        <w:pStyle w:val="ListParagraph"/>
        <w:numPr>
          <w:ilvl w:val="0"/>
          <w:numId w:val="19"/>
        </w:numPr>
        <w:spacing w:before="60" w:after="60"/>
        <w:ind w:hanging="360" w:left="709"/>
        <w:contextualSpacing w:val="false"/>
        <w:rPr>
          <w:rFonts w:ascii="Titillium" w:hAnsi="Titillium" w:cs="Calibri"/>
          <w:sz w:val="18"/>
          <w:szCs w:val="18"/>
          <w:shd w:fill="FFFFFF" w:val="clear"/>
        </w:rPr>
      </w:pPr>
      <w:r>
        <w:rPr>
          <w:rFonts w:cs="Calibri" w:ascii="Titillium" w:hAnsi="Titillium"/>
          <w:sz w:val="18"/>
          <w:szCs w:val="18"/>
          <w:shd w:fill="FFFFFF" w:val="clear"/>
        </w:rPr>
        <w:t>relazione Sostenibilità ambientale – Criterio di valutazione B;</w:t>
      </w:r>
    </w:p>
    <w:p>
      <w:pPr>
        <w:pStyle w:val="ListParagraph"/>
        <w:numPr>
          <w:ilvl w:val="0"/>
          <w:numId w:val="19"/>
        </w:numPr>
        <w:spacing w:before="60" w:after="60"/>
        <w:ind w:hanging="360" w:left="709"/>
        <w:contextualSpacing w:val="false"/>
        <w:rPr>
          <w:rFonts w:ascii="Titillium" w:hAnsi="Titillium" w:cs="Calibri"/>
          <w:sz w:val="18"/>
          <w:szCs w:val="18"/>
          <w:shd w:fill="FFFFFF" w:val="clear"/>
        </w:rPr>
      </w:pPr>
      <w:r>
        <w:rPr>
          <w:rFonts w:cs="Calibri" w:ascii="Titillium" w:hAnsi="Titillium"/>
          <w:sz w:val="18"/>
          <w:szCs w:val="18"/>
          <w:shd w:fill="FFFFFF" w:val="clear"/>
        </w:rPr>
        <w:t>relazione Manutenzione – Criterio di valutazione C;</w:t>
      </w:r>
    </w:p>
    <w:p>
      <w:pPr>
        <w:pStyle w:val="ListParagraph"/>
        <w:numPr>
          <w:ilvl w:val="0"/>
          <w:numId w:val="19"/>
        </w:numPr>
        <w:spacing w:before="60" w:after="60"/>
        <w:ind w:hanging="360" w:left="709"/>
        <w:contextualSpacing w:val="false"/>
        <w:rPr>
          <w:rFonts w:ascii="Titillium" w:hAnsi="Titillium" w:cs="Calibri"/>
          <w:sz w:val="18"/>
          <w:szCs w:val="18"/>
          <w:shd w:fill="FFFFFF" w:val="clear"/>
        </w:rPr>
      </w:pPr>
      <w:r>
        <w:rPr>
          <w:rFonts w:cs="Calibri" w:ascii="Titillium" w:hAnsi="Titillium"/>
          <w:sz w:val="18"/>
          <w:szCs w:val="18"/>
          <w:shd w:fill="FFFFFF" w:val="clear"/>
        </w:rPr>
        <w:t>Certificazioni – Criterio di valutazione D</w:t>
      </w:r>
    </w:p>
    <w:p>
      <w:pPr>
        <w:pStyle w:val="ListParagraph"/>
        <w:numPr>
          <w:ilvl w:val="0"/>
          <w:numId w:val="19"/>
        </w:numPr>
        <w:spacing w:before="60" w:after="60"/>
        <w:ind w:hanging="360" w:left="709"/>
        <w:contextualSpacing w:val="false"/>
        <w:rPr>
          <w:shd w:fill="FFFFFF" w:val="clear"/>
        </w:rPr>
      </w:pPr>
      <w:r>
        <w:rPr>
          <w:rFonts w:cs="Calibri" w:ascii="Titillium" w:hAnsi="Titillium"/>
          <w:sz w:val="18"/>
          <w:szCs w:val="18"/>
          <w:shd w:fill="FFFFFF" w:val="clear"/>
        </w:rPr>
        <w:t>eventuale contratto di avvalimento premiale;</w:t>
      </w:r>
    </w:p>
    <w:p>
      <w:pPr>
        <w:pStyle w:val="ListParagraph"/>
        <w:numPr>
          <w:ilvl w:val="0"/>
          <w:numId w:val="19"/>
        </w:numPr>
        <w:spacing w:before="60" w:after="60"/>
        <w:ind w:hanging="360" w:left="709"/>
        <w:contextualSpacing w:val="false"/>
        <w:rPr>
          <w:rFonts w:ascii="Titillium" w:hAnsi="Titillium" w:cs="Calibri"/>
          <w:i/>
          <w:sz w:val="18"/>
          <w:szCs w:val="18"/>
          <w:shd w:fill="FFFFFF" w:val="clear"/>
        </w:rPr>
      </w:pPr>
      <w:r>
        <w:rPr>
          <w:rFonts w:cs="Calibri" w:ascii="Titillium" w:hAnsi="Titillium"/>
          <w:sz w:val="18"/>
          <w:szCs w:val="18"/>
          <w:shd w:fill="FFFFFF" w:val="clear"/>
        </w:rPr>
        <w:t>documentazione/certificazione sui</w:t>
      </w:r>
      <w:r>
        <w:rPr>
          <w:rFonts w:cs="Calibri" w:ascii="Titillium" w:hAnsi="Titillium"/>
          <w:i/>
          <w:sz w:val="18"/>
          <w:szCs w:val="18"/>
          <w:shd w:fill="FFFFFF" w:val="clear"/>
        </w:rPr>
        <w:t xml:space="preserve"> CAM;</w:t>
      </w:r>
    </w:p>
    <w:p>
      <w:pPr>
        <w:pStyle w:val="ListParagraph"/>
        <w:numPr>
          <w:ilvl w:val="0"/>
          <w:numId w:val="19"/>
        </w:numPr>
        <w:spacing w:before="60" w:after="60"/>
        <w:ind w:hanging="360" w:left="709"/>
        <w:contextualSpacing w:val="false"/>
        <w:rPr/>
      </w:pPr>
      <w:r>
        <w:rPr>
          <w:rFonts w:cs="Calibri" w:ascii="Titillium" w:hAnsi="Titillium"/>
          <w:sz w:val="18"/>
          <w:szCs w:val="18"/>
          <w:shd w:fill="FFFFFF" w:val="clear"/>
        </w:rPr>
        <w:t>copia della dichiarazione di conformità di ogni apparecchiatura, con l'indicazione delle direttive europee cui è conforme e delle norme tecniche alle quali è stato fatto riferimento per la costruzione;</w:t>
      </w:r>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pPr>
      <w:r>
        <w:rPr>
          <w:rFonts w:cs="Calibri" w:ascii="Titillium" w:hAnsi="Titillium"/>
          <w:sz w:val="18"/>
          <w:szCs w:val="18"/>
        </w:rPr>
        <w:t>L’offerta tecnica deve rispettare, pena l’esclusione dalla procedura di gara, le caratteristiche minime stabilite nei documenti di gara, nel rispetto del principio di equivalenza.</w:t>
      </w:r>
    </w:p>
    <w:p>
      <w:pPr>
        <w:pStyle w:val="Normal"/>
        <w:spacing w:before="60" w:after="60"/>
        <w:rPr>
          <w:shd w:fill="FFFFFF" w:val="clear"/>
        </w:rPr>
      </w:pPr>
      <w:r>
        <w:rPr>
          <w:rFonts w:cs="Arial" w:ascii="Titillium" w:hAnsi="Titillium"/>
          <w:sz w:val="18"/>
          <w:szCs w:val="18"/>
          <w:shd w:fill="FFFFFF" w:val="clear"/>
        </w:rPr>
        <w:t>L’operatore economico dichiara di assumersi l’obbligo, in caso di aggiudicazione del contratto, di assicurare all’occupazione giovanile una quota di 30% e a quella femminile una quota di 30 % delle assunzioni necessarie per l'esecuzione del contratto o per la realizzazione di attività ad esso connesse o strumentali.</w:t>
      </w:r>
      <w:r>
        <w:rPr>
          <w:rFonts w:eastAsia="Calibri" w:ascii="Titillium" w:hAnsi="Titillium"/>
          <w:color w:themeColor="text1" w:val="000000"/>
          <w:kern w:val="2"/>
          <w:sz w:val="18"/>
          <w:szCs w:val="18"/>
          <w:shd w:fill="FFFFFF" w:val="clear"/>
          <w:lang w:eastAsia="it-IT"/>
        </w:rPr>
        <w:t xml:space="preserve"> </w:t>
      </w:r>
    </w:p>
    <w:p>
      <w:pPr>
        <w:pStyle w:val="Normal"/>
        <w:spacing w:before="60" w:after="60"/>
        <w:rPr>
          <w:rFonts w:ascii="Titillium" w:hAnsi="Titillium" w:eastAsia="Calibri"/>
          <w:color w:themeColor="text1" w:val="000000"/>
          <w:kern w:val="2"/>
          <w:sz w:val="18"/>
          <w:szCs w:val="18"/>
          <w:lang w:eastAsia="it-IT"/>
        </w:rPr>
      </w:pPr>
      <w:r>
        <w:rPr>
          <w:rFonts w:eastAsia="Calibri" w:ascii="Titillium" w:hAnsi="Titillium"/>
          <w:color w:themeColor="text1" w:val="000000"/>
          <w:kern w:val="2"/>
          <w:sz w:val="18"/>
          <w:szCs w:val="18"/>
          <w:lang w:eastAsia="it-IT"/>
        </w:rPr>
        <w:t xml:space="preserve">L’operatore economico che intende avanzare richiesta di oscuramento di parte dell’offerta tecnica allega, oltre all’offerta in chiaro, una versione della stessa con oscuramento delle parti che ritiene riservate in quanto costituenti segreti tecnici o commerciali, anche risultanti da scoperte, innovazioni, progetti tutelati da titoli di proprietà industriale, nonché di contenuto altamente tecnologico, unitamente a una dichiarazione firmata contenente le ragioni della richiesta.  </w:t>
      </w:r>
    </w:p>
    <w:p>
      <w:pPr>
        <w:pStyle w:val="Normal"/>
        <w:widowControl w:val="false"/>
        <w:spacing w:before="60" w:after="60"/>
        <w:rPr>
          <w:rFonts w:ascii="Titillium" w:hAnsi="Titillium" w:cs="Arial"/>
          <w:sz w:val="18"/>
          <w:szCs w:val="18"/>
        </w:rPr>
      </w:pPr>
      <w:r>
        <w:rPr>
          <w:rFonts w:cs="Arial" w:ascii="Titillium" w:hAnsi="Titillium"/>
          <w:sz w:val="18"/>
          <w:szCs w:val="18"/>
        </w:rPr>
      </w:r>
    </w:p>
    <w:p>
      <w:pPr>
        <w:pStyle w:val="Heading2"/>
        <w:numPr>
          <w:ilvl w:val="0"/>
          <w:numId w:val="3"/>
        </w:numPr>
        <w:rPr/>
      </w:pPr>
      <w:bookmarkStart w:id="1787" w:name="_Toc207275755"/>
      <w:r>
        <w:rPr/>
        <w:t>OFFERTA ECONOMICA</w:t>
      </w:r>
      <w:bookmarkEnd w:id="1787"/>
    </w:p>
    <w:p>
      <w:pPr>
        <w:pStyle w:val="Normal"/>
        <w:spacing w:before="60" w:after="60"/>
        <w:ind w:hanging="11"/>
        <w:rPr/>
      </w:pPr>
      <w:bookmarkStart w:id="1788" w:name="_Toc483325793"/>
      <w:bookmarkStart w:id="1789" w:name="_Toc483401270"/>
      <w:bookmarkStart w:id="1790" w:name="_Toc482025749"/>
      <w:bookmarkStart w:id="1791" w:name="_Toc482097573"/>
      <w:bookmarkStart w:id="1792" w:name="_Toc482097662"/>
      <w:bookmarkStart w:id="1793" w:name="_Toc482097751"/>
      <w:bookmarkStart w:id="1794" w:name="_Toc482097943"/>
      <w:bookmarkStart w:id="1795" w:name="_Toc482099045"/>
      <w:bookmarkStart w:id="1796" w:name="_Toc482100762"/>
      <w:bookmarkStart w:id="1797" w:name="_Toc482100919"/>
      <w:bookmarkStart w:id="1798" w:name="_Toc482101345"/>
      <w:bookmarkStart w:id="1799" w:name="_Toc482101482"/>
      <w:bookmarkStart w:id="1800" w:name="_Toc482101597"/>
      <w:bookmarkStart w:id="1801" w:name="_Toc482101772"/>
      <w:bookmarkStart w:id="1802" w:name="_Toc482101865"/>
      <w:bookmarkStart w:id="1803" w:name="_Toc482101960"/>
      <w:bookmarkStart w:id="1804" w:name="_Toc482102055"/>
      <w:bookmarkStart w:id="1805" w:name="_Toc482102149"/>
      <w:bookmarkStart w:id="1806" w:name="_Toc482352013"/>
      <w:bookmarkStart w:id="1807" w:name="_Toc482352103"/>
      <w:bookmarkStart w:id="1808" w:name="_Toc482352193"/>
      <w:bookmarkStart w:id="1809" w:name="_Toc482352283"/>
      <w:bookmarkStart w:id="1810" w:name="_Toc482633124"/>
      <w:bookmarkStart w:id="1811" w:name="_Toc482641301"/>
      <w:bookmarkStart w:id="1812" w:name="_Toc482712747"/>
      <w:bookmarkStart w:id="1813" w:name="_Toc482959535"/>
      <w:bookmarkStart w:id="1814" w:name="_Toc482959645"/>
      <w:bookmarkStart w:id="1815" w:name="_Toc482959755"/>
      <w:bookmarkStart w:id="1816" w:name="_Toc482978874"/>
      <w:bookmarkStart w:id="1817" w:name="_Toc482978983"/>
      <w:bookmarkStart w:id="1818" w:name="_Toc482979091"/>
      <w:bookmarkStart w:id="1819" w:name="_Toc482979202"/>
      <w:bookmarkStart w:id="1820" w:name="_Toc482979311"/>
      <w:bookmarkStart w:id="1821" w:name="_Toc482979420"/>
      <w:bookmarkStart w:id="1822" w:name="_Toc482979528"/>
      <w:bookmarkStart w:id="1823" w:name="_Toc482979626"/>
      <w:bookmarkStart w:id="1824" w:name="_Toc482979724"/>
      <w:bookmarkStart w:id="1825" w:name="_Toc483233684"/>
      <w:bookmarkStart w:id="1826" w:name="_Toc483302401"/>
      <w:bookmarkStart w:id="1827" w:name="_Toc483316022"/>
      <w:bookmarkStart w:id="1828" w:name="_Toc483316227"/>
      <w:bookmarkStart w:id="1829" w:name="_Toc483316359"/>
      <w:bookmarkStart w:id="1830" w:name="_Toc483316490"/>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r>
        <w:rPr>
          <w:rFonts w:cs="Calibri" w:ascii="Titillium" w:hAnsi="Titillium"/>
          <w:sz w:val="18"/>
          <w:szCs w:val="18"/>
        </w:rPr>
        <w:t>L’operatore economico inserisce la documentazione economica, nella PAD secondo le seguenti modalità</w:t>
      </w:r>
      <w:r>
        <w:rPr>
          <w:rFonts w:cs="Calibri" w:ascii="Titillium" w:hAnsi="Titillium"/>
          <w:i/>
          <w:sz w:val="18"/>
          <w:szCs w:val="18"/>
        </w:rPr>
        <w:t>.</w:t>
      </w:r>
      <w:r>
        <w:rPr>
          <w:rFonts w:cs="Calibri" w:ascii="Titillium" w:hAnsi="Titillium"/>
          <w:sz w:val="18"/>
          <w:szCs w:val="18"/>
        </w:rPr>
        <w:t xml:space="preserve"> L’offerta economica firmata secondo le modalità di cui al precedente paragrafo 13, deve indicare, a pena di esclusione, i seguenti elementi:</w:t>
      </w:r>
    </w:p>
    <w:p>
      <w:pPr>
        <w:pStyle w:val="Normal"/>
        <w:numPr>
          <w:ilvl w:val="2"/>
          <w:numId w:val="2"/>
        </w:numPr>
        <w:spacing w:before="60" w:after="60"/>
        <w:ind w:hanging="284" w:left="284"/>
        <w:rPr/>
      </w:pPr>
      <w:r>
        <w:rPr>
          <w:rFonts w:cs="Arial" w:ascii="Titillium" w:hAnsi="Titillium"/>
          <w:iCs/>
          <w:sz w:val="18"/>
          <w:szCs w:val="18"/>
        </w:rPr>
        <w:t>Allegato E - Scheda offerta economica</w:t>
      </w:r>
      <w:r>
        <w:rPr>
          <w:rFonts w:cs="Arial" w:ascii="Titillium" w:hAnsi="Titillium"/>
          <w:i/>
          <w:sz w:val="18"/>
          <w:szCs w:val="18"/>
        </w:rPr>
        <w:t xml:space="preserve"> </w:t>
      </w:r>
      <w:r>
        <w:rPr>
          <w:rFonts w:cs="Calibri" w:ascii="Titillium" w:hAnsi="Titillium"/>
          <w:sz w:val="18"/>
          <w:szCs w:val="18"/>
        </w:rPr>
        <w:t>al netto di</w:t>
      </w:r>
      <w:r>
        <w:rPr>
          <w:rFonts w:cs="Calibri" w:ascii="Titillium" w:hAnsi="Titillium"/>
          <w:i/>
          <w:sz w:val="18"/>
          <w:szCs w:val="18"/>
        </w:rPr>
        <w:t xml:space="preserve"> </w:t>
      </w:r>
      <w:r>
        <w:rPr>
          <w:rFonts w:cs="Calibri" w:ascii="Titillium" w:hAnsi="Titillium"/>
          <w:sz w:val="18"/>
          <w:szCs w:val="18"/>
        </w:rPr>
        <w:t>Iva;</w:t>
      </w:r>
    </w:p>
    <w:p>
      <w:pPr>
        <w:pStyle w:val="Normal"/>
        <w:spacing w:before="60" w:after="60"/>
        <w:ind w:left="284"/>
        <w:rPr>
          <w:shd w:fill="FFFFFF" w:val="clear"/>
        </w:rPr>
      </w:pPr>
      <w:r>
        <w:rPr>
          <w:rFonts w:cs="Calibri" w:ascii="Titillium" w:hAnsi="Titillium"/>
          <w:sz w:val="18"/>
          <w:szCs w:val="18"/>
          <w:shd w:fill="FFFFFF" w:val="clear"/>
        </w:rPr>
        <w:t xml:space="preserve">Verranno prese in considerazione fino a </w:t>
      </w:r>
      <w:r>
        <w:rPr>
          <w:rFonts w:cs="Calibri" w:ascii="Titillium" w:hAnsi="Titillium"/>
          <w:i/>
          <w:sz w:val="18"/>
          <w:szCs w:val="18"/>
          <w:shd w:fill="FFFFFF" w:val="clear"/>
        </w:rPr>
        <w:t xml:space="preserve">2 </w:t>
      </w:r>
      <w:r>
        <w:rPr>
          <w:rFonts w:cs="Calibri" w:ascii="Titillium" w:hAnsi="Titillium"/>
          <w:iCs/>
          <w:sz w:val="18"/>
          <w:szCs w:val="18"/>
          <w:shd w:fill="FFFFFF" w:val="clear"/>
        </w:rPr>
        <w:t>cifre decimali</w:t>
      </w:r>
      <w:r>
        <w:rPr>
          <w:rFonts w:cs="Calibri" w:ascii="Titillium" w:hAnsi="Titillium"/>
          <w:sz w:val="18"/>
          <w:szCs w:val="18"/>
          <w:shd w:fill="FFFFFF" w:val="clear"/>
        </w:rPr>
        <w:t>.</w:t>
      </w:r>
    </w:p>
    <w:p>
      <w:pPr>
        <w:pStyle w:val="Normal"/>
        <w:numPr>
          <w:ilvl w:val="2"/>
          <w:numId w:val="2"/>
        </w:numPr>
        <w:spacing w:before="60" w:after="60"/>
        <w:ind w:hanging="284" w:left="284"/>
        <w:rPr>
          <w:shd w:fill="FFFFFF" w:val="clear"/>
        </w:rPr>
      </w:pPr>
      <w:r>
        <w:rPr>
          <w:rFonts w:cs="Calibri" w:ascii="Titillium" w:hAnsi="Titillium"/>
          <w:sz w:val="18"/>
          <w:szCs w:val="18"/>
          <w:shd w:fill="FFFFFF" w:val="clear"/>
        </w:rPr>
        <w:t xml:space="preserve">gli oneri aziendali relativi alla salute ed alla sicurezza sui luoghi di lavoro; </w:t>
      </w:r>
    </w:p>
    <w:p>
      <w:pPr>
        <w:pStyle w:val="Normal"/>
        <w:numPr>
          <w:ilvl w:val="2"/>
          <w:numId w:val="2"/>
        </w:numPr>
        <w:spacing w:before="60" w:after="60"/>
        <w:ind w:hanging="284" w:left="284"/>
        <w:rPr>
          <w:shd w:fill="FFFFFF" w:val="clear"/>
        </w:rPr>
      </w:pPr>
      <w:r>
        <w:rPr>
          <w:rFonts w:cs="Calibri" w:ascii="Titillium" w:hAnsi="Titillium"/>
          <w:sz w:val="18"/>
          <w:szCs w:val="18"/>
          <w:shd w:fill="FFFFFF" w:val="clear"/>
        </w:rPr>
        <w:t>i costi della manodopera. Nel caso di costi della manodopera inferiori a quelli stimati dalla stazione appaltante, l’operatore economico può anticipare nell’offerta economica le motivazioni del ribasso derivanti da una più efficiente organizzazione aziendale o da sgravi contributivi che non comportano penalizzazioni per la manodopera, allegando i relativi giustificativi. La mancata anticipazione di motivazioni e/o giustificativi non costituisce causa di esclusione;</w:t>
      </w:r>
    </w:p>
    <w:p>
      <w:pPr>
        <w:pStyle w:val="Normal"/>
        <w:numPr>
          <w:ilvl w:val="2"/>
          <w:numId w:val="2"/>
        </w:numPr>
        <w:spacing w:before="60" w:after="60"/>
        <w:ind w:hanging="284" w:left="284"/>
        <w:rPr>
          <w:rFonts w:ascii="Titillium" w:hAnsi="Titillium"/>
          <w:bCs/>
          <w:iCs/>
          <w:sz w:val="18"/>
          <w:szCs w:val="18"/>
        </w:rPr>
      </w:pPr>
      <w:r>
        <w:rPr>
          <w:rFonts w:cs="Calibri" w:ascii="Titillium" w:hAnsi="Titillium"/>
          <w:sz w:val="18"/>
          <w:szCs w:val="18"/>
        </w:rPr>
        <w:t>la dichiarazione di equivalenza delle tutele di cui all’art.11, comma 4, del Codice. La mancata anticipazione della dichiarazione di equivalenza delle tutele non costituisce causa di esclusione;</w:t>
      </w:r>
    </w:p>
    <w:p>
      <w:pPr>
        <w:pStyle w:val="Normal"/>
        <w:numPr>
          <w:ilvl w:val="2"/>
          <w:numId w:val="2"/>
        </w:numPr>
        <w:spacing w:before="60" w:after="60"/>
        <w:ind w:hanging="284" w:left="284"/>
        <w:rPr>
          <w:rFonts w:ascii="Titillium" w:hAnsi="Titillium"/>
          <w:bCs/>
          <w:iCs/>
          <w:sz w:val="18"/>
          <w:szCs w:val="18"/>
        </w:rPr>
      </w:pPr>
      <w:r>
        <w:rPr>
          <w:rFonts w:cs="Calibri" w:ascii="Titillium" w:hAnsi="Titillium"/>
          <w:bCs/>
          <w:iCs/>
          <w:sz w:val="18"/>
          <w:szCs w:val="18"/>
        </w:rPr>
        <w:t>per consentire una rapida conclusione della procedura di gara, l’OE deve presentare le giustificazioni relative all’offerta ai sensi dell’articolo 110 del Codice degli Appalti. Si procederà alla verifica delle giustificazioni solamente per quanto concerne l’OE aggiudicatario.</w:t>
      </w:r>
    </w:p>
    <w:p>
      <w:pPr>
        <w:pStyle w:val="Normal"/>
        <w:spacing w:before="60" w:after="60"/>
        <w:rPr>
          <w:rFonts w:ascii="Titillium" w:hAnsi="Titillium"/>
          <w:sz w:val="18"/>
          <w:szCs w:val="18"/>
        </w:rPr>
      </w:pPr>
      <w:r>
        <w:rPr>
          <w:rFonts w:ascii="Titillium" w:hAnsi="Titillium"/>
          <w:sz w:val="18"/>
          <w:szCs w:val="18"/>
        </w:rPr>
        <w:t>Sono inammissibili le offerte economiche che superano l’importo a base d’asta.</w:t>
      </w:r>
    </w:p>
    <w:p>
      <w:pPr>
        <w:pStyle w:val="Normal"/>
        <w:tabs>
          <w:tab w:val="clear" w:pos="708"/>
          <w:tab w:val="left" w:pos="928" w:leader="none"/>
          <w:tab w:val="left" w:pos="9639" w:leader="none"/>
        </w:tabs>
        <w:ind w:right="226"/>
        <w:rPr>
          <w:rFonts w:ascii="Titillium" w:hAnsi="Titillium"/>
          <w:i/>
          <w:sz w:val="18"/>
          <w:szCs w:val="18"/>
        </w:rPr>
      </w:pPr>
      <w:r>
        <w:rPr>
          <w:rFonts w:ascii="Titillium" w:hAnsi="Titillium"/>
          <w:i/>
          <w:sz w:val="18"/>
          <w:szCs w:val="18"/>
        </w:rPr>
      </w:r>
    </w:p>
    <w:p>
      <w:pPr>
        <w:pStyle w:val="Heading2"/>
        <w:numPr>
          <w:ilvl w:val="0"/>
          <w:numId w:val="3"/>
        </w:numPr>
        <w:rPr/>
      </w:pPr>
      <w:bookmarkStart w:id="1831" w:name="_Toc207275756"/>
      <w:bookmarkStart w:id="1832" w:name="_Toc380501879"/>
      <w:bookmarkStart w:id="1833" w:name="_Toc391035992"/>
      <w:bookmarkStart w:id="1834" w:name="_Toc391036065"/>
      <w:bookmarkStart w:id="1835" w:name="_Toc392577506"/>
      <w:bookmarkStart w:id="1836" w:name="_Toc393110573"/>
      <w:bookmarkStart w:id="1837" w:name="_Toc393112137"/>
      <w:bookmarkStart w:id="1838" w:name="_Toc393187854"/>
      <w:bookmarkStart w:id="1839" w:name="_Toc393272610"/>
      <w:bookmarkStart w:id="1840" w:name="_Toc393272668"/>
      <w:bookmarkStart w:id="1841" w:name="_Toc393283184"/>
      <w:bookmarkStart w:id="1842" w:name="_Toc393700843"/>
      <w:bookmarkStart w:id="1843" w:name="_Toc393706916"/>
      <w:bookmarkStart w:id="1844" w:name="_Toc397346831"/>
      <w:bookmarkStart w:id="1845" w:name="_Toc397422872"/>
      <w:bookmarkStart w:id="1846" w:name="_Toc403471279"/>
      <w:bookmarkStart w:id="1847" w:name="_Toc406058387"/>
      <w:bookmarkStart w:id="1848" w:name="_Toc406754188"/>
      <w:bookmarkStart w:id="1849" w:name="_Toc416423371"/>
      <w:bookmarkStart w:id="1850" w:name="_Ref498421982"/>
      <w:r>
        <w:rPr/>
        <w:t>CRITERIO DI AGGIUDICAZIONE</w:t>
      </w:r>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pPr>
        <w:pStyle w:val="Normal"/>
        <w:spacing w:before="60" w:after="60"/>
        <w:rPr>
          <w:rFonts w:ascii="Titillium" w:hAnsi="Titillium" w:cs="Calibri"/>
          <w:sz w:val="18"/>
          <w:szCs w:val="18"/>
          <w:lang w:eastAsia="it-IT"/>
        </w:rPr>
      </w:pPr>
      <w:r>
        <w:rPr>
          <w:rFonts w:cs="Calibri" w:ascii="Titillium" w:hAnsi="Titillium"/>
          <w:sz w:val="18"/>
          <w:szCs w:val="18"/>
          <w:lang w:eastAsia="it-IT"/>
        </w:rPr>
        <w:t>L’appalto è aggiudicato in base al criterio dell’offerta economicamente più vantaggiosa individuata sulla base del miglior rapporto qualità/prezzo.</w:t>
      </w:r>
    </w:p>
    <w:p>
      <w:pPr>
        <w:pStyle w:val="Normal"/>
        <w:spacing w:before="60" w:after="60"/>
        <w:rPr>
          <w:rFonts w:ascii="Titillium" w:hAnsi="Titillium" w:cs="Calibri"/>
          <w:i/>
          <w:sz w:val="18"/>
          <w:szCs w:val="18"/>
          <w:lang w:eastAsia="it-IT"/>
        </w:rPr>
      </w:pPr>
      <w:r>
        <w:rPr>
          <w:rFonts w:cs="Calibri" w:ascii="Titillium" w:hAnsi="Titillium"/>
          <w:sz w:val="18"/>
          <w:szCs w:val="18"/>
          <w:lang w:eastAsia="it-IT"/>
        </w:rPr>
        <w:t>La valutazione dell’offerta tecnica e dell’offerta economica è effettuata in base ai seguenti punteggi</w:t>
      </w:r>
      <w:r>
        <w:rPr>
          <w:rFonts w:cs="Calibri" w:ascii="Titillium" w:hAnsi="Titillium"/>
          <w:i/>
          <w:sz w:val="18"/>
          <w:szCs w:val="18"/>
          <w:lang w:eastAsia="it-IT"/>
        </w:rPr>
        <w:t>:</w:t>
      </w:r>
    </w:p>
    <w:tbl>
      <w:tblPr>
        <w:tblW w:w="5000" w:type="pct"/>
        <w:jc w:val="left"/>
        <w:tblInd w:w="113" w:type="dxa"/>
        <w:tblLayout w:type="fixed"/>
        <w:tblCellMar>
          <w:top w:w="0" w:type="dxa"/>
          <w:left w:w="108" w:type="dxa"/>
          <w:bottom w:w="0" w:type="dxa"/>
          <w:right w:w="108" w:type="dxa"/>
        </w:tblCellMar>
        <w:tblLook w:val="04a0" w:firstRow="1" w:noVBand="1" w:lastRow="0" w:firstColumn="1" w:lastColumn="0" w:noHBand="0"/>
      </w:tblPr>
      <w:tblGrid>
        <w:gridCol w:w="4611"/>
        <w:gridCol w:w="4613"/>
      </w:tblGrid>
      <w:tr>
        <w:trPr/>
        <w:tc>
          <w:tcPr>
            <w:tcW w:w="461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rPr>
                <w:rFonts w:ascii="Titillium" w:hAnsi="Titillium" w:cs="Calibri"/>
                <w:i/>
                <w:sz w:val="18"/>
                <w:szCs w:val="18"/>
                <w:shd w:fill="FFFFFF" w:val="clear"/>
                <w:lang w:eastAsia="it-IT"/>
              </w:rPr>
            </w:pPr>
            <w:r>
              <w:rPr>
                <w:rFonts w:cs="Calibri" w:ascii="Titillium" w:hAnsi="Titillium"/>
                <w:i/>
                <w:sz w:val="18"/>
                <w:szCs w:val="18"/>
                <w:shd w:fill="FFFFFF" w:val="clear"/>
                <w:lang w:eastAsia="it-IT"/>
              </w:rPr>
            </w:r>
          </w:p>
        </w:tc>
        <w:tc>
          <w:tcPr>
            <w:tcW w:w="4613"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jc w:val="center"/>
              <w:rPr>
                <w:shd w:fill="FFFFFF" w:val="clear"/>
              </w:rPr>
            </w:pPr>
            <w:r>
              <w:rPr>
                <w:rFonts w:cs="Calibri" w:ascii="Titillium" w:hAnsi="Titillium"/>
                <w:b/>
                <w:sz w:val="18"/>
                <w:szCs w:val="18"/>
                <w:shd w:fill="FFFFFF" w:val="clear"/>
                <w:lang w:eastAsia="it-IT"/>
              </w:rPr>
              <w:t>PUNTEGGIO MASSIMO</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spacing w:before="60" w:after="60"/>
              <w:jc w:val="center"/>
              <w:rPr>
                <w:shd w:fill="FFFFFF" w:val="clear"/>
              </w:rPr>
            </w:pPr>
            <w:r>
              <w:rPr>
                <w:rFonts w:ascii="Titillium" w:hAnsi="Titillium"/>
                <w:sz w:val="18"/>
                <w:szCs w:val="18"/>
                <w:shd w:fill="FFFFFF" w:val="clear"/>
                <w:lang w:eastAsia="it-IT"/>
              </w:rPr>
              <w:t>Offerta tecnica</w:t>
            </w:r>
          </w:p>
        </w:tc>
        <w:tc>
          <w:tcPr>
            <w:tcW w:w="4613" w:type="dxa"/>
            <w:tcBorders>
              <w:top w:val="single" w:sz="4" w:space="0" w:color="000000"/>
              <w:left w:val="single" w:sz="4" w:space="0" w:color="000000"/>
              <w:bottom w:val="single" w:sz="4" w:space="0" w:color="000000"/>
              <w:right w:val="single" w:sz="4" w:space="0" w:color="000000"/>
            </w:tcBorders>
          </w:tcPr>
          <w:p>
            <w:pPr>
              <w:pStyle w:val="Normal"/>
              <w:spacing w:before="60" w:after="60"/>
              <w:jc w:val="center"/>
              <w:rPr>
                <w:shd w:fill="FFFFFF" w:val="clear"/>
              </w:rPr>
            </w:pPr>
            <w:r>
              <w:rPr>
                <w:rFonts w:ascii="Titillium" w:hAnsi="Titillium"/>
                <w:i/>
                <w:sz w:val="18"/>
                <w:szCs w:val="18"/>
                <w:shd w:fill="FFFFFF" w:val="clear"/>
                <w:lang w:eastAsia="it-IT"/>
              </w:rPr>
              <w:t>60</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spacing w:before="60" w:after="60"/>
              <w:jc w:val="center"/>
              <w:rPr>
                <w:shd w:fill="FFFFFF" w:val="clear"/>
              </w:rPr>
            </w:pPr>
            <w:r>
              <w:rPr>
                <w:rFonts w:ascii="Titillium" w:hAnsi="Titillium"/>
                <w:sz w:val="18"/>
                <w:szCs w:val="18"/>
                <w:shd w:fill="FFFFFF" w:val="clear"/>
                <w:lang w:eastAsia="it-IT"/>
              </w:rPr>
              <w:t>Offerta economica</w:t>
            </w:r>
          </w:p>
        </w:tc>
        <w:tc>
          <w:tcPr>
            <w:tcW w:w="4613" w:type="dxa"/>
            <w:tcBorders>
              <w:top w:val="single" w:sz="4" w:space="0" w:color="000000"/>
              <w:left w:val="single" w:sz="4" w:space="0" w:color="000000"/>
              <w:bottom w:val="single" w:sz="4" w:space="0" w:color="000000"/>
              <w:right w:val="single" w:sz="4" w:space="0" w:color="000000"/>
            </w:tcBorders>
          </w:tcPr>
          <w:p>
            <w:pPr>
              <w:pStyle w:val="Normal"/>
              <w:spacing w:before="60" w:after="60"/>
              <w:jc w:val="center"/>
              <w:rPr>
                <w:shd w:fill="FFFFFF" w:val="clear"/>
              </w:rPr>
            </w:pPr>
            <w:r>
              <w:rPr>
                <w:rFonts w:ascii="Titillium" w:hAnsi="Titillium"/>
                <w:i/>
                <w:sz w:val="18"/>
                <w:szCs w:val="18"/>
                <w:shd w:fill="FFFFFF" w:val="clear"/>
                <w:lang w:eastAsia="it-IT"/>
              </w:rPr>
              <w:t>40</w:t>
            </w:r>
          </w:p>
        </w:tc>
      </w:tr>
      <w:tr>
        <w:trPr/>
        <w:tc>
          <w:tcPr>
            <w:tcW w:w="461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jc w:val="center"/>
              <w:rPr>
                <w:shd w:fill="FFFFFF" w:val="clear"/>
              </w:rPr>
            </w:pPr>
            <w:r>
              <w:rPr>
                <w:rFonts w:cs="Calibri" w:ascii="Titillium" w:hAnsi="Titillium"/>
                <w:sz w:val="18"/>
                <w:szCs w:val="18"/>
                <w:shd w:fill="FFFFFF" w:val="clear"/>
                <w:lang w:eastAsia="it-IT"/>
              </w:rPr>
              <w:t>TOTALE</w:t>
            </w:r>
          </w:p>
        </w:tc>
        <w:tc>
          <w:tcPr>
            <w:tcW w:w="4613"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jc w:val="center"/>
              <w:rPr>
                <w:shd w:fill="FFFFFF" w:val="clear"/>
              </w:rPr>
            </w:pPr>
            <w:r>
              <w:rPr>
                <w:rFonts w:cs="Calibri" w:ascii="Titillium" w:hAnsi="Titillium"/>
                <w:sz w:val="18"/>
                <w:szCs w:val="18"/>
                <w:shd w:fill="FFFFFF" w:val="clear"/>
                <w:lang w:eastAsia="it-IT"/>
              </w:rPr>
              <w:t>100</w:t>
            </w:r>
          </w:p>
        </w:tc>
      </w:tr>
      <w:tr>
        <w:trPr/>
        <w:tc>
          <w:tcPr>
            <w:tcW w:w="461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jc w:val="center"/>
              <w:rPr>
                <w:rFonts w:ascii="Titillium" w:hAnsi="Titillium" w:cs="Calibri"/>
                <w:sz w:val="18"/>
                <w:szCs w:val="18"/>
                <w:highlight w:val="cyan"/>
                <w:lang w:eastAsia="it-IT"/>
              </w:rPr>
            </w:pPr>
            <w:r>
              <w:rPr>
                <w:rFonts w:cs="Calibri" w:ascii="Titillium" w:hAnsi="Titillium"/>
                <w:sz w:val="18"/>
                <w:szCs w:val="18"/>
                <w:highlight w:val="cyan"/>
                <w:lang w:eastAsia="it-IT"/>
              </w:rPr>
            </w:r>
          </w:p>
        </w:tc>
        <w:tc>
          <w:tcPr>
            <w:tcW w:w="4613"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jc w:val="center"/>
              <w:rPr>
                <w:rFonts w:ascii="Titillium" w:hAnsi="Titillium" w:cs="Calibri"/>
                <w:sz w:val="18"/>
                <w:szCs w:val="18"/>
                <w:highlight w:val="cyan"/>
                <w:lang w:eastAsia="it-IT"/>
              </w:rPr>
            </w:pPr>
            <w:r>
              <w:rPr>
                <w:rFonts w:cs="Calibri" w:ascii="Titillium" w:hAnsi="Titillium"/>
                <w:sz w:val="18"/>
                <w:szCs w:val="18"/>
                <w:highlight w:val="cyan"/>
                <w:lang w:eastAsia="it-IT"/>
              </w:rPr>
            </w:r>
          </w:p>
        </w:tc>
      </w:tr>
    </w:tbl>
    <w:p>
      <w:pPr>
        <w:pStyle w:val="Normal"/>
        <w:pBdr>
          <w:top w:val="single" w:sz="4" w:space="1" w:color="000000"/>
          <w:left w:val="single" w:sz="4" w:space="4" w:color="000000"/>
          <w:bottom w:val="single" w:sz="4" w:space="1" w:color="000000"/>
          <w:right w:val="single" w:sz="4" w:space="4" w:color="000000"/>
        </w:pBdr>
        <w:spacing w:before="60" w:after="60"/>
        <w:rPr>
          <w:rFonts w:ascii="Titillium" w:hAnsi="Titillium" w:cs="Calibri"/>
          <w:i/>
          <w:sz w:val="18"/>
          <w:szCs w:val="18"/>
          <w:highlight w:val="cyan"/>
          <w:lang w:eastAsia="it-IT"/>
        </w:rPr>
      </w:pPr>
      <w:r>
        <w:rPr>
          <w:rFonts w:cs="Calibri" w:ascii="Titillium" w:hAnsi="Titillium"/>
          <w:i/>
          <w:sz w:val="18"/>
          <w:szCs w:val="18"/>
          <w:highlight w:val="cyan"/>
          <w:lang w:eastAsia="it-IT"/>
        </w:rPr>
      </w:r>
    </w:p>
    <w:p>
      <w:pPr>
        <w:pStyle w:val="Heading3"/>
        <w:numPr>
          <w:ilvl w:val="1"/>
          <w:numId w:val="3"/>
        </w:numPr>
        <w:ind w:hanging="426" w:left="426"/>
        <w:rPr>
          <w:shd w:fill="FFFFFF" w:val="clear"/>
        </w:rPr>
      </w:pPr>
      <w:bookmarkStart w:id="1851" w:name="_Toc207275757"/>
      <w:bookmarkStart w:id="1852" w:name="_Ref129786124"/>
      <w:bookmarkStart w:id="1853" w:name="_Ref497226908"/>
      <w:bookmarkStart w:id="1854" w:name="_Ref497226940"/>
      <w:r>
        <w:rPr>
          <w:rFonts w:ascii="Titillium" w:hAnsi="Titillium"/>
          <w:iCs/>
          <w:sz w:val="18"/>
          <w:szCs w:val="18"/>
          <w:shd w:fill="FFFFFF" w:val="clear"/>
        </w:rPr>
        <w:t>CRITERI DI VALUTAZIONE DELL’OFFERTA TECNICA</w:t>
      </w:r>
      <w:bookmarkEnd w:id="1851"/>
      <w:bookmarkEnd w:id="1852"/>
      <w:bookmarkEnd w:id="1853"/>
      <w:bookmarkEnd w:id="1854"/>
    </w:p>
    <w:p>
      <w:pPr>
        <w:pStyle w:val="Normal"/>
        <w:spacing w:before="60" w:after="60"/>
        <w:rPr>
          <w:shd w:fill="FFFFFF" w:val="clear"/>
        </w:rPr>
      </w:pPr>
      <w:r>
        <w:rPr>
          <w:rFonts w:cs="Calibri" w:ascii="Titillium" w:hAnsi="Titillium"/>
          <w:sz w:val="18"/>
          <w:szCs w:val="18"/>
          <w:shd w:fill="FFFFFF" w:val="clear"/>
          <w:lang w:eastAsia="it-IT"/>
        </w:rPr>
        <w:t>Il punteggio dell’offerta tecnica è attribuito sulla base dei criteri di valutazione elencati nella sottostante tabella</w:t>
      </w:r>
      <w:r>
        <w:rPr>
          <w:rFonts w:ascii="Titillium" w:hAnsi="Titillium"/>
          <w:sz w:val="18"/>
          <w:szCs w:val="18"/>
          <w:shd w:fill="FFFFFF" w:val="clear"/>
        </w:rPr>
        <w:t xml:space="preserve"> con</w:t>
      </w:r>
      <w:r>
        <w:rPr>
          <w:rFonts w:cs="Calibri" w:ascii="Titillium" w:hAnsi="Titillium"/>
          <w:sz w:val="18"/>
          <w:szCs w:val="18"/>
          <w:shd w:fill="FFFFFF" w:val="clear"/>
          <w:lang w:eastAsia="it-IT"/>
        </w:rPr>
        <w:t xml:space="preserve"> la relativa ripartizione dei punteggi.</w:t>
      </w:r>
    </w:p>
    <w:p>
      <w:pPr>
        <w:pStyle w:val="Normal"/>
        <w:spacing w:before="60" w:after="60"/>
        <w:rPr>
          <w:shd w:fill="FFFFFF" w:val="clear"/>
        </w:rPr>
      </w:pPr>
      <w:r>
        <w:rPr>
          <w:rFonts w:cs="Calibri" w:ascii="Titillium" w:hAnsi="Titillium"/>
          <w:sz w:val="18"/>
          <w:szCs w:val="18"/>
          <w:shd w:fill="FFFFFF" w:val="clear"/>
          <w:lang w:eastAsia="it-IT"/>
        </w:rPr>
        <w:t>Nella colonna identificata con la lettera D vengono indicati i “Punteggi discrezionali”, vale a dire i punteggi il cui coefficiente è attribuito in ragione dell’esercizio della discrezionalità spettante alla commissione giudicatrice.</w:t>
      </w:r>
    </w:p>
    <w:p>
      <w:pPr>
        <w:pStyle w:val="Normal"/>
        <w:spacing w:before="60" w:after="60"/>
        <w:rPr>
          <w:shd w:fill="FFFFFF" w:val="clear"/>
        </w:rPr>
      </w:pPr>
      <w:r>
        <w:rPr>
          <w:rFonts w:cs="Calibri" w:ascii="Titillium" w:hAnsi="Titillium"/>
          <w:sz w:val="18"/>
          <w:szCs w:val="18"/>
          <w:shd w:fill="FFFFFF" w:val="clear"/>
          <w:lang w:eastAsia="it-IT"/>
        </w:rPr>
        <w:t>Nella colonna identificata con la lettera Q vengono indicati i “Punteggi quantitativi”, vale a dire i punteggi il cui coefficiente è attribuito mediante applicazione di una formula matematica.</w:t>
      </w:r>
    </w:p>
    <w:p>
      <w:pPr>
        <w:pStyle w:val="Normal"/>
        <w:spacing w:before="60" w:after="60"/>
        <w:rPr>
          <w:shd w:fill="FFFFFF" w:val="clear"/>
        </w:rPr>
      </w:pPr>
      <w:r>
        <w:rPr>
          <w:rFonts w:cs="Calibri" w:ascii="Titillium" w:hAnsi="Titillium"/>
          <w:sz w:val="18"/>
          <w:szCs w:val="18"/>
          <w:shd w:fill="FFFFFF" w:val="clear"/>
          <w:lang w:eastAsia="it-IT"/>
        </w:rPr>
        <w:t xml:space="preserve">Nella colonna identificata dalla lettera T vengono indicati i “Punteggi tabellari”, vale a dire i punteggi fissi e predefiniti che saranno attribuiti o non attribuiti in ragione dell’offerta o mancata offerta di quanto specificamente richiesto. </w:t>
      </w:r>
    </w:p>
    <w:p>
      <w:pPr>
        <w:pStyle w:val="Normal"/>
        <w:spacing w:before="120" w:after="60"/>
        <w:rPr>
          <w:shd w:fill="FFFFFF" w:val="clear"/>
        </w:rPr>
      </w:pPr>
      <w:r>
        <w:rPr>
          <w:rFonts w:ascii="Titillium" w:hAnsi="Titillium"/>
          <w:b/>
          <w:i/>
          <w:sz w:val="18"/>
          <w:szCs w:val="18"/>
          <w:shd w:fill="FFFFFF" w:val="clear"/>
          <w:lang w:eastAsia="it-IT"/>
        </w:rPr>
        <w:t>Tabella dei criteri discrezionali (D), quantitativi (Q) e tabellari (T) di valutazione dell’offerta tecnica</w:t>
      </w:r>
    </w:p>
    <w:tbl>
      <w:tblPr>
        <w:tblW w:w="5000" w:type="pct"/>
        <w:jc w:val="left"/>
        <w:tblInd w:w="5" w:type="dxa"/>
        <w:tblLayout w:type="fixed"/>
        <w:tblCellMar>
          <w:top w:w="0" w:type="dxa"/>
          <w:left w:w="108" w:type="dxa"/>
          <w:bottom w:w="0" w:type="dxa"/>
          <w:right w:w="108" w:type="dxa"/>
        </w:tblCellMar>
        <w:tblLook w:val="04a0" w:firstRow="1" w:noVBand="1" w:lastRow="0" w:firstColumn="1" w:lastColumn="0" w:noHBand="0"/>
      </w:tblPr>
      <w:tblGrid>
        <w:gridCol w:w="435"/>
        <w:gridCol w:w="1597"/>
        <w:gridCol w:w="1066"/>
        <w:gridCol w:w="347"/>
        <w:gridCol w:w="988"/>
        <w:gridCol w:w="1652"/>
        <w:gridCol w:w="1046"/>
        <w:gridCol w:w="1057"/>
        <w:gridCol w:w="1036"/>
      </w:tblGrid>
      <w:tr>
        <w:trPr/>
        <w:tc>
          <w:tcPr>
            <w:tcW w:w="43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shd w:fill="FFFFFF" w:val="clear"/>
              </w:rPr>
            </w:pPr>
            <w:r>
              <w:rPr>
                <w:rFonts w:ascii="Titillium" w:hAnsi="Titillium"/>
                <w:bCs/>
                <w:smallCaps/>
                <w:color w:val="000000"/>
                <w:sz w:val="18"/>
                <w:szCs w:val="18"/>
                <w:shd w:fill="FFFFFF" w:val="clear"/>
              </w:rPr>
              <w:t>n°</w:t>
            </w:r>
          </w:p>
        </w:tc>
        <w:tc>
          <w:tcPr>
            <w:tcW w:w="159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shd w:fill="FFFFFF" w:val="clear"/>
              </w:rPr>
            </w:pPr>
            <w:r>
              <w:rPr>
                <w:rFonts w:cs="Calibri" w:ascii="Titillium" w:hAnsi="Titillium"/>
                <w:bCs/>
                <w:smallCaps/>
                <w:sz w:val="18"/>
                <w:szCs w:val="18"/>
                <w:shd w:fill="FFFFFF" w:val="clear"/>
                <w:lang w:eastAsia="it-IT"/>
              </w:rPr>
              <w:t>criteri di valutazione</w:t>
            </w:r>
          </w:p>
        </w:tc>
        <w:tc>
          <w:tcPr>
            <w:tcW w:w="106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shd w:fill="FFFFFF" w:val="clear"/>
              </w:rPr>
            </w:pPr>
            <w:r>
              <w:rPr>
                <w:rFonts w:ascii="Titillium" w:hAnsi="Titillium"/>
                <w:bCs/>
                <w:smallCaps/>
                <w:color w:val="000000"/>
                <w:sz w:val="18"/>
                <w:szCs w:val="18"/>
                <w:shd w:fill="FFFFFF" w:val="clear"/>
              </w:rPr>
              <w:t>punti max</w:t>
            </w:r>
          </w:p>
        </w:tc>
        <w:tc>
          <w:tcPr>
            <w:tcW w:w="347"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lineRule="auto" w:line="240" w:before="60" w:after="60"/>
              <w:jc w:val="center"/>
              <w:rPr>
                <w:rFonts w:ascii="Titillium" w:hAnsi="Titillium"/>
                <w:sz w:val="18"/>
                <w:szCs w:val="18"/>
                <w:shd w:fill="FFFFFF" w:val="clear"/>
                <w:lang w:eastAsia="it-IT"/>
              </w:rPr>
            </w:pPr>
            <w:r>
              <w:rPr>
                <w:rFonts w:ascii="Titillium" w:hAnsi="Titillium"/>
                <w:sz w:val="18"/>
                <w:szCs w:val="18"/>
                <w:shd w:fill="FFFFFF" w:val="clear"/>
                <w:lang w:eastAsia="it-IT"/>
              </w:rPr>
            </w:r>
          </w:p>
        </w:tc>
        <w:tc>
          <w:tcPr>
            <w:tcW w:w="98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rFonts w:ascii="Titillium" w:hAnsi="Titillium"/>
                <w:sz w:val="18"/>
                <w:szCs w:val="18"/>
                <w:shd w:fill="FFFFFF" w:val="clear"/>
                <w:lang w:eastAsia="it-IT"/>
              </w:rPr>
            </w:pPr>
            <w:r>
              <w:rPr>
                <w:rFonts w:ascii="Titillium" w:hAnsi="Titillium"/>
                <w:sz w:val="18"/>
                <w:szCs w:val="18"/>
                <w:shd w:fill="FFFFFF" w:val="clear"/>
                <w:lang w:eastAsia="it-IT"/>
              </w:rPr>
            </w:r>
          </w:p>
        </w:tc>
        <w:tc>
          <w:tcPr>
            <w:tcW w:w="165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shd w:fill="FFFFFF" w:val="clear"/>
              </w:rPr>
            </w:pPr>
            <w:r>
              <w:rPr>
                <w:rFonts w:ascii="Titillium" w:hAnsi="Titillium"/>
                <w:bCs/>
                <w:smallCaps/>
                <w:color w:val="000000"/>
                <w:sz w:val="18"/>
                <w:szCs w:val="18"/>
                <w:shd w:fill="FFFFFF" w:val="clear"/>
              </w:rPr>
              <w:t>sub-criteri di valutazione</w:t>
            </w:r>
          </w:p>
        </w:tc>
        <w:tc>
          <w:tcPr>
            <w:tcW w:w="104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shd w:fill="FFFFFF" w:val="clear"/>
              </w:rPr>
            </w:pPr>
            <w:r>
              <w:rPr>
                <w:rFonts w:ascii="Titillium" w:hAnsi="Titillium"/>
                <w:bCs/>
                <w:smallCaps/>
                <w:color w:val="000000"/>
                <w:sz w:val="18"/>
                <w:szCs w:val="18"/>
                <w:shd w:fill="FFFFFF" w:val="clear"/>
              </w:rPr>
              <w:t>punti D max</w:t>
            </w:r>
          </w:p>
        </w:tc>
        <w:tc>
          <w:tcPr>
            <w:tcW w:w="105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shd w:fill="FFFFFF" w:val="clear"/>
              </w:rPr>
            </w:pPr>
            <w:r>
              <w:rPr>
                <w:rFonts w:ascii="Titillium" w:hAnsi="Titillium"/>
                <w:bCs/>
                <w:smallCaps/>
                <w:color w:val="000000"/>
                <w:sz w:val="18"/>
                <w:szCs w:val="18"/>
                <w:shd w:fill="FFFFFF" w:val="clear"/>
              </w:rPr>
              <w:t>punti Q max</w:t>
            </w:r>
          </w:p>
        </w:tc>
        <w:tc>
          <w:tcPr>
            <w:tcW w:w="103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shd w:fill="FFFFFF" w:val="clear"/>
              </w:rPr>
            </w:pPr>
            <w:r>
              <w:rPr>
                <w:rFonts w:ascii="Titillium" w:hAnsi="Titillium"/>
                <w:bCs/>
                <w:smallCaps/>
                <w:color w:val="000000"/>
                <w:sz w:val="18"/>
                <w:szCs w:val="18"/>
                <w:shd w:fill="FFFFFF" w:val="clear"/>
              </w:rPr>
              <w:t>punti T max</w:t>
            </w:r>
          </w:p>
        </w:tc>
      </w:tr>
      <w:tr>
        <w:trPr/>
        <w:tc>
          <w:tcPr>
            <w:tcW w:w="435" w:type="dxa"/>
            <w:vMerge w:val="restart"/>
            <w:tcBorders>
              <w:top w:val="single" w:sz="4" w:space="0" w:color="000000"/>
              <w:left w:val="single" w:sz="4" w:space="0" w:color="000000"/>
              <w:bottom w:val="single" w:sz="4" w:space="0" w:color="000000"/>
            </w:tcBorders>
          </w:tcPr>
          <w:p>
            <w:pPr>
              <w:pStyle w:val="Normal"/>
              <w:widowControl w:val="false"/>
              <w:ind w:left="283" w:right="283"/>
              <w:jc w:val="center"/>
              <w:rPr>
                <w:rFonts w:ascii="Calibri" w:hAnsi="Calibri" w:cs="Calibri"/>
                <w:color w:val="000000"/>
                <w:sz w:val="16"/>
                <w:szCs w:val="16"/>
                <w:shd w:fill="FFFFFF" w:val="clear"/>
              </w:rPr>
            </w:pPr>
            <w:r>
              <w:rPr>
                <w:rFonts w:cs="Calibri" w:ascii="Calibri" w:hAnsi="Calibri"/>
                <w:color w:val="000000"/>
                <w:sz w:val="16"/>
                <w:szCs w:val="16"/>
                <w:shd w:fill="FFFFFF" w:val="clear"/>
              </w:rPr>
              <w:t>A</w:t>
            </w:r>
          </w:p>
        </w:tc>
        <w:tc>
          <w:tcPr>
            <w:tcW w:w="1597" w:type="dxa"/>
            <w:vMerge w:val="restart"/>
            <w:tcBorders>
              <w:top w:val="single" w:sz="4" w:space="0" w:color="000000"/>
              <w:left w:val="single" w:sz="4" w:space="0" w:color="000000"/>
              <w:bottom w:val="single" w:sz="4" w:space="0" w:color="000000"/>
            </w:tcBorders>
          </w:tcPr>
          <w:p>
            <w:pPr>
              <w:pStyle w:val="Normal"/>
              <w:widowControl w:val="false"/>
              <w:ind w:left="283" w:right="283"/>
              <w:jc w:val="center"/>
              <w:rPr>
                <w:rFonts w:ascii="Calibri" w:hAnsi="Calibri" w:cs="Calibri"/>
                <w:color w:val="000000"/>
                <w:sz w:val="16"/>
                <w:szCs w:val="16"/>
                <w:shd w:fill="FFFFFF" w:val="clear"/>
              </w:rPr>
            </w:pPr>
            <w:r>
              <w:rPr>
                <w:rFonts w:cs="Calibri" w:ascii="Calibri" w:hAnsi="Calibri"/>
                <w:color w:val="000000"/>
                <w:sz w:val="16"/>
                <w:szCs w:val="16"/>
                <w:shd w:fill="FFFFFF" w:val="clear"/>
              </w:rPr>
              <w:t>Migliorie</w:t>
            </w:r>
          </w:p>
        </w:tc>
        <w:tc>
          <w:tcPr>
            <w:tcW w:w="1066" w:type="dxa"/>
            <w:vMerge w:val="restart"/>
            <w:tcBorders>
              <w:top w:val="single" w:sz="4" w:space="0" w:color="000000"/>
              <w:left w:val="single" w:sz="4" w:space="0" w:color="000000"/>
              <w:bottom w:val="single" w:sz="4" w:space="0" w:color="000000"/>
            </w:tcBorders>
          </w:tcPr>
          <w:p>
            <w:pPr>
              <w:pStyle w:val="Normal"/>
              <w:widowControl w:val="false"/>
              <w:ind w:left="283" w:right="283"/>
              <w:jc w:val="center"/>
              <w:rPr>
                <w:rFonts w:ascii="Calibri" w:hAnsi="Calibri" w:cs="Calibri"/>
                <w:color w:val="000000"/>
                <w:sz w:val="16"/>
                <w:szCs w:val="16"/>
                <w:shd w:fill="FFFFFF" w:val="clear"/>
              </w:rPr>
            </w:pPr>
            <w:r>
              <w:rPr>
                <w:rFonts w:cs="Calibri" w:ascii="Calibri" w:hAnsi="Calibri"/>
                <w:color w:val="000000"/>
                <w:sz w:val="16"/>
                <w:szCs w:val="16"/>
                <w:shd w:fill="FFFFFF" w:val="clear"/>
              </w:rPr>
              <w:t>19</w:t>
            </w:r>
          </w:p>
        </w:tc>
        <w:tc>
          <w:tcPr>
            <w:tcW w:w="347" w:type="dxa"/>
            <w:tcBorders>
              <w:top w:val="single" w:sz="4" w:space="0" w:color="000000"/>
              <w:left w:val="single" w:sz="4" w:space="0" w:color="000000"/>
              <w:bottom w:val="single" w:sz="4" w:space="0" w:color="000000"/>
            </w:tcBorders>
          </w:tcPr>
          <w:p>
            <w:pPr>
              <w:pStyle w:val="Normal"/>
              <w:widowControl w:val="false"/>
              <w:ind w:left="283" w:right="283"/>
              <w:jc w:val="center"/>
              <w:rPr>
                <w:rFonts w:ascii="Calibri" w:hAnsi="Calibri" w:cs="Calibri"/>
                <w:color w:val="000000"/>
                <w:sz w:val="16"/>
                <w:szCs w:val="16"/>
                <w:shd w:fill="FFFFFF" w:val="clear"/>
              </w:rPr>
            </w:pPr>
            <w:r>
              <w:rPr>
                <w:rFonts w:cs="Calibri" w:ascii="Calibri" w:hAnsi="Calibri"/>
                <w:color w:val="000000"/>
                <w:sz w:val="16"/>
                <w:szCs w:val="16"/>
                <w:shd w:fill="FFFFFF" w:val="clear"/>
              </w:rPr>
            </w:r>
          </w:p>
        </w:tc>
        <w:tc>
          <w:tcPr>
            <w:tcW w:w="988" w:type="dxa"/>
            <w:tcBorders>
              <w:top w:val="single" w:sz="4" w:space="0" w:color="000000"/>
              <w:left w:val="single" w:sz="4" w:space="0" w:color="000000"/>
              <w:bottom w:val="single" w:sz="4" w:space="0" w:color="000000"/>
            </w:tcBorders>
          </w:tcPr>
          <w:p>
            <w:pPr>
              <w:pStyle w:val="Normal"/>
              <w:widowControl w:val="false"/>
              <w:ind w:right="283"/>
              <w:jc w:val="center"/>
              <w:rPr>
                <w:rFonts w:ascii="Calibri" w:hAnsi="Calibri" w:cs="Calibri"/>
                <w:color w:val="000000"/>
                <w:sz w:val="16"/>
                <w:szCs w:val="16"/>
                <w:shd w:fill="FFFFFF" w:val="clear"/>
              </w:rPr>
            </w:pPr>
            <w:r>
              <w:rPr>
                <w:rFonts w:cs="Calibri" w:ascii="Calibri" w:hAnsi="Calibri"/>
                <w:color w:val="000000"/>
                <w:sz w:val="16"/>
                <w:szCs w:val="16"/>
                <w:shd w:fill="FFFFFF" w:val="clear"/>
              </w:rPr>
              <w:t>1.1</w:t>
            </w:r>
          </w:p>
        </w:tc>
        <w:tc>
          <w:tcPr>
            <w:tcW w:w="1652" w:type="dxa"/>
            <w:tcBorders>
              <w:top w:val="single" w:sz="4" w:space="0" w:color="000000"/>
              <w:left w:val="single" w:sz="4" w:space="0" w:color="000000"/>
              <w:bottom w:val="single" w:sz="4" w:space="0" w:color="000000"/>
              <w:right w:val="single" w:sz="4" w:space="0" w:color="000000"/>
            </w:tcBorders>
          </w:tcPr>
          <w:p>
            <w:pPr>
              <w:pStyle w:val="Normal"/>
              <w:widowControl w:val="false"/>
              <w:ind w:left="283" w:right="283"/>
              <w:jc w:val="center"/>
              <w:rPr>
                <w:rFonts w:ascii="Calibri" w:hAnsi="Calibri" w:cs="Calibri"/>
                <w:color w:val="000000"/>
                <w:sz w:val="16"/>
                <w:szCs w:val="16"/>
                <w:shd w:fill="FFFFFF" w:val="clear"/>
              </w:rPr>
            </w:pPr>
            <w:r>
              <w:rPr>
                <w:rFonts w:cs="Calibri" w:ascii="Calibri" w:hAnsi="Calibri"/>
                <w:color w:val="000000"/>
                <w:sz w:val="16"/>
                <w:szCs w:val="16"/>
                <w:shd w:fill="FFFFFF" w:val="clear"/>
              </w:rPr>
              <w:t>erogatori forniti di tasti per selezionare i prodotti a “sfioramento NO-TOUCH”</w:t>
            </w:r>
          </w:p>
        </w:tc>
        <w:tc>
          <w:tcPr>
            <w:tcW w:w="10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sz w:val="18"/>
                <w:szCs w:val="18"/>
                <w:shd w:fill="FFFFFF" w:val="clear"/>
              </w:rPr>
              <w:t>14</w:t>
            </w:r>
          </w:p>
        </w:tc>
        <w:tc>
          <w:tcPr>
            <w:tcW w:w="10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sz w:val="18"/>
                <w:szCs w:val="18"/>
                <w:shd w:fill="FFFFFF" w:val="clear"/>
                <w:lang w:eastAsia="it-IT"/>
              </w:rPr>
              <w:t>/</w:t>
            </w:r>
          </w:p>
        </w:tc>
        <w:tc>
          <w:tcPr>
            <w:tcW w:w="103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sz w:val="18"/>
                <w:szCs w:val="18"/>
                <w:shd w:fill="FFFFFF" w:val="clear"/>
              </w:rPr>
              <w:t>/</w:t>
            </w:r>
          </w:p>
        </w:tc>
      </w:tr>
      <w:tr>
        <w:trPr/>
        <w:tc>
          <w:tcPr>
            <w:tcW w:w="435" w:type="dxa"/>
            <w:vMerge w:val="continue"/>
            <w:tcBorders>
              <w:left w:val="single" w:sz="4" w:space="0" w:color="000000"/>
              <w:bottom w:val="single" w:sz="4" w:space="0" w:color="000000"/>
            </w:tcBorders>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1597" w:type="dxa"/>
            <w:vMerge w:val="continue"/>
            <w:tcBorders>
              <w:left w:val="single" w:sz="4" w:space="0" w:color="000000"/>
              <w:bottom w:val="single" w:sz="4" w:space="0" w:color="000000"/>
            </w:tcBorders>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1066" w:type="dxa"/>
            <w:vMerge w:val="continue"/>
            <w:tcBorders>
              <w:left w:val="single" w:sz="4" w:space="0" w:color="000000"/>
              <w:bottom w:val="single" w:sz="4" w:space="0" w:color="000000"/>
            </w:tcBorders>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347" w:type="dxa"/>
            <w:tcBorders>
              <w:left w:val="single" w:sz="4" w:space="0" w:color="000000"/>
              <w:bottom w:val="single" w:sz="4" w:space="0" w:color="000000"/>
            </w:tcBorders>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988" w:type="dxa"/>
            <w:tcBorders>
              <w:left w:val="single" w:sz="4" w:space="0" w:color="000000"/>
              <w:bottom w:val="single" w:sz="4" w:space="0" w:color="000000"/>
            </w:tcBorders>
          </w:tcPr>
          <w:p>
            <w:pPr>
              <w:pStyle w:val="Normal"/>
              <w:widowControl w:val="false"/>
              <w:ind w:right="283"/>
              <w:jc w:val="center"/>
              <w:rPr>
                <w:rFonts w:ascii="Calibri" w:hAnsi="Calibri" w:cs="Calibri"/>
                <w:color w:val="000000"/>
                <w:sz w:val="16"/>
                <w:szCs w:val="16"/>
              </w:rPr>
            </w:pPr>
            <w:r>
              <w:rPr>
                <w:rFonts w:cs="Calibri" w:ascii="Calibri" w:hAnsi="Calibri"/>
                <w:color w:val="000000"/>
                <w:sz w:val="16"/>
                <w:szCs w:val="16"/>
              </w:rPr>
              <w:t>1.2</w:t>
            </w:r>
          </w:p>
        </w:tc>
        <w:tc>
          <w:tcPr>
            <w:tcW w:w="1652" w:type="dxa"/>
            <w:tcBorders>
              <w:left w:val="single" w:sz="4" w:space="0" w:color="000000"/>
              <w:bottom w:val="single" w:sz="4" w:space="0" w:color="000000"/>
              <w:right w:val="single" w:sz="4" w:space="0" w:color="000000"/>
            </w:tcBorders>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erogazione di ulteriori prodotti rispetto a quelli richiesti nel capitolato</w:t>
            </w:r>
          </w:p>
        </w:tc>
        <w:tc>
          <w:tcPr>
            <w:tcW w:w="10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sz w:val="18"/>
                <w:szCs w:val="18"/>
                <w:shd w:fill="FFFFFF" w:val="clear"/>
              </w:rPr>
              <w:t>5</w:t>
            </w:r>
          </w:p>
        </w:tc>
        <w:tc>
          <w:tcPr>
            <w:tcW w:w="10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sz w:val="18"/>
                <w:szCs w:val="18"/>
                <w:shd w:fill="FFFFFF" w:val="clear"/>
                <w:lang w:eastAsia="it-IT"/>
              </w:rPr>
              <w:t>/</w:t>
            </w:r>
          </w:p>
        </w:tc>
        <w:tc>
          <w:tcPr>
            <w:tcW w:w="103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sz w:val="18"/>
                <w:szCs w:val="18"/>
                <w:shd w:fill="FFFFFF" w:val="clear"/>
              </w:rPr>
              <w:t>/</w:t>
            </w:r>
          </w:p>
        </w:tc>
      </w:tr>
      <w:tr>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bCs/>
                <w:sz w:val="18"/>
                <w:szCs w:val="18"/>
                <w:shd w:fill="FFFFFF" w:val="clear"/>
              </w:rPr>
              <w:t>B</w:t>
            </w:r>
          </w:p>
        </w:tc>
        <w:tc>
          <w:tcPr>
            <w:tcW w:w="159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shd w:fill="FFFFFF" w:val="clear"/>
              </w:rPr>
            </w:pPr>
            <w:r>
              <w:rPr>
                <w:rFonts w:cs="Calibri" w:ascii="Calibri" w:hAnsi="Calibri"/>
                <w:color w:val="000000"/>
                <w:sz w:val="16"/>
                <w:szCs w:val="16"/>
                <w:shd w:fill="FFFFFF" w:val="clear"/>
              </w:rPr>
              <w:t>Sostenibilità ambientale</w:t>
            </w:r>
          </w:p>
        </w:tc>
        <w:tc>
          <w:tcPr>
            <w:tcW w:w="106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30</w:t>
            </w:r>
          </w:p>
        </w:tc>
        <w:tc>
          <w:tcPr>
            <w:tcW w:w="347" w:type="dxa"/>
            <w:tcBorders>
              <w:top w:val="single" w:sz="4" w:space="0" w:color="000000"/>
              <w:left w:val="single" w:sz="4" w:space="0" w:color="000000"/>
              <w:bottom w:val="single" w:sz="4" w:space="0" w:color="000000"/>
              <w:right w:val="single" w:sz="4" w:space="0" w:color="000000"/>
            </w:tcBorders>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2.1</w:t>
            </w:r>
          </w:p>
        </w:tc>
        <w:tc>
          <w:tcPr>
            <w:tcW w:w="16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fornitura di packaging mono materiale per palette, tazze e bicchieri  in materiale di carta riciclata almeno del 40%</w:t>
            </w:r>
          </w:p>
        </w:tc>
        <w:tc>
          <w:tcPr>
            <w:tcW w:w="10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sz w:val="18"/>
                <w:szCs w:val="18"/>
                <w:shd w:fill="FFFFFF" w:val="clear"/>
              </w:rPr>
              <w:t>10</w:t>
            </w:r>
          </w:p>
        </w:tc>
        <w:tc>
          <w:tcPr>
            <w:tcW w:w="10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sz w:val="18"/>
                <w:szCs w:val="18"/>
                <w:shd w:fill="FFFFFF" w:val="clear"/>
                <w:lang w:eastAsia="it-IT"/>
              </w:rPr>
              <w:t>/</w:t>
            </w:r>
          </w:p>
        </w:tc>
        <w:tc>
          <w:tcPr>
            <w:tcW w:w="103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sz w:val="18"/>
                <w:szCs w:val="18"/>
                <w:shd w:fill="FFFFFF" w:val="clear"/>
              </w:rPr>
              <w:t>/</w:t>
            </w:r>
          </w:p>
        </w:tc>
      </w:tr>
      <w:tr>
        <w:trPr/>
        <w:tc>
          <w:tcPr>
            <w:tcW w:w="4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shd w:fill="FFFFFF" w:val="clear"/>
              </w:rPr>
            </w:pPr>
            <w:r>
              <w:rPr>
                <w:shd w:fill="FFFFFF" w:val="clear"/>
              </w:rPr>
            </w:r>
          </w:p>
        </w:tc>
        <w:tc>
          <w:tcPr>
            <w:tcW w:w="159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shd w:fill="FFFFFF" w:val="clear"/>
              </w:rPr>
            </w:pPr>
            <w:r>
              <w:rPr>
                <w:rFonts w:cs="Calibri" w:ascii="Calibri" w:hAnsi="Calibri"/>
                <w:color w:val="000000"/>
                <w:sz w:val="16"/>
                <w:szCs w:val="16"/>
                <w:shd w:fill="FFFFFF" w:val="clear"/>
              </w:rPr>
            </w:r>
          </w:p>
        </w:tc>
        <w:tc>
          <w:tcPr>
            <w:tcW w:w="106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347" w:type="dxa"/>
            <w:tcBorders>
              <w:top w:val="single" w:sz="4" w:space="0" w:color="000000"/>
              <w:left w:val="single" w:sz="4" w:space="0" w:color="000000"/>
              <w:bottom w:val="single" w:sz="4" w:space="0" w:color="000000"/>
              <w:right w:val="single" w:sz="4" w:space="0" w:color="000000"/>
            </w:tcBorders>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2.2</w:t>
            </w:r>
          </w:p>
        </w:tc>
        <w:tc>
          <w:tcPr>
            <w:tcW w:w="16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 xml:space="preserve"> </w:t>
            </w:r>
            <w:r>
              <w:rPr>
                <w:rFonts w:cs="Calibri" w:ascii="Calibri" w:hAnsi="Calibri"/>
                <w:color w:val="000000"/>
                <w:sz w:val="16"/>
                <w:szCs w:val="16"/>
              </w:rPr>
              <w:t>riduzione dell’inquinamento acustico rispetto i criteri massimi da capitolato</w:t>
            </w:r>
          </w:p>
        </w:tc>
        <w:tc>
          <w:tcPr>
            <w:tcW w:w="10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shd w:fill="FFFFFF" w:val="clear"/>
              </w:rPr>
            </w:pPr>
            <w:r>
              <w:rPr>
                <w:rFonts w:ascii="Titillium" w:hAnsi="Titillium"/>
                <w:sz w:val="18"/>
                <w:szCs w:val="18"/>
                <w:shd w:fill="FFFFFF" w:val="clear"/>
              </w:rPr>
              <w:t>10</w:t>
            </w:r>
          </w:p>
        </w:tc>
        <w:tc>
          <w:tcPr>
            <w:tcW w:w="10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shd w:fill="FFFFFF" w:val="clear"/>
                <w:lang w:eastAsia="it-IT"/>
              </w:rPr>
            </w:pPr>
            <w:r>
              <w:rPr>
                <w:rFonts w:ascii="Titillium" w:hAnsi="Titillium"/>
                <w:sz w:val="18"/>
                <w:szCs w:val="18"/>
                <w:shd w:fill="FFFFFF" w:val="clear"/>
                <w:lang w:eastAsia="it-IT"/>
              </w:rPr>
              <w:t>/</w:t>
            </w:r>
          </w:p>
        </w:tc>
        <w:tc>
          <w:tcPr>
            <w:tcW w:w="103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shd w:fill="FFFFFF" w:val="clear"/>
              </w:rPr>
            </w:pPr>
            <w:r>
              <w:rPr>
                <w:rFonts w:ascii="Titillium" w:hAnsi="Titillium"/>
                <w:sz w:val="18"/>
                <w:szCs w:val="18"/>
                <w:shd w:fill="FFFFFF" w:val="clear"/>
              </w:rPr>
              <w:t>/</w:t>
            </w:r>
          </w:p>
        </w:tc>
      </w:tr>
      <w:tr>
        <w:trPr/>
        <w:tc>
          <w:tcPr>
            <w:tcW w:w="435" w:type="dxa"/>
            <w:vMerge w:val="continue"/>
            <w:tcBorders>
              <w:left w:val="single" w:sz="4" w:space="0" w:color="000000"/>
              <w:bottom w:val="single" w:sz="4" w:space="0" w:color="000000"/>
              <w:right w:val="single" w:sz="4" w:space="0" w:color="000000"/>
            </w:tcBorders>
            <w:vAlign w:val="center"/>
          </w:tcPr>
          <w:p>
            <w:pPr>
              <w:pStyle w:val="Normal"/>
              <w:rPr>
                <w:shd w:fill="FFFFFF" w:val="clear"/>
              </w:rPr>
            </w:pPr>
            <w:r>
              <w:rPr>
                <w:shd w:fill="FFFFFF" w:val="clear"/>
              </w:rPr>
            </w:r>
          </w:p>
        </w:tc>
        <w:tc>
          <w:tcPr>
            <w:tcW w:w="1597" w:type="dxa"/>
            <w:vMerge w:val="continue"/>
            <w:tcBorders>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shd w:fill="FFFFFF" w:val="clear"/>
              </w:rPr>
            </w:pPr>
            <w:r>
              <w:rPr>
                <w:rFonts w:cs="Calibri" w:ascii="Calibri" w:hAnsi="Calibri"/>
                <w:color w:val="000000"/>
                <w:sz w:val="16"/>
                <w:szCs w:val="16"/>
                <w:shd w:fill="FFFFFF" w:val="clear"/>
              </w:rPr>
            </w:r>
          </w:p>
        </w:tc>
        <w:tc>
          <w:tcPr>
            <w:tcW w:w="1066" w:type="dxa"/>
            <w:vMerge w:val="continue"/>
            <w:tcBorders>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347" w:type="dxa"/>
            <w:tcBorders>
              <w:left w:val="single" w:sz="4" w:space="0" w:color="000000"/>
              <w:bottom w:val="single" w:sz="4" w:space="0" w:color="000000"/>
              <w:right w:val="single" w:sz="4" w:space="0" w:color="000000"/>
            </w:tcBorders>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988" w:type="dxa"/>
            <w:tcBorders>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2.3</w:t>
            </w:r>
          </w:p>
        </w:tc>
        <w:tc>
          <w:tcPr>
            <w:tcW w:w="1652" w:type="dxa"/>
            <w:tcBorders>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riduzione del consumo energetico rispetto i criteri massimi da capitolato</w:t>
            </w:r>
          </w:p>
        </w:tc>
        <w:tc>
          <w:tcPr>
            <w:tcW w:w="1046" w:type="dxa"/>
            <w:tcBorders>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sz w:val="18"/>
                <w:szCs w:val="18"/>
                <w:shd w:fill="FFFFFF" w:val="clear"/>
              </w:rPr>
              <w:t>10</w:t>
            </w:r>
          </w:p>
        </w:tc>
        <w:tc>
          <w:tcPr>
            <w:tcW w:w="1057" w:type="dxa"/>
            <w:tcBorders>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sz w:val="18"/>
                <w:szCs w:val="18"/>
                <w:shd w:fill="FFFFFF" w:val="clear"/>
                <w:lang w:eastAsia="it-IT"/>
              </w:rPr>
              <w:t>/</w:t>
            </w:r>
          </w:p>
        </w:tc>
        <w:tc>
          <w:tcPr>
            <w:tcW w:w="1036" w:type="dxa"/>
            <w:tcBorders>
              <w:left w:val="single" w:sz="4" w:space="0" w:color="000000"/>
              <w:bottom w:val="single" w:sz="4" w:space="0" w:color="000000"/>
              <w:right w:val="single" w:sz="4" w:space="0" w:color="000000"/>
            </w:tcBorders>
            <w:vAlign w:val="center"/>
          </w:tcPr>
          <w:p>
            <w:pPr>
              <w:pStyle w:val="Normal"/>
              <w:spacing w:lineRule="auto" w:line="240" w:before="60" w:after="60"/>
              <w:jc w:val="center"/>
              <w:rPr>
                <w:shd w:fill="FFFFFF" w:val="clear"/>
              </w:rPr>
            </w:pPr>
            <w:r>
              <w:rPr>
                <w:rFonts w:ascii="Titillium" w:hAnsi="Titillium"/>
                <w:sz w:val="18"/>
                <w:szCs w:val="18"/>
                <w:shd w:fill="FFFFFF" w:val="clear"/>
              </w:rPr>
              <w:t>/</w:t>
            </w:r>
          </w:p>
        </w:tc>
      </w:tr>
      <w:tr>
        <w:trPr/>
        <w:tc>
          <w:tcPr>
            <w:tcW w:w="435" w:type="dxa"/>
            <w:tcBorders>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i/>
                <w:sz w:val="18"/>
                <w:szCs w:val="18"/>
                <w:shd w:fill="FFFFFF" w:val="clear"/>
              </w:rPr>
            </w:pPr>
            <w:r>
              <w:rPr>
                <w:rFonts w:ascii="Titillium" w:hAnsi="Titillium"/>
                <w:bCs/>
                <w:i/>
                <w:sz w:val="18"/>
                <w:szCs w:val="18"/>
                <w:shd w:fill="FFFFFF" w:val="clear"/>
              </w:rPr>
              <w:t>C</w:t>
            </w:r>
          </w:p>
        </w:tc>
        <w:tc>
          <w:tcPr>
            <w:tcW w:w="1597" w:type="dxa"/>
            <w:tcBorders>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shd w:fill="FFFFFF" w:val="clear"/>
              </w:rPr>
            </w:pPr>
            <w:r>
              <w:rPr>
                <w:rFonts w:cs="Calibri" w:ascii="Calibri" w:hAnsi="Calibri"/>
                <w:color w:val="000000"/>
                <w:sz w:val="16"/>
                <w:szCs w:val="16"/>
                <w:shd w:fill="FFFFFF" w:val="clear"/>
              </w:rPr>
              <w:t>Manutenzione</w:t>
            </w:r>
          </w:p>
        </w:tc>
        <w:tc>
          <w:tcPr>
            <w:tcW w:w="1066" w:type="dxa"/>
            <w:tcBorders>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10</w:t>
            </w:r>
          </w:p>
        </w:tc>
        <w:tc>
          <w:tcPr>
            <w:tcW w:w="347" w:type="dxa"/>
            <w:tcBorders>
              <w:left w:val="single" w:sz="4" w:space="0" w:color="000000"/>
              <w:bottom w:val="single" w:sz="4" w:space="0" w:color="000000"/>
              <w:right w:val="single" w:sz="4" w:space="0" w:color="000000"/>
            </w:tcBorders>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988" w:type="dxa"/>
            <w:tcBorders>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3.1</w:t>
            </w:r>
          </w:p>
        </w:tc>
        <w:tc>
          <w:tcPr>
            <w:tcW w:w="1652" w:type="dxa"/>
            <w:tcBorders>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riduzione delle tempistiche di intervento straordinario in caso di malfunzionamento</w:t>
            </w:r>
          </w:p>
        </w:tc>
        <w:tc>
          <w:tcPr>
            <w:tcW w:w="1046" w:type="dxa"/>
            <w:tcBorders>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shd w:fill="FFFFFF" w:val="clear"/>
              </w:rPr>
            </w:pPr>
            <w:r>
              <w:rPr>
                <w:rFonts w:ascii="Titillium" w:hAnsi="Titillium"/>
                <w:sz w:val="18"/>
                <w:szCs w:val="18"/>
                <w:shd w:fill="FFFFFF" w:val="clear"/>
              </w:rPr>
              <w:t>10</w:t>
            </w:r>
          </w:p>
        </w:tc>
        <w:tc>
          <w:tcPr>
            <w:tcW w:w="1057" w:type="dxa"/>
            <w:tcBorders>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shd w:fill="FFFFFF" w:val="clear"/>
                <w:lang w:eastAsia="it-IT"/>
              </w:rPr>
            </w:pPr>
            <w:r>
              <w:rPr>
                <w:rFonts w:ascii="Titillium" w:hAnsi="Titillium"/>
                <w:sz w:val="18"/>
                <w:szCs w:val="18"/>
                <w:shd w:fill="FFFFFF" w:val="clear"/>
                <w:lang w:eastAsia="it-IT"/>
              </w:rPr>
              <w:t>/</w:t>
            </w:r>
          </w:p>
        </w:tc>
        <w:tc>
          <w:tcPr>
            <w:tcW w:w="1036" w:type="dxa"/>
            <w:tcBorders>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shd w:fill="FFFFFF" w:val="clear"/>
              </w:rPr>
            </w:pPr>
            <w:r>
              <w:rPr>
                <w:rFonts w:ascii="Titillium" w:hAnsi="Titillium"/>
                <w:sz w:val="18"/>
                <w:szCs w:val="18"/>
                <w:shd w:fill="FFFFFF" w:val="clear"/>
              </w:rPr>
              <w:t>/</w:t>
            </w:r>
          </w:p>
        </w:tc>
      </w:tr>
      <w:tr>
        <w:trPr/>
        <w:tc>
          <w:tcPr>
            <w:tcW w:w="435" w:type="dxa"/>
            <w:tcBorders>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i/>
                <w:sz w:val="18"/>
                <w:szCs w:val="18"/>
                <w:shd w:fill="FFFFFF" w:val="clear"/>
              </w:rPr>
            </w:pPr>
            <w:r>
              <w:rPr>
                <w:rFonts w:ascii="Titillium" w:hAnsi="Titillium"/>
                <w:bCs/>
                <w:i/>
                <w:sz w:val="18"/>
                <w:szCs w:val="18"/>
                <w:shd w:fill="FFFFFF" w:val="clear"/>
              </w:rPr>
              <w:t>D</w:t>
            </w:r>
          </w:p>
        </w:tc>
        <w:tc>
          <w:tcPr>
            <w:tcW w:w="1597" w:type="dxa"/>
            <w:tcBorders>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shd w:fill="FFFFFF" w:val="clear"/>
              </w:rPr>
            </w:pPr>
            <w:r>
              <w:rPr>
                <w:rFonts w:cs="Calibri" w:ascii="Calibri" w:hAnsi="Calibri"/>
                <w:color w:val="000000"/>
                <w:sz w:val="16"/>
                <w:szCs w:val="16"/>
                <w:shd w:fill="FFFFFF" w:val="clear"/>
              </w:rPr>
              <w:t>Certificazioni</w:t>
            </w:r>
          </w:p>
        </w:tc>
        <w:tc>
          <w:tcPr>
            <w:tcW w:w="1066" w:type="dxa"/>
            <w:tcBorders>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1</w:t>
            </w:r>
          </w:p>
        </w:tc>
        <w:tc>
          <w:tcPr>
            <w:tcW w:w="347" w:type="dxa"/>
            <w:tcBorders>
              <w:left w:val="single" w:sz="4" w:space="0" w:color="000000"/>
              <w:bottom w:val="single" w:sz="4" w:space="0" w:color="000000"/>
              <w:right w:val="single" w:sz="4" w:space="0" w:color="000000"/>
            </w:tcBorders>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988" w:type="dxa"/>
            <w:tcBorders>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4.1</w:t>
            </w:r>
          </w:p>
        </w:tc>
        <w:tc>
          <w:tcPr>
            <w:tcW w:w="1652" w:type="dxa"/>
            <w:tcBorders>
              <w:left w:val="single" w:sz="4" w:space="0" w:color="000000"/>
              <w:bottom w:val="single" w:sz="4" w:space="0" w:color="000000"/>
              <w:right w:val="single" w:sz="4" w:space="0" w:color="000000"/>
            </w:tcBorders>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Certificazione parità di genere UNI/PdR 125:2022 o equivalente</w:t>
            </w:r>
          </w:p>
        </w:tc>
        <w:tc>
          <w:tcPr>
            <w:tcW w:w="1046" w:type="dxa"/>
            <w:tcBorders>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shd w:fill="FFFFFF" w:val="clear"/>
              </w:rPr>
            </w:pPr>
            <w:r>
              <w:rPr>
                <w:rFonts w:ascii="Titillium" w:hAnsi="Titillium"/>
                <w:sz w:val="18"/>
                <w:szCs w:val="18"/>
                <w:shd w:fill="FFFFFF" w:val="clear"/>
              </w:rPr>
              <w:t>/</w:t>
            </w:r>
          </w:p>
        </w:tc>
        <w:tc>
          <w:tcPr>
            <w:tcW w:w="1057" w:type="dxa"/>
            <w:tcBorders>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shd w:fill="FFFFFF" w:val="clear"/>
                <w:lang w:eastAsia="it-IT"/>
              </w:rPr>
            </w:pPr>
            <w:r>
              <w:rPr>
                <w:rFonts w:ascii="Titillium" w:hAnsi="Titillium"/>
                <w:sz w:val="18"/>
                <w:szCs w:val="18"/>
                <w:shd w:fill="FFFFFF" w:val="clear"/>
                <w:lang w:eastAsia="it-IT"/>
              </w:rPr>
              <w:t>/</w:t>
            </w:r>
          </w:p>
        </w:tc>
        <w:tc>
          <w:tcPr>
            <w:tcW w:w="1036" w:type="dxa"/>
            <w:tcBorders>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shd w:fill="FFFFFF" w:val="clear"/>
              </w:rPr>
            </w:pPr>
            <w:r>
              <w:rPr>
                <w:rFonts w:ascii="Titillium" w:hAnsi="Titillium"/>
                <w:sz w:val="18"/>
                <w:szCs w:val="18"/>
                <w:shd w:fill="FFFFFF" w:val="clear"/>
              </w:rPr>
              <w:t>1</w:t>
            </w:r>
          </w:p>
        </w:tc>
      </w:tr>
      <w:tr>
        <w:trPr/>
        <w:tc>
          <w:tcPr>
            <w:tcW w:w="43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rFonts w:ascii="Titillium" w:hAnsi="Titillium"/>
                <w:sz w:val="18"/>
                <w:szCs w:val="18"/>
                <w:highlight w:val="cyan"/>
                <w:lang w:eastAsia="it-IT"/>
              </w:rPr>
            </w:pPr>
            <w:r>
              <w:rPr>
                <w:rFonts w:ascii="Titillium" w:hAnsi="Titillium"/>
                <w:sz w:val="18"/>
                <w:szCs w:val="18"/>
                <w:highlight w:val="cyan"/>
                <w:lang w:eastAsia="it-IT"/>
              </w:rPr>
            </w:r>
          </w:p>
        </w:tc>
        <w:tc>
          <w:tcPr>
            <w:tcW w:w="159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Totale</w:t>
            </w:r>
          </w:p>
        </w:tc>
        <w:tc>
          <w:tcPr>
            <w:tcW w:w="106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t>60</w:t>
            </w:r>
          </w:p>
        </w:tc>
        <w:tc>
          <w:tcPr>
            <w:tcW w:w="347"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98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165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ind w:left="283" w:right="283"/>
              <w:jc w:val="center"/>
              <w:rPr>
                <w:rFonts w:ascii="Calibri" w:hAnsi="Calibri" w:cs="Calibri"/>
                <w:color w:val="000000"/>
                <w:sz w:val="16"/>
                <w:szCs w:val="16"/>
              </w:rPr>
            </w:pPr>
            <w:r>
              <w:rPr>
                <w:rFonts w:cs="Calibri" w:ascii="Calibri" w:hAnsi="Calibri"/>
                <w:color w:val="000000"/>
                <w:sz w:val="16"/>
                <w:szCs w:val="16"/>
              </w:rPr>
            </w:r>
          </w:p>
        </w:tc>
        <w:tc>
          <w:tcPr>
            <w:tcW w:w="104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rPr>
                <w:rFonts w:ascii="Titillium" w:hAnsi="Titillium"/>
                <w:sz w:val="18"/>
                <w:szCs w:val="18"/>
                <w:highlight w:val="cyan"/>
                <w:lang w:eastAsia="it-IT"/>
              </w:rPr>
            </w:pPr>
            <w:r>
              <w:rPr>
                <w:rFonts w:ascii="Titillium" w:hAnsi="Titillium"/>
                <w:sz w:val="18"/>
                <w:szCs w:val="18"/>
                <w:highlight w:val="cyan"/>
                <w:lang w:eastAsia="it-IT"/>
              </w:rPr>
            </w:r>
          </w:p>
        </w:tc>
        <w:tc>
          <w:tcPr>
            <w:tcW w:w="105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rPr>
                <w:rFonts w:ascii="Titillium" w:hAnsi="Titillium"/>
                <w:sz w:val="18"/>
                <w:szCs w:val="18"/>
                <w:highlight w:val="cyan"/>
                <w:lang w:eastAsia="it-IT"/>
              </w:rPr>
            </w:pPr>
            <w:r>
              <w:rPr>
                <w:rFonts w:ascii="Titillium" w:hAnsi="Titillium"/>
                <w:sz w:val="18"/>
                <w:szCs w:val="18"/>
                <w:highlight w:val="cyan"/>
                <w:lang w:eastAsia="it-IT"/>
              </w:rPr>
            </w:r>
          </w:p>
        </w:tc>
        <w:tc>
          <w:tcPr>
            <w:tcW w:w="1036"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rPr>
                <w:rFonts w:ascii="Titillium" w:hAnsi="Titillium"/>
                <w:sz w:val="18"/>
                <w:szCs w:val="18"/>
                <w:highlight w:val="cyan"/>
                <w:lang w:eastAsia="it-IT"/>
              </w:rPr>
            </w:pPr>
            <w:r>
              <w:rPr>
                <w:rFonts w:ascii="Titillium" w:hAnsi="Titillium"/>
                <w:sz w:val="18"/>
                <w:szCs w:val="18"/>
                <w:highlight w:val="cyan"/>
                <w:lang w:eastAsia="it-IT"/>
              </w:rPr>
            </w:r>
          </w:p>
        </w:tc>
      </w:tr>
    </w:tbl>
    <w:p>
      <w:pPr>
        <w:pStyle w:val="Normal"/>
        <w:spacing w:before="120" w:after="60"/>
        <w:rPr>
          <w:rFonts w:ascii="Titillium" w:hAnsi="Titillium"/>
          <w:sz w:val="18"/>
          <w:szCs w:val="18"/>
          <w:highlight w:val="cyan"/>
          <w:lang w:eastAsia="it-IT"/>
        </w:rPr>
      </w:pPr>
      <w:r>
        <w:rPr>
          <w:rFonts w:ascii="Titillium" w:hAnsi="Titillium"/>
          <w:sz w:val="18"/>
          <w:szCs w:val="18"/>
          <w:highlight w:val="cyan"/>
          <w:lang w:eastAsia="it-IT"/>
        </w:rPr>
      </w:r>
    </w:p>
    <w:p>
      <w:pPr>
        <w:pStyle w:val="Normal"/>
        <w:spacing w:before="120" w:after="60"/>
        <w:rPr>
          <w:rFonts w:ascii="Titillium" w:hAnsi="Titillium"/>
          <w:i/>
          <w:sz w:val="18"/>
          <w:szCs w:val="18"/>
        </w:rPr>
      </w:pPr>
      <w:r>
        <w:rPr>
          <w:rFonts w:cs="Calibri" w:ascii="Titillium" w:hAnsi="Titillium"/>
          <w:sz w:val="18"/>
          <w:szCs w:val="18"/>
          <w:lang w:eastAsia="it-IT"/>
        </w:rPr>
        <w:t xml:space="preserve">Il concorrente è escluso dalla gara nel caso in cui consegua un punteggio inferiore alla </w:t>
      </w:r>
      <w:r>
        <w:rPr>
          <w:rFonts w:ascii="Titillium" w:hAnsi="Titillium"/>
          <w:sz w:val="18"/>
          <w:szCs w:val="18"/>
        </w:rPr>
        <w:t>soglia minima di sbarramento pari a 33/60.</w:t>
      </w:r>
      <w:r>
        <w:rPr>
          <w:rFonts w:ascii="Titillium" w:hAnsi="Titillium"/>
          <w:i/>
          <w:sz w:val="18"/>
          <w:szCs w:val="18"/>
        </w:rPr>
        <w:t xml:space="preserve"> </w:t>
      </w:r>
    </w:p>
    <w:p>
      <w:pPr>
        <w:pStyle w:val="Normal"/>
        <w:spacing w:before="120" w:after="60"/>
        <w:rPr>
          <w:shd w:fill="FFFFFF" w:val="clear"/>
        </w:rPr>
      </w:pPr>
      <w:r>
        <w:rPr>
          <w:shd w:fill="FFFFFF" w:val="clear"/>
        </w:rPr>
      </w:r>
    </w:p>
    <w:p>
      <w:pPr>
        <w:pStyle w:val="Heading3"/>
        <w:numPr>
          <w:ilvl w:val="1"/>
          <w:numId w:val="3"/>
        </w:numPr>
        <w:ind w:hanging="426" w:left="426"/>
        <w:rPr>
          <w:shd w:fill="FFFFFF" w:val="clear"/>
        </w:rPr>
      </w:pPr>
      <w:bookmarkStart w:id="1855" w:name="_Toc207275758"/>
      <w:r>
        <w:rPr>
          <w:rFonts w:ascii="Titillium" w:hAnsi="Titillium"/>
          <w:iCs/>
          <w:sz w:val="18"/>
          <w:szCs w:val="18"/>
          <w:shd w:fill="FFFFFF" w:val="clear"/>
        </w:rPr>
        <w:t>METODO DI ATTRIBUZIONE DEL COEFFICIENTE PER IL CALCOLO DEL PUNTEGGIO DELL’OFFERTA TECNICA</w:t>
      </w:r>
      <w:bookmarkEnd w:id="1855"/>
    </w:p>
    <w:p>
      <w:pPr>
        <w:pStyle w:val="Normal"/>
        <w:spacing w:before="60" w:after="60"/>
        <w:rPr>
          <w:shd w:fill="FFFFFF" w:val="clear"/>
        </w:rPr>
      </w:pPr>
      <w:r>
        <w:rPr>
          <w:rFonts w:ascii="Titillium" w:hAnsi="Titillium"/>
          <w:sz w:val="18"/>
          <w:szCs w:val="18"/>
          <w:shd w:fill="FFFFFF" w:val="clear"/>
        </w:rPr>
        <w:t>A ciascuno degli elementi qualitativi cui è assegnato un punteggio discrezionale nella colonna “D” della tabella, è attribuito un coefficiente in base alla seguente tabella:</w:t>
      </w:r>
    </w:p>
    <w:p>
      <w:pPr>
        <w:pStyle w:val="Normal"/>
        <w:spacing w:lineRule="exact" w:line="240"/>
        <w:rPr>
          <w:rFonts w:ascii="Arial" w:hAnsi="Arial" w:cs="Arial" w:asciiTheme="minorHAnsi" w:cstheme="minorHAnsi" w:hAnsiTheme="minorHAnsi"/>
          <w:sz w:val="22"/>
          <w:highlight w:val="yellow"/>
        </w:rPr>
      </w:pPr>
      <w:r>
        <w:rPr>
          <w:rFonts w:cs="Arial" w:cstheme="minorHAnsi" w:ascii="Arial" w:hAnsi="Arial"/>
          <w:sz w:val="22"/>
          <w:highlight w:val="yellow"/>
        </w:rPr>
      </w:r>
    </w:p>
    <w:tbl>
      <w:tblPr>
        <w:tblW w:w="4899" w:type="dxa"/>
        <w:jc w:val="left"/>
        <w:tblInd w:w="103" w:type="dxa"/>
        <w:tblLayout w:type="fixed"/>
        <w:tblCellMar>
          <w:top w:w="0" w:type="dxa"/>
          <w:left w:w="108" w:type="dxa"/>
          <w:bottom w:w="0" w:type="dxa"/>
          <w:right w:w="108" w:type="dxa"/>
        </w:tblCellMar>
        <w:tblLook w:val="0000" w:firstRow="0" w:noVBand="0" w:lastRow="0" w:firstColumn="0" w:lastColumn="0" w:noHBand="0"/>
      </w:tblPr>
      <w:tblGrid>
        <w:gridCol w:w="2762"/>
        <w:gridCol w:w="2137"/>
      </w:tblGrid>
      <w:tr>
        <w:trPr/>
        <w:tc>
          <w:tcPr>
            <w:tcW w:w="2762" w:type="dxa"/>
            <w:tcBorders>
              <w:top w:val="single" w:sz="4" w:space="0" w:color="000000"/>
              <w:left w:val="single" w:sz="4" w:space="0" w:color="000000"/>
              <w:bottom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b/>
                <w:sz w:val="22"/>
              </w:rPr>
            </w:pPr>
            <w:r>
              <w:rPr>
                <w:rFonts w:cs="Arial" w:ascii="Arial" w:hAnsi="Arial" w:asciiTheme="minorHAnsi" w:cstheme="minorHAnsi" w:hAnsiTheme="minorHAnsi"/>
                <w:b/>
                <w:sz w:val="22"/>
              </w:rPr>
              <w:t>Giudizio</w:t>
            </w:r>
          </w:p>
        </w:tc>
        <w:tc>
          <w:tcPr>
            <w:tcW w:w="21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b/>
                <w:sz w:val="22"/>
              </w:rPr>
              <w:t>Coefficiente</w:t>
            </w:r>
          </w:p>
        </w:tc>
      </w:tr>
      <w:tr>
        <w:trPr/>
        <w:tc>
          <w:tcPr>
            <w:tcW w:w="2762" w:type="dxa"/>
            <w:tcBorders>
              <w:top w:val="single" w:sz="4" w:space="0" w:color="000000"/>
              <w:left w:val="single" w:sz="4" w:space="0" w:color="000000"/>
              <w:bottom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sz w:val="22"/>
              </w:rPr>
              <w:t>Inadeguato</w:t>
            </w:r>
          </w:p>
        </w:tc>
        <w:tc>
          <w:tcPr>
            <w:tcW w:w="21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sz w:val="22"/>
              </w:rPr>
              <w:t>0,00</w:t>
            </w:r>
          </w:p>
        </w:tc>
      </w:tr>
      <w:tr>
        <w:trPr/>
        <w:tc>
          <w:tcPr>
            <w:tcW w:w="2762" w:type="dxa"/>
            <w:tcBorders>
              <w:top w:val="single" w:sz="4" w:space="0" w:color="000000"/>
              <w:left w:val="single" w:sz="4" w:space="0" w:color="000000"/>
              <w:bottom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sz w:val="22"/>
              </w:rPr>
              <w:t>Parzialmente Inadeguato</w:t>
            </w:r>
          </w:p>
        </w:tc>
        <w:tc>
          <w:tcPr>
            <w:tcW w:w="21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sz w:val="22"/>
              </w:rPr>
              <w:t>0,30</w:t>
            </w:r>
          </w:p>
        </w:tc>
      </w:tr>
      <w:tr>
        <w:trPr/>
        <w:tc>
          <w:tcPr>
            <w:tcW w:w="2762" w:type="dxa"/>
            <w:tcBorders>
              <w:top w:val="single" w:sz="4" w:space="0" w:color="000000"/>
              <w:left w:val="single" w:sz="4" w:space="0" w:color="000000"/>
              <w:bottom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sz w:val="22"/>
              </w:rPr>
              <w:t>Adeguato</w:t>
            </w:r>
          </w:p>
        </w:tc>
        <w:tc>
          <w:tcPr>
            <w:tcW w:w="21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sz w:val="22"/>
              </w:rPr>
              <w:t>0,55</w:t>
            </w:r>
          </w:p>
        </w:tc>
      </w:tr>
      <w:tr>
        <w:trPr/>
        <w:tc>
          <w:tcPr>
            <w:tcW w:w="2762" w:type="dxa"/>
            <w:tcBorders>
              <w:top w:val="single" w:sz="4" w:space="0" w:color="000000"/>
              <w:left w:val="single" w:sz="4" w:space="0" w:color="000000"/>
              <w:bottom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sz w:val="22"/>
              </w:rPr>
              <w:t>Discreto</w:t>
            </w:r>
          </w:p>
        </w:tc>
        <w:tc>
          <w:tcPr>
            <w:tcW w:w="21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sz w:val="22"/>
              </w:rPr>
              <w:t>0,70</w:t>
            </w:r>
          </w:p>
        </w:tc>
      </w:tr>
      <w:tr>
        <w:trPr/>
        <w:tc>
          <w:tcPr>
            <w:tcW w:w="2762" w:type="dxa"/>
            <w:tcBorders>
              <w:top w:val="single" w:sz="4" w:space="0" w:color="000000"/>
              <w:left w:val="single" w:sz="4" w:space="0" w:color="000000"/>
              <w:bottom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sz w:val="22"/>
              </w:rPr>
              <w:t>Buono</w:t>
            </w:r>
          </w:p>
        </w:tc>
        <w:tc>
          <w:tcPr>
            <w:tcW w:w="21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sz w:val="22"/>
              </w:rPr>
              <w:t>0,85</w:t>
            </w:r>
          </w:p>
        </w:tc>
      </w:tr>
      <w:tr>
        <w:trPr/>
        <w:tc>
          <w:tcPr>
            <w:tcW w:w="2762" w:type="dxa"/>
            <w:tcBorders>
              <w:top w:val="single" w:sz="4" w:space="0" w:color="000000"/>
              <w:left w:val="single" w:sz="4" w:space="0" w:color="000000"/>
              <w:bottom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sz w:val="22"/>
              </w:rPr>
              <w:t>Ottimo</w:t>
            </w:r>
          </w:p>
        </w:tc>
        <w:tc>
          <w:tcPr>
            <w:tcW w:w="21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20" w:leader="none"/>
              </w:tabs>
              <w:rPr>
                <w:rFonts w:ascii="Arial" w:hAnsi="Arial" w:cs="Arial" w:asciiTheme="minorHAnsi" w:cstheme="minorHAnsi" w:hAnsiTheme="minorHAnsi"/>
                <w:sz w:val="22"/>
              </w:rPr>
            </w:pPr>
            <w:r>
              <w:rPr>
                <w:rFonts w:cs="Arial" w:ascii="Arial" w:hAnsi="Arial" w:asciiTheme="minorHAnsi" w:cstheme="minorHAnsi" w:hAnsiTheme="minorHAnsi"/>
                <w:sz w:val="22"/>
              </w:rPr>
              <w:t>1</w:t>
            </w:r>
          </w:p>
        </w:tc>
      </w:tr>
    </w:tbl>
    <w:p>
      <w:pPr>
        <w:pStyle w:val="Normal"/>
        <w:spacing w:before="60" w:after="60"/>
        <w:rPr>
          <w:rFonts w:ascii="Calibri" w:hAnsi="Calibri" w:cs="Calibri"/>
          <w:sz w:val="22"/>
        </w:rPr>
      </w:pPr>
      <w:r>
        <w:rPr>
          <w:rFonts w:cs="Calibri" w:ascii="Calibri" w:hAnsi="Calibri"/>
          <w:sz w:val="22"/>
        </w:rPr>
      </w:r>
    </w:p>
    <w:p>
      <w:pPr>
        <w:pStyle w:val="Normal"/>
        <w:spacing w:before="60" w:after="60"/>
        <w:rPr>
          <w:shd w:fill="FFFFFF" w:val="clear"/>
        </w:rPr>
      </w:pPr>
      <w:r>
        <w:rPr>
          <w:rFonts w:ascii="Titillium" w:hAnsi="Titillium"/>
          <w:sz w:val="18"/>
          <w:szCs w:val="18"/>
          <w:shd w:fill="FFFFFF" w:val="clear"/>
        </w:rPr>
        <w:t xml:space="preserve">Quanto agli elementi cui è assegnato un punteggio tabellare identificato dalla colonna “T” della tabella, il relativo punteggio è assegnato, automaticamente e in valore assoluto, sulla base della presenza o assenza nell’offerta, dell’elemento richiesto. </w:t>
      </w:r>
    </w:p>
    <w:p>
      <w:pPr>
        <w:pStyle w:val="Normal"/>
        <w:spacing w:before="60" w:after="60"/>
        <w:rPr>
          <w:rFonts w:ascii="Titillium" w:hAnsi="Titillium"/>
          <w:sz w:val="18"/>
          <w:szCs w:val="18"/>
          <w:shd w:fill="FFFFFF" w:val="clear"/>
        </w:rPr>
      </w:pPr>
      <w:r>
        <w:rPr>
          <w:rFonts w:ascii="Titillium" w:hAnsi="Titillium"/>
          <w:sz w:val="18"/>
          <w:szCs w:val="18"/>
          <w:shd w:fill="FFFFFF" w:val="clear"/>
        </w:rPr>
      </w:r>
    </w:p>
    <w:p>
      <w:pPr>
        <w:pStyle w:val="Heading3"/>
        <w:numPr>
          <w:ilvl w:val="1"/>
          <w:numId w:val="3"/>
        </w:numPr>
        <w:ind w:hanging="426" w:left="426"/>
        <w:rPr>
          <w:shd w:fill="FFFFFF" w:val="clear"/>
        </w:rPr>
      </w:pPr>
      <w:bookmarkStart w:id="1856" w:name="_Toc207275759"/>
      <w:bookmarkStart w:id="1857" w:name="_Ref498421792"/>
      <w:bookmarkStart w:id="1858" w:name="_Toc205391336"/>
      <w:bookmarkEnd w:id="1858"/>
      <w:r>
        <w:rPr>
          <w:rFonts w:ascii="Titillium" w:hAnsi="Titillium"/>
          <w:iCs/>
          <w:sz w:val="18"/>
          <w:szCs w:val="18"/>
          <w:shd w:fill="FFFFFF" w:val="clear"/>
        </w:rPr>
        <w:t>METODO DI ATTRIBUZIONE DEL COEFFICIENTE PER IL CALCOLO DEL PUNTEGGIO DELL’OFFERTA ECONOMICA</w:t>
      </w:r>
      <w:bookmarkEnd w:id="1856"/>
      <w:bookmarkEnd w:id="1857"/>
      <w:r>
        <w:rPr>
          <w:rFonts w:ascii="Titillium" w:hAnsi="Titillium"/>
          <w:iCs/>
          <w:sz w:val="18"/>
          <w:szCs w:val="18"/>
          <w:shd w:fill="FFFFFF" w:val="clear"/>
        </w:rPr>
        <w:t xml:space="preserve"> </w:t>
      </w:r>
    </w:p>
    <w:p>
      <w:pPr>
        <w:pStyle w:val="Default"/>
        <w:jc w:val="left"/>
        <w:rPr>
          <w:shd w:fill="FFFFFF" w:val="clear"/>
        </w:rPr>
      </w:pPr>
      <w:r>
        <w:rPr>
          <w:sz w:val="18"/>
          <w:shd w:fill="FFFFFF" w:val="clear"/>
        </w:rPr>
        <w:t>Quanto all’offerta economica, è attribuito in base alla formula del valore assoluto</w:t>
      </w:r>
      <w:r>
        <w:rPr>
          <w:i/>
          <w:sz w:val="18"/>
          <w:shd w:fill="FFFFFF" w:val="clear"/>
        </w:rPr>
        <w:t xml:space="preserve">: </w:t>
      </w:r>
    </w:p>
    <w:p>
      <w:pPr>
        <w:pStyle w:val="Default"/>
        <w:jc w:val="center"/>
        <w:rPr>
          <w:shd w:fill="FFFFFF" w:val="clear"/>
        </w:rPr>
      </w:pPr>
      <w:r>
        <w:rPr>
          <w:b/>
          <w:sz w:val="18"/>
          <w:shd w:fill="FFFFFF" w:val="clear"/>
        </w:rPr>
        <w:t xml:space="preserve">Formula valore assoluto </w:t>
      </w:r>
    </w:p>
    <w:p>
      <w:pPr>
        <w:pStyle w:val="Default"/>
        <w:jc w:val="center"/>
        <w:rPr>
          <w:shd w:fill="FFFFFF" w:val="clear"/>
        </w:rPr>
      </w:pPr>
      <w:r>
        <w:rPr>
          <w:sz w:val="18"/>
          <w:shd w:fill="FFFFFF" w:val="clear"/>
        </w:rPr>
        <w:t xml:space="preserve">P= Pmax* (Vminoff/Voff) </w:t>
      </w:r>
    </w:p>
    <w:p>
      <w:pPr>
        <w:pStyle w:val="Default"/>
        <w:jc w:val="left"/>
        <w:rPr>
          <w:sz w:val="18"/>
          <w:shd w:fill="FFFFFF" w:val="clear"/>
        </w:rPr>
      </w:pPr>
      <w:r>
        <w:rPr>
          <w:sz w:val="18"/>
          <w:shd w:fill="FFFFFF" w:val="clear"/>
        </w:rPr>
        <w:t xml:space="preserve">dove: 𝑃𝑚𝑎𝑥 corrisponde al Punteggio massimo </w:t>
      </w:r>
    </w:p>
    <w:p>
      <w:pPr>
        <w:pStyle w:val="Default"/>
        <w:jc w:val="left"/>
        <w:rPr>
          <w:sz w:val="18"/>
          <w:shd w:fill="FFFFFF" w:val="clear"/>
        </w:rPr>
      </w:pPr>
      <w:r>
        <w:rPr>
          <w:sz w:val="18"/>
          <w:shd w:fill="FFFFFF" w:val="clear"/>
        </w:rPr>
        <w:t xml:space="preserve">𝑉𝑜𝑓𝑓 </w:t>
      </w:r>
      <w:r>
        <w:rPr>
          <w:sz w:val="18"/>
          <w:shd w:fill="FFFFFF" w:val="clear"/>
        </w:rPr>
        <w:t xml:space="preserve">corrisponde al valore offerto </w:t>
      </w:r>
    </w:p>
    <w:p>
      <w:pPr>
        <w:pStyle w:val="Default"/>
        <w:jc w:val="left"/>
        <w:rPr>
          <w:sz w:val="18"/>
          <w:shd w:fill="FFFFFF" w:val="clear"/>
        </w:rPr>
      </w:pPr>
      <w:r>
        <w:rPr>
          <w:sz w:val="18"/>
          <w:shd w:fill="FFFFFF" w:val="clear"/>
        </w:rPr>
        <w:t xml:space="preserve">𝑉𝑚𝑖𝑛𝑂𝑓𝑓 </w:t>
      </w:r>
      <w:r>
        <w:rPr>
          <w:sz w:val="18"/>
          <w:shd w:fill="FFFFFF" w:val="clear"/>
        </w:rPr>
        <w:t xml:space="preserve">corrisponde al valore minimo offerto </w:t>
      </w:r>
    </w:p>
    <w:p>
      <w:pPr>
        <w:pStyle w:val="Default"/>
        <w:jc w:val="left"/>
        <w:rPr>
          <w:sz w:val="18"/>
          <w:shd w:fill="FFFFFF" w:val="clear"/>
        </w:rPr>
      </w:pPr>
      <w:r>
        <w:rPr>
          <w:sz w:val="18"/>
          <w:shd w:fill="FFFFFF" w:val="clear"/>
        </w:rPr>
      </w:r>
    </w:p>
    <w:p>
      <w:pPr>
        <w:pStyle w:val="Default"/>
        <w:rPr>
          <w:sz w:val="18"/>
          <w:shd w:fill="FFFFFF" w:val="clear"/>
        </w:rPr>
      </w:pPr>
      <w:r>
        <w:rPr>
          <w:sz w:val="18"/>
          <w:shd w:fill="FFFFFF" w:val="clear"/>
        </w:rPr>
        <w:t xml:space="preserve">Questa formula attribuisce un punteggio inversamente proporzionale rispetto al valore offerto (es. il prezzo offerto), con coefficiente di proporzionalità dato dal valore minimo (il più basso) offerto in gara. Le peculiarità di questa formula matematica possono essere così riassunte: </w:t>
      </w:r>
    </w:p>
    <w:p>
      <w:pPr>
        <w:pStyle w:val="Default"/>
        <w:spacing w:before="60" w:after="60"/>
        <w:rPr>
          <w:rFonts w:ascii="Titillium" w:hAnsi="Titillium"/>
          <w:sz w:val="18"/>
          <w:szCs w:val="18"/>
          <w:shd w:fill="FFFFFF" w:val="clear"/>
        </w:rPr>
      </w:pPr>
      <w:r>
        <w:rPr>
          <w:rFonts w:ascii="Titillium" w:hAnsi="Titillium"/>
          <w:sz w:val="18"/>
          <w:szCs w:val="18"/>
          <w:shd w:fill="FFFFFF" w:val="clear"/>
        </w:rPr>
        <w:t xml:space="preserve">- la migliore offerta pervenuta, ovvero quella che presenta il valore minore, guadagna il totale dei punti economici assegnati mentre le altre offerte ottengono una frazione di tale punteggio; </w:t>
      </w:r>
    </w:p>
    <w:p>
      <w:pPr>
        <w:pStyle w:val="Default"/>
        <w:spacing w:before="60" w:after="60"/>
        <w:rPr>
          <w:rFonts w:ascii="Titillium" w:hAnsi="Titillium"/>
          <w:sz w:val="18"/>
          <w:szCs w:val="18"/>
          <w:shd w:fill="FFFFFF" w:val="clear"/>
        </w:rPr>
      </w:pPr>
      <w:r>
        <w:rPr>
          <w:rFonts w:ascii="Titillium" w:hAnsi="Titillium"/>
          <w:sz w:val="18"/>
          <w:szCs w:val="18"/>
          <w:shd w:fill="FFFFFF" w:val="clear"/>
        </w:rPr>
        <w:t xml:space="preserve">- il punteggio economico finale conferito ad ogni concorrente dipende dalla migliore offerta presentata in gara, corrispondente a 𝑉𝑚𝑖𝑛𝑂𝑓𝑓 (valore offerto minore); </w:t>
      </w:r>
    </w:p>
    <w:p>
      <w:pPr>
        <w:pStyle w:val="Default"/>
        <w:spacing w:before="60" w:after="60"/>
        <w:rPr>
          <w:rFonts w:ascii="Titillium" w:hAnsi="Titillium"/>
          <w:sz w:val="18"/>
          <w:szCs w:val="18"/>
          <w:shd w:fill="FFFFFF" w:val="clear"/>
        </w:rPr>
      </w:pPr>
      <w:r>
        <w:rPr>
          <w:rFonts w:ascii="Titillium" w:hAnsi="Titillium"/>
          <w:sz w:val="18"/>
          <w:szCs w:val="18"/>
          <w:shd w:fill="FFFFFF" w:val="clear"/>
        </w:rPr>
        <w:t xml:space="preserve">- se espressa in funzione del prezzo offerto, può essere impiegata senza stabilire una base d’asta. Comunque, l’andamento della funzione non dipende dal valore della base d’asta. </w:t>
      </w:r>
    </w:p>
    <w:p>
      <w:pPr>
        <w:pStyle w:val="Normal"/>
        <w:spacing w:before="60" w:after="60"/>
        <w:rPr>
          <w:shd w:fill="FFFFFF" w:val="clear"/>
        </w:rPr>
      </w:pPr>
      <w:r>
        <w:rPr>
          <w:shd w:fill="FFFFFF" w:val="clear"/>
        </w:rPr>
      </w:r>
    </w:p>
    <w:p>
      <w:pPr>
        <w:pStyle w:val="Heading3"/>
        <w:numPr>
          <w:ilvl w:val="1"/>
          <w:numId w:val="3"/>
        </w:numPr>
        <w:ind w:hanging="426" w:left="426"/>
        <w:rPr>
          <w:shd w:fill="FFFFFF" w:val="clear"/>
        </w:rPr>
      </w:pPr>
      <w:bookmarkStart w:id="1859" w:name="_Toc207275760"/>
      <w:bookmarkStart w:id="1860" w:name="_Ref497226795"/>
      <w:r>
        <w:rPr>
          <w:rFonts w:ascii="Titillium" w:hAnsi="Titillium"/>
          <w:iCs/>
          <w:sz w:val="18"/>
          <w:szCs w:val="18"/>
          <w:shd w:fill="FFFFFF" w:val="clear"/>
        </w:rPr>
        <w:t>METODO DI CALCOLO DEI PUNTEGGI</w:t>
      </w:r>
      <w:bookmarkEnd w:id="1859"/>
      <w:bookmarkEnd w:id="1860"/>
    </w:p>
    <w:p>
      <w:pPr>
        <w:pStyle w:val="Normal"/>
        <w:spacing w:before="120" w:after="60"/>
        <w:rPr>
          <w:rFonts w:ascii="Titillium" w:hAnsi="Titillium"/>
          <w:sz w:val="18"/>
          <w:szCs w:val="18"/>
        </w:rPr>
      </w:pPr>
      <w:r>
        <w:rPr>
          <w:rFonts w:ascii="Titillium" w:hAnsi="Titillium"/>
          <w:sz w:val="18"/>
          <w:szCs w:val="18"/>
        </w:rPr>
        <w:t>La commissione, terminata l’attribuzione dei punteggi relativi all’offerta tecnica e all’offerta economica per ciascun concorrente, procederà, a sommare il punteggio PQi (punteggio offerta tecnica concorrente i) o eventuale PQRi (punteggio offerta tecnica concorrente i) ed il punteggio Pei (punteggio offerta economica concorrente i), per ciascun concorrente ammesso alla fase finale di gara ottenendo per ciascun concorrente, ottenendo così il Punteggio finale complessivo (PTi) e collocando primo classificato nella graduatoria provvisoria chi avrà conseguito il PTi più elevato ed a seguire gli altri concorrenti in ordine decrescente in base al minor punteggio conseguito. La proposta di aggiudicazione sarà fatta in favore del concorrente che avrà conseguito il PTi più elevato, collocato primo nella graduatoria provvisoria.</w:t>
      </w:r>
    </w:p>
    <w:p>
      <w:pPr>
        <w:pStyle w:val="Normal"/>
        <w:spacing w:before="120" w:after="60"/>
        <w:rPr>
          <w:rFonts w:ascii="Titillium" w:hAnsi="Titillium"/>
          <w:sz w:val="18"/>
          <w:szCs w:val="18"/>
        </w:rPr>
      </w:pPr>
      <w:r>
        <w:rPr>
          <w:rFonts w:ascii="Titillium" w:hAnsi="Titillium"/>
          <w:sz w:val="18"/>
          <w:szCs w:val="18"/>
        </w:rPr>
        <w:t>Poiché l’aggiudicazione viene effettuata in base all’offerta economicamente più vantaggiosa determinata sulla base del miglior rapporto qualità/prezzo, tutti gli elementi di giudizio qualitativo forniti dal concorrente, unitamente al prezzo offerto, costituiscono formale impegno e sono, quindi, integralmente recepiti nel contratto.</w:t>
      </w:r>
    </w:p>
    <w:p>
      <w:pPr>
        <w:pStyle w:val="Default"/>
        <w:spacing w:before="60" w:after="60"/>
        <w:rPr>
          <w:rFonts w:ascii="Titillium" w:hAnsi="Titillium" w:cs="Garamond"/>
          <w:sz w:val="18"/>
          <w:szCs w:val="18"/>
          <w:highlight w:val="cyan"/>
        </w:rPr>
      </w:pPr>
      <w:r>
        <w:rPr>
          <w:rFonts w:cs="Garamond" w:ascii="Titillium" w:hAnsi="Titillium"/>
          <w:sz w:val="18"/>
          <w:szCs w:val="18"/>
          <w:highlight w:val="cyan"/>
        </w:rPr>
      </w:r>
    </w:p>
    <w:p>
      <w:pPr>
        <w:pStyle w:val="Heading2"/>
        <w:numPr>
          <w:ilvl w:val="0"/>
          <w:numId w:val="3"/>
        </w:numPr>
        <w:rPr/>
      </w:pPr>
      <w:bookmarkStart w:id="1861" w:name="_Toc207275761"/>
      <w:bookmarkStart w:id="1862" w:name="_Ref129797347"/>
      <w:bookmarkStart w:id="1863" w:name="_Toc4060583881"/>
      <w:bookmarkStart w:id="1864" w:name="_Toc4067541891"/>
      <w:bookmarkStart w:id="1865" w:name="_Toc4164233721"/>
      <w:bookmarkStart w:id="1866" w:name="_Toc481158988"/>
      <w:bookmarkStart w:id="1867" w:name="_Toc481159382"/>
      <w:bookmarkStart w:id="1868" w:name="_Toc481159721"/>
      <w:bookmarkStart w:id="1869" w:name="_Toc481159767"/>
      <w:bookmarkStart w:id="1870" w:name="_Toc481159824"/>
      <w:bookmarkStart w:id="1871" w:name="_Toc481159876"/>
      <w:bookmarkStart w:id="1872" w:name="_Toc481160021"/>
      <w:bookmarkStart w:id="1873" w:name="_Toc481165222"/>
      <w:bookmarkStart w:id="1874" w:name="_Toc481165531"/>
      <w:bookmarkStart w:id="1875" w:name="_Toc481511110"/>
      <w:bookmarkStart w:id="1876" w:name="_Toc481511168"/>
      <w:bookmarkStart w:id="1877" w:name="_Toc481511213"/>
      <w:bookmarkStart w:id="1878" w:name="_Toc481511273"/>
      <w:bookmarkStart w:id="1879" w:name="_Toc481511317"/>
      <w:bookmarkStart w:id="1880" w:name="_Toc481772316"/>
      <w:bookmarkStart w:id="1881" w:name="_Toc481772380"/>
      <w:bookmarkStart w:id="1882" w:name="_Toc482025753"/>
      <w:bookmarkStart w:id="1883" w:name="_Toc482097577"/>
      <w:bookmarkStart w:id="1884" w:name="_Toc482097666"/>
      <w:bookmarkStart w:id="1885" w:name="_Toc482097755"/>
      <w:bookmarkStart w:id="1886" w:name="_Toc482097947"/>
      <w:bookmarkStart w:id="1887" w:name="_Toc482099049"/>
      <w:bookmarkStart w:id="1888" w:name="_Toc482100766"/>
      <w:bookmarkStart w:id="1889" w:name="_Toc482100923"/>
      <w:bookmarkStart w:id="1890" w:name="_Toc482101349"/>
      <w:bookmarkStart w:id="1891" w:name="_Toc482101486"/>
      <w:bookmarkStart w:id="1892" w:name="_Toc482101601"/>
      <w:bookmarkStart w:id="1893" w:name="_Toc482101776"/>
      <w:bookmarkStart w:id="1894" w:name="_Toc482101869"/>
      <w:bookmarkStart w:id="1895" w:name="_Toc482101964"/>
      <w:bookmarkStart w:id="1896" w:name="_Toc482102059"/>
      <w:bookmarkStart w:id="1897" w:name="_Toc482102153"/>
      <w:bookmarkStart w:id="1898" w:name="_Toc482352017"/>
      <w:bookmarkStart w:id="1899" w:name="_Toc482352107"/>
      <w:bookmarkStart w:id="1900" w:name="_Toc482352197"/>
      <w:bookmarkStart w:id="1901" w:name="_Toc482352287"/>
      <w:bookmarkStart w:id="1902" w:name="_Toc482633128"/>
      <w:bookmarkStart w:id="1903" w:name="_Toc482641305"/>
      <w:bookmarkStart w:id="1904" w:name="_Toc482712751"/>
      <w:bookmarkStart w:id="1905" w:name="_Toc482959539"/>
      <w:bookmarkStart w:id="1906" w:name="_Toc482959649"/>
      <w:bookmarkStart w:id="1907" w:name="_Toc482959759"/>
      <w:bookmarkStart w:id="1908" w:name="_Toc482978878"/>
      <w:bookmarkStart w:id="1909" w:name="_Toc482978987"/>
      <w:bookmarkStart w:id="1910" w:name="_Toc482979095"/>
      <w:bookmarkStart w:id="1911" w:name="_Toc482979206"/>
      <w:bookmarkStart w:id="1912" w:name="_Toc482979315"/>
      <w:bookmarkStart w:id="1913" w:name="_Toc482979424"/>
      <w:bookmarkStart w:id="1914" w:name="_Toc482979532"/>
      <w:bookmarkStart w:id="1915" w:name="_Toc482979630"/>
      <w:bookmarkStart w:id="1916" w:name="_Toc482979728"/>
      <w:bookmarkStart w:id="1917" w:name="_Toc483233688"/>
      <w:bookmarkStart w:id="1918" w:name="_Toc483302405"/>
      <w:bookmarkStart w:id="1919" w:name="_Toc483316026"/>
      <w:bookmarkStart w:id="1920" w:name="_Toc483316231"/>
      <w:bookmarkStart w:id="1921" w:name="_Toc483316363"/>
      <w:bookmarkStart w:id="1922" w:name="_Toc483316494"/>
      <w:bookmarkStart w:id="1923" w:name="_Toc483325797"/>
      <w:bookmarkStart w:id="1924" w:name="_Toc483401275"/>
      <w:bookmarkStart w:id="1925" w:name="_Toc483474071"/>
      <w:bookmarkStart w:id="1926" w:name="_Toc483571501"/>
      <w:bookmarkStart w:id="1927" w:name="_Toc483571622"/>
      <w:bookmarkStart w:id="1928" w:name="_Toc483906999"/>
      <w:bookmarkStart w:id="1929" w:name="_Toc484010749"/>
      <w:bookmarkStart w:id="1930" w:name="_Toc484010871"/>
      <w:bookmarkStart w:id="1931" w:name="_Toc484010995"/>
      <w:bookmarkStart w:id="1932" w:name="_Toc484011117"/>
      <w:bookmarkStart w:id="1933" w:name="_Toc484011239"/>
      <w:bookmarkStart w:id="1934" w:name="_Toc484011714"/>
      <w:bookmarkStart w:id="1935" w:name="_Toc484097788"/>
      <w:bookmarkStart w:id="1936" w:name="_Toc484428962"/>
      <w:bookmarkStart w:id="1937" w:name="_Toc484429132"/>
      <w:bookmarkStart w:id="1938" w:name="_Toc484438707"/>
      <w:bookmarkStart w:id="1939" w:name="_Toc484438831"/>
      <w:bookmarkStart w:id="1940" w:name="_Toc484438955"/>
      <w:bookmarkStart w:id="1941" w:name="_Toc484439875"/>
      <w:bookmarkStart w:id="1942" w:name="_Toc484439998"/>
      <w:bookmarkStart w:id="1943" w:name="_Toc484440122"/>
      <w:bookmarkStart w:id="1944" w:name="_Toc484440482"/>
      <w:bookmarkStart w:id="1945" w:name="_Toc484448142"/>
      <w:bookmarkStart w:id="1946" w:name="_Toc484448266"/>
      <w:bookmarkStart w:id="1947" w:name="_Toc484448390"/>
      <w:bookmarkStart w:id="1948" w:name="_Toc484448514"/>
      <w:bookmarkStart w:id="1949" w:name="_Toc484448638"/>
      <w:bookmarkStart w:id="1950" w:name="_Toc484448762"/>
      <w:bookmarkStart w:id="1951" w:name="_Toc484448885"/>
      <w:bookmarkStart w:id="1952" w:name="_Toc484449009"/>
      <w:bookmarkStart w:id="1953" w:name="_Toc484449133"/>
      <w:bookmarkStart w:id="1954" w:name="_Toc484526628"/>
      <w:bookmarkStart w:id="1955" w:name="_Toc484605347"/>
      <w:bookmarkStart w:id="1956" w:name="_Toc484605471"/>
      <w:bookmarkStart w:id="1957" w:name="_Toc484688340"/>
      <w:bookmarkStart w:id="1958" w:name="_Toc484688895"/>
      <w:bookmarkStart w:id="1959" w:name="_Toc485218331"/>
      <w:bookmarkStart w:id="1960" w:name="_Toc3805018801"/>
      <w:bookmarkStart w:id="1961" w:name="_Toc3910359931"/>
      <w:bookmarkStart w:id="1962" w:name="_Toc3910360661"/>
      <w:bookmarkStart w:id="1963" w:name="_Toc3925775071"/>
      <w:bookmarkStart w:id="1964" w:name="_Toc3931105741"/>
      <w:bookmarkStart w:id="1965" w:name="_Toc3931121381"/>
      <w:bookmarkStart w:id="1966" w:name="_Toc3931878551"/>
      <w:bookmarkStart w:id="1967" w:name="_Toc3932726111"/>
      <w:bookmarkStart w:id="1968" w:name="_Toc3932726691"/>
      <w:bookmarkStart w:id="1969" w:name="_Toc3932831851"/>
      <w:bookmarkStart w:id="1970" w:name="_Toc3937008441"/>
      <w:bookmarkStart w:id="1971" w:name="_Toc3937069171"/>
      <w:bookmarkStart w:id="1972" w:name="_Toc3973468321"/>
      <w:bookmarkStart w:id="1973" w:name="_Toc3974228731"/>
      <w:bookmarkStart w:id="1974" w:name="_Toc4034712801"/>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r>
        <w:rPr/>
        <w:t>COMMISSIONE GIUDICATRICE</w:t>
      </w:r>
      <w:bookmarkEnd w:id="1861"/>
      <w:bookmarkEnd w:id="1862"/>
    </w:p>
    <w:p>
      <w:pPr>
        <w:pStyle w:val="Normal"/>
        <w:tabs>
          <w:tab w:val="clear" w:pos="708"/>
          <w:tab w:val="left" w:pos="6521" w:leader="none"/>
        </w:tabs>
        <w:spacing w:before="120" w:after="60"/>
        <w:rPr/>
      </w:pPr>
      <w:r>
        <w:rPr>
          <w:rFonts w:cs="Calibri" w:ascii="Titillium" w:hAnsi="Titillium"/>
          <w:sz w:val="18"/>
          <w:szCs w:val="18"/>
        </w:rPr>
        <w:t>La commissione giudicatrice è nominata dopo la scadenza del termine per la presentazione delle offerte ed è composta da un numero dispari pari a n. 3 membri, esperti nello specifico settore cui si riferisce l’oggetto del contratto. In capo ai commissari non devono sussistere cause ostative alla nomina ai sensi dell’articolo 93 comma 5 del Codice. A tal fine viene richiesta, prima del conferimento dell’incarico, apposita dichiarazione.</w:t>
      </w:r>
      <w:r>
        <w:rPr>
          <w:rFonts w:cs="Calibri" w:ascii="Titillium" w:hAnsi="Titillium"/>
          <w:sz w:val="18"/>
          <w:szCs w:val="24"/>
        </w:rPr>
        <w:t xml:space="preserve"> </w:t>
      </w:r>
    </w:p>
    <w:p>
      <w:pPr>
        <w:pStyle w:val="Default"/>
        <w:spacing w:before="60" w:after="60"/>
        <w:rPr/>
      </w:pPr>
      <w:r>
        <w:rPr>
          <w:rFonts w:cs="Garamond" w:ascii="Titillium" w:hAnsi="Titillium"/>
          <w:sz w:val="18"/>
          <w:szCs w:val="18"/>
        </w:rPr>
        <w:t>La composizione della commissione giudicatrice e i curricula dei componenti sono pubblicati sul sito istituzionale nella sezione “Amministrazione trasparente”.</w:t>
      </w:r>
    </w:p>
    <w:p>
      <w:pPr>
        <w:pStyle w:val="Normal"/>
        <w:spacing w:before="60" w:after="60"/>
        <w:rPr>
          <w:rFonts w:ascii="Titillium" w:hAnsi="Titillium" w:cs="Calibri"/>
          <w:sz w:val="18"/>
          <w:szCs w:val="18"/>
        </w:rPr>
      </w:pPr>
      <w:r>
        <w:rPr>
          <w:rFonts w:cs="Calibri" w:ascii="Titillium" w:hAnsi="Titillium"/>
          <w:sz w:val="18"/>
          <w:szCs w:val="18"/>
        </w:rPr>
        <w:t xml:space="preserve">La commissione giudicatrice è responsabile della valutazione delle offerte tecniche ed economiche dei concorrenti, può riunirsi con modalità telematiche che salvaguardino la riservatezza delle comunicazioni ed opera attraverso la piattaforma di approvvigionamento digitale. </w:t>
      </w:r>
    </w:p>
    <w:p>
      <w:pPr>
        <w:pStyle w:val="Heading2"/>
        <w:numPr>
          <w:ilvl w:val="0"/>
          <w:numId w:val="3"/>
        </w:numPr>
        <w:rPr/>
      </w:pPr>
      <w:bookmarkStart w:id="1975" w:name="_Toc207275762"/>
      <w:bookmarkStart w:id="1976" w:name="_Ref130243943"/>
      <w:r>
        <w:rPr/>
        <w:t>SVOLGIMENTO DELLE OPERAZIONI DI GARA</w:t>
      </w:r>
      <w:bookmarkEnd w:id="1975"/>
      <w:bookmarkEnd w:id="1976"/>
      <w:r>
        <w:rPr/>
        <w:t xml:space="preserve"> </w:t>
      </w:r>
    </w:p>
    <w:p>
      <w:pPr>
        <w:pStyle w:val="Normal"/>
        <w:spacing w:before="60" w:after="60"/>
        <w:rPr>
          <w:rFonts w:ascii="Titillium" w:hAnsi="Titillium" w:eastAsia="SimSun" w:cs="Calibri"/>
          <w:sz w:val="18"/>
          <w:szCs w:val="18"/>
        </w:rPr>
      </w:pPr>
      <w:r>
        <w:rPr>
          <w:rFonts w:cs="Calibri" w:ascii="Titillium" w:hAnsi="Titillium"/>
          <w:sz w:val="18"/>
          <w:szCs w:val="18"/>
        </w:rPr>
        <w:t>La prima sessione ha luogo il giorno indicato sulla Piattaforma.</w:t>
      </w:r>
      <w:r>
        <w:rPr>
          <w:rFonts w:eastAsia="SimSun" w:cs="Calibri" w:ascii="Titillium" w:hAnsi="Titillium"/>
          <w:sz w:val="18"/>
          <w:szCs w:val="18"/>
        </w:rPr>
        <w:t xml:space="preserve"> </w:t>
      </w:r>
    </w:p>
    <w:p>
      <w:pPr>
        <w:pStyle w:val="Normal"/>
        <w:spacing w:before="60" w:after="60"/>
        <w:rPr>
          <w:rFonts w:ascii="Titillium" w:hAnsi="Titillium" w:cs="Calibri"/>
          <w:sz w:val="18"/>
          <w:szCs w:val="18"/>
        </w:rPr>
      </w:pPr>
      <w:r>
        <w:rPr>
          <w:rFonts w:cs="Calibri" w:ascii="Titillium" w:hAnsi="Titillium"/>
          <w:sz w:val="18"/>
          <w:szCs w:val="18"/>
        </w:rPr>
        <w:t>La PAD consente lo svolgimento delle sessioni di gara preordinate all’esame:</w:t>
      </w:r>
    </w:p>
    <w:p>
      <w:pPr>
        <w:pStyle w:val="Normal"/>
        <w:spacing w:before="60" w:after="60"/>
        <w:rPr>
          <w:rFonts w:ascii="Titillium" w:hAnsi="Titillium" w:cs="Calibri"/>
          <w:sz w:val="18"/>
          <w:szCs w:val="18"/>
        </w:rPr>
      </w:pPr>
      <w:r>
        <w:rPr>
          <w:rFonts w:cs="Calibri" w:ascii="Titillium" w:hAnsi="Titillium"/>
          <w:sz w:val="18"/>
          <w:szCs w:val="18"/>
        </w:rPr>
        <w:t>•</w:t>
      </w:r>
      <w:r>
        <w:rPr>
          <w:rFonts w:cs="Calibri" w:ascii="Titillium" w:hAnsi="Titillium"/>
          <w:sz w:val="18"/>
          <w:szCs w:val="18"/>
        </w:rPr>
        <w:tab/>
        <w:t>della documentazione amministrativa;</w:t>
      </w:r>
    </w:p>
    <w:p>
      <w:pPr>
        <w:pStyle w:val="Normal"/>
        <w:spacing w:before="60" w:after="60"/>
        <w:rPr>
          <w:rFonts w:ascii="Titillium" w:hAnsi="Titillium" w:cs="Calibri"/>
          <w:sz w:val="18"/>
          <w:szCs w:val="18"/>
        </w:rPr>
      </w:pPr>
      <w:r>
        <w:rPr>
          <w:rFonts w:cs="Calibri" w:ascii="Titillium" w:hAnsi="Titillium"/>
          <w:sz w:val="18"/>
          <w:szCs w:val="18"/>
        </w:rPr>
        <w:t>•</w:t>
      </w:r>
      <w:r>
        <w:rPr>
          <w:rFonts w:cs="Calibri" w:ascii="Titillium" w:hAnsi="Titillium"/>
          <w:sz w:val="18"/>
          <w:szCs w:val="18"/>
        </w:rPr>
        <w:tab/>
        <w:t>delle offerte tecniche;</w:t>
      </w:r>
    </w:p>
    <w:p>
      <w:pPr>
        <w:pStyle w:val="Normal"/>
        <w:spacing w:before="60" w:after="60"/>
        <w:rPr>
          <w:rFonts w:ascii="Titillium" w:hAnsi="Titillium" w:cs="Calibri"/>
          <w:sz w:val="18"/>
          <w:szCs w:val="18"/>
        </w:rPr>
      </w:pPr>
      <w:r>
        <w:rPr>
          <w:rFonts w:cs="Calibri" w:ascii="Titillium" w:hAnsi="Titillium"/>
          <w:sz w:val="18"/>
          <w:szCs w:val="18"/>
        </w:rPr>
        <w:t>•</w:t>
      </w:r>
      <w:r>
        <w:rPr>
          <w:rFonts w:cs="Calibri" w:ascii="Titillium" w:hAnsi="Titillium"/>
          <w:sz w:val="18"/>
          <w:szCs w:val="18"/>
        </w:rPr>
        <w:tab/>
        <w:t>delle offerte economiche.</w:t>
      </w:r>
    </w:p>
    <w:p>
      <w:pPr>
        <w:pStyle w:val="Normal"/>
        <w:spacing w:before="60" w:after="60"/>
        <w:rPr>
          <w:rFonts w:ascii="Titillium" w:hAnsi="Titillium" w:cs="Calibri"/>
          <w:sz w:val="18"/>
          <w:szCs w:val="18"/>
        </w:rPr>
      </w:pPr>
      <w:r>
        <w:rPr>
          <w:rFonts w:cs="Calibri" w:ascii="Titillium" w:hAnsi="Titillium"/>
          <w:sz w:val="18"/>
          <w:szCs w:val="18"/>
        </w:rPr>
        <w:t>La PAD garantisce il rispetto delle disposizioni del codice in materia di riservatezza delle operazioni e delle informazioni relative alla procedura di gara, nonché il rispetto dei principi di trasparenza.</w:t>
      </w:r>
    </w:p>
    <w:p>
      <w:pPr>
        <w:pStyle w:val="Normal"/>
        <w:spacing w:before="60" w:after="60"/>
        <w:rPr>
          <w:rFonts w:ascii="Titillium" w:hAnsi="Titillium" w:cs="Calibri"/>
          <w:sz w:val="18"/>
          <w:szCs w:val="18"/>
        </w:rPr>
      </w:pPr>
      <w:r>
        <w:rPr>
          <w:rFonts w:cs="Calibri" w:ascii="Titillium" w:hAnsi="Titillium"/>
          <w:sz w:val="18"/>
          <w:szCs w:val="18"/>
        </w:rPr>
      </w:r>
    </w:p>
    <w:p>
      <w:pPr>
        <w:pStyle w:val="Heading2"/>
        <w:numPr>
          <w:ilvl w:val="0"/>
          <w:numId w:val="3"/>
        </w:numPr>
        <w:rPr/>
      </w:pPr>
      <w:bookmarkStart w:id="1977" w:name="_Toc207275763"/>
      <w:bookmarkStart w:id="1978" w:name="_Ref132303128"/>
      <w:r>
        <w:rPr/>
        <w:t>VERIFICA DOCUMENTAZIONE AMMINISTRATIVA</w:t>
      </w:r>
      <w:bookmarkEnd w:id="1977"/>
      <w:bookmarkEnd w:id="1978"/>
    </w:p>
    <w:p>
      <w:pPr>
        <w:pStyle w:val="Normal"/>
        <w:spacing w:before="60" w:after="60"/>
        <w:rPr/>
      </w:pPr>
      <w:r>
        <w:rPr>
          <w:rFonts w:cs="Calibri" w:ascii="Titillium" w:hAnsi="Titillium"/>
          <w:sz w:val="18"/>
          <w:szCs w:val="18"/>
        </w:rPr>
        <w:t xml:space="preserve">Il Referente di gara accede alla documentazione amministrativa di ciascun concorrente, mentre l’offerta tecnica e l’offerta economica restano, chiuse, segrete e bloccate dal sistema, e procede a: </w:t>
      </w:r>
    </w:p>
    <w:p>
      <w:pPr>
        <w:pStyle w:val="Normal"/>
        <w:numPr>
          <w:ilvl w:val="0"/>
          <w:numId w:val="5"/>
        </w:numPr>
        <w:tabs>
          <w:tab w:val="clear" w:pos="708"/>
          <w:tab w:val="left" w:pos="851" w:leader="none"/>
        </w:tabs>
        <w:spacing w:before="60" w:after="60"/>
        <w:ind w:hanging="360" w:left="426"/>
        <w:rPr>
          <w:rFonts w:ascii="Titillium" w:hAnsi="Titillium" w:cs="Calibri"/>
          <w:sz w:val="18"/>
          <w:szCs w:val="18"/>
        </w:rPr>
      </w:pPr>
      <w:r>
        <w:rPr>
          <w:rFonts w:cs="Calibri" w:ascii="Titillium" w:hAnsi="Titillium"/>
          <w:sz w:val="18"/>
          <w:szCs w:val="18"/>
        </w:rPr>
        <w:t>controllare la completezza della documentazione amministrativa presentata;</w:t>
      </w:r>
    </w:p>
    <w:p>
      <w:pPr>
        <w:pStyle w:val="ListParagraph"/>
        <w:numPr>
          <w:ilvl w:val="0"/>
          <w:numId w:val="5"/>
        </w:numPr>
        <w:tabs>
          <w:tab w:val="clear" w:pos="708"/>
          <w:tab w:val="left" w:pos="851" w:leader="none"/>
        </w:tabs>
        <w:spacing w:before="60" w:after="60"/>
        <w:ind w:hanging="360" w:left="426"/>
        <w:contextualSpacing w:val="false"/>
        <w:rPr>
          <w:rFonts w:ascii="Titillium" w:hAnsi="Titillium" w:cs="Calibri"/>
          <w:sz w:val="18"/>
          <w:szCs w:val="18"/>
        </w:rPr>
      </w:pPr>
      <w:r>
        <w:rPr>
          <w:rFonts w:cs="Calibri" w:ascii="Titillium" w:hAnsi="Titillium"/>
          <w:sz w:val="18"/>
          <w:szCs w:val="18"/>
        </w:rPr>
        <w:t>verificare la conformità della documentazione amministrativa a quanto richiesto nel presente disciplinare;</w:t>
      </w:r>
    </w:p>
    <w:p>
      <w:pPr>
        <w:pStyle w:val="ListParagraph"/>
        <w:numPr>
          <w:ilvl w:val="0"/>
          <w:numId w:val="5"/>
        </w:numPr>
        <w:tabs>
          <w:tab w:val="clear" w:pos="708"/>
          <w:tab w:val="left" w:pos="851" w:leader="none"/>
        </w:tabs>
        <w:spacing w:before="60" w:after="60"/>
        <w:ind w:hanging="360" w:left="426"/>
        <w:contextualSpacing w:val="false"/>
        <w:rPr>
          <w:rFonts w:ascii="Titillium" w:hAnsi="Titillium" w:cs="Calibri"/>
          <w:sz w:val="18"/>
          <w:szCs w:val="18"/>
        </w:rPr>
      </w:pPr>
      <w:r>
        <w:rPr>
          <w:rFonts w:cs="Calibri" w:ascii="Titillium" w:hAnsi="Titillium"/>
          <w:sz w:val="18"/>
          <w:szCs w:val="18"/>
        </w:rPr>
        <w:t xml:space="preserve">attivare la procedura di soccorso istruttorio di cui al precedente paragrafo </w:t>
      </w:r>
      <w:r>
        <w:rPr>
          <w:rFonts w:cs="Calibri" w:ascii="Titillium" w:hAnsi="Titillium"/>
          <w:sz w:val="18"/>
          <w:szCs w:val="18"/>
        </w:rPr>
        <w:fldChar w:fldCharType="begin"/>
      </w:r>
      <w:r>
        <w:rPr>
          <w:rFonts w:cs="Calibri" w:ascii="Titillium" w:hAnsi="Titillium"/>
          <w:sz w:val="18"/>
          <w:szCs w:val="18"/>
        </w:rPr>
        <w:instrText xml:space="preserve"> REF _Ref129796272 \r \r \h </w:instrText>
      </w:r>
      <w:r>
        <w:rPr>
          <w:rFonts w:cs="Calibri" w:ascii="Titillium" w:hAnsi="Titillium"/>
          <w:sz w:val="18"/>
          <w:szCs w:val="18"/>
        </w:rPr>
        <w:fldChar w:fldCharType="separate"/>
      </w:r>
      <w:r>
        <w:rPr>
          <w:rFonts w:cs="Calibri" w:ascii="Titillium" w:hAnsi="Titillium"/>
          <w:sz w:val="18"/>
          <w:szCs w:val="18"/>
        </w:rPr>
        <w:t>14</w:t>
      </w:r>
      <w:r>
        <w:rPr>
          <w:rFonts w:cs="Calibri" w:ascii="Titillium" w:hAnsi="Titillium"/>
          <w:sz w:val="18"/>
          <w:szCs w:val="18"/>
        </w:rPr>
        <w:fldChar w:fldCharType="end"/>
      </w:r>
      <w:r>
        <w:rPr>
          <w:rFonts w:cs="Calibri" w:ascii="Titillium" w:hAnsi="Titillium"/>
          <w:sz w:val="18"/>
          <w:szCs w:val="18"/>
        </w:rPr>
        <w:t xml:space="preserve">, se necessario. </w:t>
      </w:r>
    </w:p>
    <w:p>
      <w:pPr>
        <w:pStyle w:val="Normal"/>
        <w:tabs>
          <w:tab w:val="clear" w:pos="708"/>
          <w:tab w:val="left" w:pos="851" w:leader="none"/>
        </w:tabs>
        <w:spacing w:before="60" w:after="60"/>
        <w:ind w:left="66"/>
        <w:rPr>
          <w:rFonts w:ascii="Titillium" w:hAnsi="Titillium" w:cs="Calibri"/>
          <w:sz w:val="18"/>
          <w:szCs w:val="18"/>
        </w:rPr>
      </w:pPr>
      <w:r>
        <w:rPr>
          <w:rFonts w:cs="Calibri" w:ascii="Titillium" w:hAnsi="Titillium"/>
          <w:sz w:val="18"/>
          <w:szCs w:val="18"/>
        </w:rPr>
        <w:t>Gli eventuali provvedimenti di esclusione dalla procedura di gara sono comunicati entro cinque giorni dalla loro adozione.</w:t>
      </w:r>
      <w:r>
        <w:rPr/>
        <w:t xml:space="preserve"> </w:t>
      </w:r>
      <w:r>
        <w:rPr>
          <w:rFonts w:cs="Calibri" w:ascii="Titillium" w:hAnsi="Titillium"/>
          <w:sz w:val="18"/>
          <w:szCs w:val="18"/>
        </w:rPr>
        <w:t xml:space="preserve">È fatta salva la possibilità di chiedere agli offerenti, in qualsiasi momento nel corso della procedura, di presentare tutti i documenti complementari o parte di essi, qualora questo sia necessario per assicurare il corretto svolgimento della procedura. </w:t>
      </w:r>
    </w:p>
    <w:p>
      <w:pPr>
        <w:pStyle w:val="Normal"/>
        <w:tabs>
          <w:tab w:val="clear" w:pos="708"/>
          <w:tab w:val="left" w:pos="851" w:leader="none"/>
        </w:tabs>
        <w:spacing w:before="60" w:after="60"/>
        <w:rPr>
          <w:rFonts w:ascii="Titillium" w:hAnsi="Titillium" w:cs="Calibri"/>
          <w:sz w:val="18"/>
          <w:szCs w:val="18"/>
        </w:rPr>
      </w:pPr>
      <w:r>
        <w:rPr>
          <w:rFonts w:cs="Calibri" w:ascii="Titillium" w:hAnsi="Titillium"/>
          <w:sz w:val="18"/>
          <w:szCs w:val="18"/>
        </w:rPr>
      </w:r>
    </w:p>
    <w:p>
      <w:pPr>
        <w:pStyle w:val="Heading2"/>
        <w:numPr>
          <w:ilvl w:val="0"/>
          <w:numId w:val="3"/>
        </w:numPr>
        <w:rPr/>
      </w:pPr>
      <w:bookmarkStart w:id="1979" w:name="_Toc207275764"/>
      <w:bookmarkStart w:id="1980" w:name="_Ref138148356"/>
      <w:bookmarkStart w:id="1981" w:name="_Ref132303065"/>
      <w:r>
        <w:rPr/>
        <w:t>VALUTAZIONE DELLE OFFERTE TECNICHE ED ECONOMICHE</w:t>
      </w:r>
      <w:bookmarkEnd w:id="1980"/>
      <w:bookmarkEnd w:id="1981"/>
      <w:r>
        <w:rPr/>
        <w:t>.</w:t>
      </w:r>
      <w:bookmarkEnd w:id="1979"/>
    </w:p>
    <w:p>
      <w:pPr>
        <w:pStyle w:val="Normal"/>
        <w:spacing w:before="60" w:after="60"/>
        <w:rPr>
          <w:rFonts w:ascii="Titillium" w:hAnsi="Titillium" w:cs="Calibri"/>
          <w:sz w:val="18"/>
          <w:szCs w:val="18"/>
        </w:rPr>
      </w:pPr>
      <w:r>
        <w:rPr>
          <w:rFonts w:cs="Calibri" w:ascii="Titillium" w:hAnsi="Titillium"/>
          <w:sz w:val="18"/>
          <w:szCs w:val="18"/>
        </w:rPr>
        <w:t>La data e l’ora in cui si procede all’apertura delle offerte tecniche sono comunicate tramite la PAD ai concorrenti ammessi alla presente fase di gara.</w:t>
      </w:r>
    </w:p>
    <w:p>
      <w:pPr>
        <w:pStyle w:val="Normal"/>
        <w:spacing w:before="60" w:after="60"/>
        <w:rPr>
          <w:rFonts w:ascii="Titillium" w:hAnsi="Titillium" w:cs="Calibri"/>
          <w:sz w:val="18"/>
          <w:szCs w:val="18"/>
        </w:rPr>
      </w:pPr>
      <w:r>
        <w:rPr>
          <w:rFonts w:cs="Calibri" w:ascii="Titillium" w:hAnsi="Titillium"/>
          <w:sz w:val="18"/>
          <w:szCs w:val="18"/>
        </w:rPr>
        <w:t xml:space="preserve">Il Presidente della Commissione procede all’apertura delle offerte presentate. </w:t>
      </w:r>
    </w:p>
    <w:p>
      <w:pPr>
        <w:pStyle w:val="Normal"/>
        <w:spacing w:before="60" w:after="60"/>
        <w:rPr>
          <w:rFonts w:ascii="Titillium" w:hAnsi="Titillium" w:cs="Calibri"/>
          <w:sz w:val="18"/>
          <w:szCs w:val="18"/>
        </w:rPr>
      </w:pPr>
      <w:r>
        <w:rPr>
          <w:rFonts w:cs="Calibri" w:ascii="Titillium" w:hAnsi="Titillium"/>
          <w:sz w:val="18"/>
          <w:szCs w:val="18"/>
        </w:rPr>
        <w:t>La commissione giudicatrice procede all’esame e valutazione delle offerte tecniche presentate dai concorrenti e all’assegnazione dei relativi punteggi applicando i criteri e le formule indicati nel bando e nel presente disciplinare. Gli esiti della valutazione sono registrati dalla PAD.</w:t>
      </w:r>
    </w:p>
    <w:p>
      <w:pPr>
        <w:pStyle w:val="Normal"/>
        <w:rPr>
          <w:shd w:fill="FFFFFF" w:val="clear"/>
        </w:rPr>
      </w:pPr>
      <w:r>
        <w:rPr>
          <w:rFonts w:cs="Calibri" w:ascii="Titillium" w:hAnsi="Titillium"/>
          <w:sz w:val="18"/>
          <w:szCs w:val="18"/>
          <w:shd w:fill="FFFFFF" w:val="clear"/>
        </w:rPr>
        <w:t>La commissione giudicatrice rende visibile ai concorrenti:</w:t>
      </w:r>
    </w:p>
    <w:p>
      <w:pPr>
        <w:pStyle w:val="ListParagraph"/>
        <w:numPr>
          <w:ilvl w:val="3"/>
          <w:numId w:val="38"/>
        </w:numPr>
        <w:ind w:hanging="360" w:left="426"/>
        <w:rPr>
          <w:shd w:fill="FFFFFF" w:val="clear"/>
        </w:rPr>
      </w:pPr>
      <w:r>
        <w:rPr>
          <w:rFonts w:cs="Calibri" w:ascii="Titillium" w:hAnsi="Titillium"/>
          <w:sz w:val="18"/>
          <w:szCs w:val="18"/>
          <w:shd w:fill="FFFFFF" w:val="clear"/>
        </w:rPr>
        <w:t>i punteggi tecnici attribuiti alle singole offerte tecniche;</w:t>
      </w:r>
    </w:p>
    <w:p>
      <w:pPr>
        <w:pStyle w:val="ListParagraph"/>
        <w:numPr>
          <w:ilvl w:val="3"/>
          <w:numId w:val="38"/>
        </w:numPr>
        <w:ind w:hanging="360" w:left="426"/>
        <w:rPr>
          <w:shd w:fill="FFFFFF" w:val="clear"/>
        </w:rPr>
      </w:pPr>
      <w:r>
        <w:rPr>
          <w:rFonts w:cs="Calibri" w:ascii="Titillium" w:hAnsi="Titillium"/>
          <w:sz w:val="18"/>
          <w:szCs w:val="18"/>
          <w:shd w:fill="FFFFFF" w:val="clear"/>
        </w:rPr>
        <w:t>le eventuali esclusioni dalla gara dei concorrenti.</w:t>
      </w:r>
    </w:p>
    <w:p>
      <w:pPr>
        <w:pStyle w:val="Normal"/>
        <w:rPr>
          <w:rFonts w:ascii="Titillium" w:hAnsi="Titillium" w:cs="Calibri"/>
          <w:sz w:val="18"/>
          <w:szCs w:val="18"/>
        </w:rPr>
      </w:pPr>
      <w:r>
        <w:rPr>
          <w:rFonts w:cs="Calibri" w:ascii="Titillium" w:hAnsi="Titillium"/>
          <w:sz w:val="18"/>
          <w:szCs w:val="18"/>
        </w:rPr>
        <w:t xml:space="preserve">Al termine delle operazioni di cui sopra la PAD consente la prosecuzione della procedura ai soli concorrenti ammessi alla valutazione delle offerte economiche. </w:t>
      </w:r>
    </w:p>
    <w:p>
      <w:pPr>
        <w:pStyle w:val="Normal"/>
        <w:rPr>
          <w:rFonts w:ascii="Titillium" w:hAnsi="Titillium"/>
          <w:sz w:val="20"/>
          <w:szCs w:val="20"/>
        </w:rPr>
      </w:pPr>
      <w:r>
        <w:rPr>
          <w:rFonts w:ascii="Titillium" w:hAnsi="Titillium"/>
          <w:sz w:val="20"/>
          <w:szCs w:val="20"/>
        </w:rPr>
      </w:r>
    </w:p>
    <w:p>
      <w:pPr>
        <w:pStyle w:val="Normal"/>
        <w:rPr>
          <w:rFonts w:ascii="Titillium" w:hAnsi="Titillium" w:cs="Calibri"/>
          <w:sz w:val="18"/>
          <w:szCs w:val="18"/>
        </w:rPr>
      </w:pPr>
      <w:r>
        <w:rPr>
          <w:rFonts w:cs="Calibri" w:ascii="Titillium" w:hAnsi="Titillium"/>
          <w:sz w:val="18"/>
          <w:szCs w:val="18"/>
        </w:rPr>
        <w:t>Il Presidente della Commissione procede all’apertura delle offerte economiche.</w:t>
      </w:r>
    </w:p>
    <w:p>
      <w:pPr>
        <w:pStyle w:val="Normal"/>
        <w:rPr>
          <w:rFonts w:ascii="Titillium" w:hAnsi="Titillium" w:cs="Calibri"/>
          <w:sz w:val="18"/>
          <w:szCs w:val="18"/>
        </w:rPr>
      </w:pPr>
      <w:r>
        <w:rPr>
          <w:rFonts w:cs="Calibri" w:ascii="Titillium" w:hAnsi="Titillium"/>
          <w:sz w:val="18"/>
          <w:szCs w:val="18"/>
        </w:rPr>
        <w:t xml:space="preserve">La commissione giudicatrice procede alla valutazione delle offerte economiche, secondo i criteri e le modalità descritte nel disciplinare e, successivamente, all’individuazione dell’unico parametro numerico finale per la formulazione della graduatoria. </w:t>
      </w:r>
    </w:p>
    <w:p>
      <w:pPr>
        <w:pStyle w:val="Normal"/>
        <w:spacing w:before="60" w:after="60"/>
        <w:rPr>
          <w:rFonts w:ascii="Titillium" w:hAnsi="Titillium" w:cs="Calibri"/>
          <w:sz w:val="18"/>
          <w:szCs w:val="18"/>
        </w:rPr>
      </w:pPr>
      <w:r>
        <w:rPr>
          <w:rFonts w:cs="Calibri" w:ascii="Titillium" w:hAnsi="Titillium"/>
          <w:sz w:val="18"/>
          <w:szCs w:val="18"/>
        </w:rPr>
        <w:t xml:space="preserve">Nel caso in cui le offerte di due o più concorrenti ottengano lo stesso punteggio complessivo e gli stessi punteggi parziali per il prezzo e per l’offerta tecnica, i predetti concorrenti, su richiesta della stazione appaltante, presentano un’offerta migliorativa sul prezzo entro 5 giorni. La richiesta è effettuata secondo le modalità previste al paragrafo 2.3. </w:t>
      </w:r>
    </w:p>
    <w:p>
      <w:pPr>
        <w:pStyle w:val="Normal"/>
        <w:spacing w:before="60" w:after="60"/>
        <w:rPr>
          <w:rFonts w:ascii="Titillium" w:hAnsi="Titillium"/>
          <w:strike/>
          <w:sz w:val="18"/>
          <w:szCs w:val="18"/>
        </w:rPr>
      </w:pPr>
      <w:r>
        <w:rPr>
          <w:rFonts w:cs="Calibri" w:ascii="Titillium" w:hAnsi="Titillium"/>
          <w:sz w:val="18"/>
          <w:szCs w:val="18"/>
        </w:rPr>
        <w:t xml:space="preserve">È collocato primo in graduatoria il concorrente che ha presentato la migliore offerta. Ove permanga </w:t>
      </w:r>
      <w:r>
        <w:rPr>
          <w:rFonts w:cs="Calibri" w:ascii="Titillium" w:hAnsi="Titillium"/>
          <w:i/>
          <w:iCs/>
          <w:sz w:val="18"/>
          <w:szCs w:val="18"/>
        </w:rPr>
        <w:t>l’ex aequo</w:t>
      </w:r>
      <w:r>
        <w:rPr>
          <w:rFonts w:cs="Calibri" w:ascii="Titillium" w:hAnsi="Titillium"/>
          <w:sz w:val="18"/>
          <w:szCs w:val="18"/>
        </w:rPr>
        <w:t xml:space="preserve"> la commissione procede mediante sorteggio </w:t>
      </w:r>
      <w:r>
        <w:rPr>
          <w:rFonts w:ascii="Titillium" w:hAnsi="Titillium"/>
          <w:sz w:val="18"/>
          <w:szCs w:val="18"/>
        </w:rPr>
        <w:t>ad individuare il concorrente che verrà collocato primo nella graduatoria.</w:t>
      </w:r>
    </w:p>
    <w:p>
      <w:pPr>
        <w:pStyle w:val="Normal"/>
        <w:spacing w:before="60" w:after="60"/>
        <w:rPr>
          <w:rFonts w:ascii="Titillium" w:hAnsi="Titillium"/>
          <w:sz w:val="18"/>
          <w:szCs w:val="18"/>
        </w:rPr>
      </w:pPr>
      <w:r>
        <w:rPr>
          <w:rFonts w:ascii="Titillium" w:hAnsi="Titillium"/>
          <w:sz w:val="18"/>
          <w:szCs w:val="18"/>
        </w:rPr>
        <w:t>La data e l’ora in cui si procede al sorteggio sono comunicate tramite la PAD secondo le modalità previste al paragrafo 2.3.</w:t>
      </w:r>
    </w:p>
    <w:p>
      <w:pPr>
        <w:pStyle w:val="Normal"/>
        <w:spacing w:before="60" w:after="60"/>
        <w:rPr>
          <w:rFonts w:ascii="Titillium" w:hAnsi="Titillium" w:cs="Calibri"/>
          <w:sz w:val="18"/>
          <w:szCs w:val="18"/>
        </w:rPr>
      </w:pPr>
      <w:r>
        <w:rPr>
          <w:rFonts w:cs="Calibri" w:ascii="Titillium" w:hAnsi="Titillium"/>
          <w:sz w:val="18"/>
          <w:szCs w:val="18"/>
        </w:rPr>
        <w:t>La commissione giudicatrice rende visibile ai concorrenti i prezzi offerti.</w:t>
      </w:r>
    </w:p>
    <w:p>
      <w:pPr>
        <w:pStyle w:val="Normal"/>
        <w:spacing w:before="60" w:after="60"/>
        <w:rPr/>
      </w:pPr>
      <w:r>
        <w:rPr>
          <w:rFonts w:cs="Calibri" w:ascii="Titillium" w:hAnsi="Titillium"/>
          <w:sz w:val="18"/>
          <w:szCs w:val="18"/>
        </w:rPr>
        <w:t>All’esito delle operazioni di cui sopra, La commissione giudicatrice redige la graduatoria.</w:t>
      </w:r>
    </w:p>
    <w:p>
      <w:pPr>
        <w:pStyle w:val="Normal"/>
        <w:spacing w:before="60" w:after="60"/>
        <w:rPr/>
      </w:pPr>
      <w:r>
        <w:rPr>
          <w:rFonts w:cs="Calibri" w:ascii="Titillium" w:hAnsi="Titillium"/>
          <w:sz w:val="18"/>
          <w:szCs w:val="18"/>
        </w:rPr>
        <w:t>L’offerta è esclusa in caso di:</w:t>
      </w:r>
    </w:p>
    <w:p>
      <w:pPr>
        <w:pStyle w:val="ListParagraph"/>
        <w:numPr>
          <w:ilvl w:val="0"/>
          <w:numId w:val="46"/>
        </w:numPr>
        <w:spacing w:before="60" w:after="60"/>
        <w:ind w:hanging="360" w:left="426"/>
        <w:contextualSpacing w:val="false"/>
        <w:rPr>
          <w:rFonts w:ascii="Titillium" w:hAnsi="Titillium" w:cs="Calibri"/>
          <w:sz w:val="18"/>
          <w:szCs w:val="18"/>
        </w:rPr>
      </w:pPr>
      <w:r>
        <w:rPr>
          <w:rFonts w:cs="Calibri" w:ascii="Titillium" w:hAnsi="Titillium"/>
          <w:sz w:val="18"/>
          <w:szCs w:val="18"/>
        </w:rPr>
        <w:t>mancata separazione dell’offerta economica dall’offerta tecnica, ovvero inserimento di elementi concernenti il prezzo nella documentazione amministrativa o nell’offerta tecnica;</w:t>
      </w:r>
    </w:p>
    <w:p>
      <w:pPr>
        <w:pStyle w:val="ListParagraph"/>
        <w:numPr>
          <w:ilvl w:val="0"/>
          <w:numId w:val="47"/>
        </w:numPr>
        <w:spacing w:before="60" w:after="60"/>
        <w:ind w:hanging="360" w:left="426"/>
        <w:contextualSpacing w:val="false"/>
        <w:rPr/>
      </w:pPr>
      <w:r>
        <w:rPr>
          <w:rFonts w:cs="Calibri" w:ascii="Titillium" w:hAnsi="Titillium"/>
          <w:sz w:val="18"/>
          <w:szCs w:val="18"/>
        </w:rPr>
        <w:t>presentazione di</w:t>
      </w:r>
      <w:r>
        <w:rPr>
          <w:rFonts w:cs="Calibri" w:ascii="Titillium" w:hAnsi="Titillium"/>
          <w:b/>
          <w:sz w:val="18"/>
          <w:szCs w:val="18"/>
        </w:rPr>
        <w:t xml:space="preserve"> </w:t>
      </w:r>
      <w:r>
        <w:rPr>
          <w:rFonts w:cs="Calibri" w:ascii="Titillium" w:hAnsi="Titillium"/>
          <w:sz w:val="18"/>
          <w:szCs w:val="18"/>
        </w:rPr>
        <w:t>offerte parziali, plurime, condizionate, alternative oppure irregolari in quanto non rispettano i documenti di gara, ivi comprese le specifiche tecniche, o anormalmente basse;</w:t>
      </w:r>
    </w:p>
    <w:p>
      <w:pPr>
        <w:pStyle w:val="ListParagraph"/>
        <w:numPr>
          <w:ilvl w:val="0"/>
          <w:numId w:val="48"/>
        </w:numPr>
        <w:spacing w:before="60" w:after="60"/>
        <w:ind w:hanging="360" w:left="426"/>
        <w:contextualSpacing w:val="false"/>
        <w:rPr>
          <w:rFonts w:ascii="Titillium" w:hAnsi="Titillium" w:cs="Calibri"/>
          <w:sz w:val="18"/>
          <w:szCs w:val="18"/>
        </w:rPr>
      </w:pPr>
      <w:r>
        <w:rPr>
          <w:rFonts w:cs="Calibri" w:ascii="Titillium" w:hAnsi="Titillium"/>
          <w:sz w:val="18"/>
          <w:szCs w:val="18"/>
        </w:rPr>
        <w:t xml:space="preserve">presentazione di offerte inammissibili in quanto la commissione giudicatrice ha ritenuto sussistenti gli estremi per </w:t>
      </w:r>
      <w:r>
        <w:rPr>
          <w:rFonts w:cs="Calibri" w:ascii="Titillium" w:hAnsi="Titillium"/>
          <w:sz w:val="18"/>
          <w:szCs w:val="18"/>
          <w:shd w:fill="FFFFFF" w:val="clear"/>
        </w:rPr>
        <w:t>l’informativa alla Procura della Repubblica per reati di corruzione o fenomeni collusivi o ha verificato essere in aumento rispetto all’importo a base di gara nei casi in cui il bando che non abbia previsto espressamente tale possibilità.</w:t>
      </w:r>
    </w:p>
    <w:p>
      <w:pPr>
        <w:pStyle w:val="ListParagraph"/>
        <w:numPr>
          <w:ilvl w:val="0"/>
          <w:numId w:val="49"/>
        </w:numPr>
        <w:spacing w:before="60" w:after="60"/>
        <w:ind w:hanging="360" w:left="426"/>
        <w:contextualSpacing w:val="false"/>
        <w:rPr>
          <w:shd w:fill="FFFFFF" w:val="clear"/>
        </w:rPr>
      </w:pPr>
      <w:r>
        <w:rPr>
          <w:rFonts w:cs="Calibri" w:ascii="Titillium" w:hAnsi="Titillium"/>
          <w:sz w:val="18"/>
          <w:szCs w:val="18"/>
          <w:shd w:fill="FFFFFF" w:val="clear"/>
        </w:rPr>
        <w:t xml:space="preserve">mancato superamento della soglia di sbarramento per l’offerta tecnica. </w:t>
      </w:r>
    </w:p>
    <w:p>
      <w:pPr>
        <w:pStyle w:val="Normal"/>
        <w:spacing w:before="60" w:after="60"/>
        <w:ind w:left="66"/>
        <w:rPr/>
      </w:pPr>
      <w:r>
        <w:rPr/>
      </w:r>
    </w:p>
    <w:p>
      <w:pPr>
        <w:pStyle w:val="Heading2"/>
        <w:numPr>
          <w:ilvl w:val="0"/>
          <w:numId w:val="3"/>
        </w:numPr>
        <w:rPr/>
      </w:pPr>
      <w:bookmarkStart w:id="1982" w:name="_Toc207275765"/>
      <w:bookmarkStart w:id="1983" w:name="_Toc380501884"/>
      <w:bookmarkStart w:id="1984" w:name="_Toc391035997"/>
      <w:bookmarkStart w:id="1985" w:name="_Toc391036070"/>
      <w:bookmarkStart w:id="1986" w:name="_Toc392577511"/>
      <w:bookmarkStart w:id="1987" w:name="_Toc393110578"/>
      <w:bookmarkStart w:id="1988" w:name="_Toc393112142"/>
      <w:bookmarkStart w:id="1989" w:name="_Toc393187859"/>
      <w:bookmarkStart w:id="1990" w:name="_Toc393272615"/>
      <w:bookmarkStart w:id="1991" w:name="_Toc393272673"/>
      <w:bookmarkStart w:id="1992" w:name="_Toc393283189"/>
      <w:bookmarkStart w:id="1993" w:name="_Toc393700848"/>
      <w:bookmarkStart w:id="1994" w:name="_Toc393706921"/>
      <w:bookmarkStart w:id="1995" w:name="_Toc397346836"/>
      <w:bookmarkStart w:id="1996" w:name="_Toc397422877"/>
      <w:bookmarkStart w:id="1997" w:name="_Toc403471284"/>
      <w:bookmarkStart w:id="1998" w:name="_Toc406058392"/>
      <w:bookmarkStart w:id="1999" w:name="_Toc406754193"/>
      <w:bookmarkStart w:id="2000" w:name="_Toc416423376"/>
      <w:bookmarkStart w:id="2001" w:name="_Toc381776132"/>
      <w:bookmarkStart w:id="2002" w:name="_Toc3539903981"/>
      <w:bookmarkStart w:id="2003" w:name="_Toc483907003"/>
      <w:bookmarkStart w:id="2004" w:name="_Toc484010753"/>
      <w:bookmarkStart w:id="2005" w:name="_Toc484010875"/>
      <w:bookmarkStart w:id="2006" w:name="_Toc484010999"/>
      <w:bookmarkStart w:id="2007" w:name="_Toc484011121"/>
      <w:bookmarkStart w:id="2008" w:name="_Toc484011243"/>
      <w:bookmarkStart w:id="2009" w:name="_Toc484011718"/>
      <w:bookmarkStart w:id="2010" w:name="_Toc484097792"/>
      <w:bookmarkStart w:id="2011" w:name="_Toc484428966"/>
      <w:bookmarkStart w:id="2012" w:name="_Toc484429136"/>
      <w:bookmarkStart w:id="2013" w:name="_Toc484438711"/>
      <w:bookmarkStart w:id="2014" w:name="_Toc484438835"/>
      <w:bookmarkStart w:id="2015" w:name="_Toc484438959"/>
      <w:bookmarkStart w:id="2016" w:name="_Toc484439879"/>
      <w:bookmarkStart w:id="2017" w:name="_Toc484440002"/>
      <w:bookmarkStart w:id="2018" w:name="_Toc484440126"/>
      <w:bookmarkStart w:id="2019" w:name="_Toc484440486"/>
      <w:bookmarkStart w:id="2020" w:name="_Toc484448146"/>
      <w:bookmarkStart w:id="2021" w:name="_Toc484448270"/>
      <w:bookmarkStart w:id="2022" w:name="_Toc484448394"/>
      <w:bookmarkStart w:id="2023" w:name="_Toc484448518"/>
      <w:bookmarkStart w:id="2024" w:name="_Toc484448642"/>
      <w:bookmarkStart w:id="2025" w:name="_Toc484448766"/>
      <w:bookmarkStart w:id="2026" w:name="_Toc484448889"/>
      <w:bookmarkStart w:id="2027" w:name="_Toc484449013"/>
      <w:bookmarkStart w:id="2028" w:name="_Toc484449137"/>
      <w:bookmarkStart w:id="2029" w:name="_Toc484526632"/>
      <w:bookmarkStart w:id="2030" w:name="_Toc484605352"/>
      <w:bookmarkStart w:id="2031" w:name="_Toc484605476"/>
      <w:bookmarkStart w:id="2032" w:name="_Toc484688345"/>
      <w:bookmarkStart w:id="2033" w:name="_Toc484688900"/>
      <w:bookmarkStart w:id="2034" w:name="_Toc485218335"/>
      <w:bookmarkStart w:id="2035" w:name="_Toc381775856"/>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r>
        <w:rPr/>
        <w:t>VERIFICA DI ANOMALIA DELLE OFFERTE</w:t>
      </w:r>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p>
    <w:p>
      <w:pPr>
        <w:pStyle w:val="Normal"/>
        <w:spacing w:before="60" w:after="60"/>
        <w:rPr>
          <w:rFonts w:ascii="Titillium" w:hAnsi="Titillium" w:cs="Calibri"/>
          <w:sz w:val="18"/>
          <w:szCs w:val="18"/>
        </w:rPr>
      </w:pPr>
      <w:r>
        <w:rPr>
          <w:rFonts w:cs="Calibri" w:ascii="Titillium" w:hAnsi="Titillium"/>
          <w:sz w:val="18"/>
          <w:szCs w:val="18"/>
        </w:rPr>
        <w:t>La stazione appaltante sottoporrà a verifica l’offerta più bassa.</w:t>
      </w:r>
    </w:p>
    <w:p>
      <w:pPr>
        <w:pStyle w:val="Normal"/>
        <w:spacing w:before="60" w:after="60"/>
        <w:rPr>
          <w:rFonts w:ascii="Titillium" w:hAnsi="Titillium" w:cs="Calibri"/>
          <w:sz w:val="18"/>
          <w:szCs w:val="18"/>
        </w:rPr>
      </w:pPr>
      <w:r>
        <w:rPr>
          <w:rFonts w:cs="Calibri" w:ascii="Titillium" w:hAnsi="Titillium"/>
          <w:sz w:val="18"/>
          <w:szCs w:val="18"/>
        </w:rPr>
        <w:t>Nel caso in cui la prima migliore offerta appaia anormalmente bassa, il RUPA ne valuta la congruità, serietà, sostenibilità e realizzabilità.</w:t>
      </w:r>
    </w:p>
    <w:p>
      <w:pPr>
        <w:pStyle w:val="Normal"/>
        <w:spacing w:before="60" w:after="60"/>
        <w:rPr>
          <w:rFonts w:ascii="Titillium" w:hAnsi="Titillium" w:cs="Calibri"/>
          <w:sz w:val="18"/>
          <w:szCs w:val="18"/>
        </w:rPr>
      </w:pPr>
      <w:r>
        <w:rPr>
          <w:rFonts w:cs="Calibri" w:ascii="Titillium" w:hAnsi="Titillium"/>
          <w:sz w:val="18"/>
          <w:szCs w:val="18"/>
        </w:rPr>
        <w:t xml:space="preserve">Qualora tale offerta risulti anomala, si procede con le stesse modalità nei confronti delle successive offerte ritenute anormalmente basse, fino ad individuare la migliore offerta ritenuta non anomala. </w:t>
      </w:r>
    </w:p>
    <w:p>
      <w:pPr>
        <w:pStyle w:val="Normal"/>
        <w:spacing w:before="60" w:after="60"/>
        <w:rPr>
          <w:rFonts w:ascii="Titillium" w:hAnsi="Titillium" w:cs="Calibri"/>
          <w:sz w:val="18"/>
          <w:szCs w:val="18"/>
        </w:rPr>
      </w:pPr>
      <w:r>
        <w:rPr>
          <w:rFonts w:cs="Calibri" w:ascii="Titillium" w:hAnsi="Titillium"/>
          <w:sz w:val="18"/>
          <w:szCs w:val="18"/>
        </w:rPr>
        <w:t xml:space="preserve">Il concorrente allega, in sede di presentazione dell’offerta economica, le giustificazioni relative alle voci di prezzo e di costo. La mancata presentazione anticipata delle giustificazioni non è causa di esclusione. </w:t>
      </w:r>
    </w:p>
    <w:p>
      <w:pPr>
        <w:pStyle w:val="Normal"/>
        <w:spacing w:before="60" w:after="60"/>
        <w:rPr>
          <w:rFonts w:ascii="Titillium" w:hAnsi="Titillium" w:cs="Calibri"/>
          <w:sz w:val="18"/>
          <w:szCs w:val="18"/>
        </w:rPr>
      </w:pPr>
      <w:r>
        <w:rPr>
          <w:rFonts w:cs="Calibri" w:ascii="Titillium" w:hAnsi="Titillium"/>
          <w:sz w:val="18"/>
          <w:szCs w:val="18"/>
        </w:rPr>
        <w:t>Il RUPA, esaminate le spiegazioni fornite dall’offerente, ove le ritenga non sufficienti ad escludere l’anomalia, può chiedere, anche mediante audizione orale, ulteriori chiarimenti, assegnando un termine perentorio per il riscontro.</w:t>
      </w:r>
    </w:p>
    <w:p>
      <w:pPr>
        <w:pStyle w:val="Normal"/>
        <w:spacing w:before="60" w:after="60"/>
        <w:rPr>
          <w:rFonts w:ascii="Titillium" w:hAnsi="Titillium" w:cs="Calibri"/>
          <w:sz w:val="18"/>
          <w:szCs w:val="18"/>
        </w:rPr>
      </w:pPr>
      <w:r>
        <w:rPr>
          <w:rFonts w:cs="Calibri" w:ascii="Titillium" w:hAnsi="Titillium"/>
          <w:sz w:val="18"/>
          <w:szCs w:val="18"/>
        </w:rPr>
        <w:t>Il RUPA esclude le offerte che, in base all’esame degli elementi forniti con le spiegazioni risultino, nel complesso, inaffidabili.</w:t>
      </w:r>
    </w:p>
    <w:p>
      <w:pPr>
        <w:pStyle w:val="ListParagraph"/>
        <w:ind w:left="0"/>
        <w:rPr>
          <w:rFonts w:ascii="Titillium" w:hAnsi="Titillium" w:eastAsia="SimSun"/>
          <w:sz w:val="18"/>
          <w:szCs w:val="18"/>
        </w:rPr>
      </w:pPr>
      <w:r>
        <w:rPr>
          <w:rFonts w:eastAsia="SimSun" w:ascii="Titillium" w:hAnsi="Titillium"/>
          <w:sz w:val="18"/>
          <w:szCs w:val="18"/>
        </w:rPr>
      </w:r>
    </w:p>
    <w:p>
      <w:pPr>
        <w:pStyle w:val="Heading2"/>
        <w:numPr>
          <w:ilvl w:val="0"/>
          <w:numId w:val="3"/>
        </w:numPr>
        <w:rPr/>
      </w:pPr>
      <w:bookmarkStart w:id="2036" w:name="_Toc207275767"/>
      <w:bookmarkStart w:id="2037" w:name="_Ref498613645"/>
      <w:bookmarkStart w:id="2038" w:name="_Toc484688913"/>
      <w:bookmarkStart w:id="2039" w:name="_Toc485218348"/>
      <w:bookmarkStart w:id="2040" w:name="_Toc482025756"/>
      <w:bookmarkStart w:id="2041" w:name="_Toc482097580"/>
      <w:bookmarkStart w:id="2042" w:name="_Toc482097669"/>
      <w:bookmarkStart w:id="2043" w:name="_Toc482097758"/>
      <w:bookmarkStart w:id="2044" w:name="_Toc482097950"/>
      <w:bookmarkStart w:id="2045" w:name="_Toc482099052"/>
      <w:bookmarkStart w:id="2046" w:name="_Toc482100769"/>
      <w:bookmarkStart w:id="2047" w:name="_Toc482100926"/>
      <w:bookmarkStart w:id="2048" w:name="_Toc482101352"/>
      <w:bookmarkStart w:id="2049" w:name="_Toc482101489"/>
      <w:bookmarkStart w:id="2050" w:name="_Toc482101604"/>
      <w:bookmarkStart w:id="2051" w:name="_Toc482101779"/>
      <w:bookmarkStart w:id="2052" w:name="_Toc482101872"/>
      <w:bookmarkStart w:id="2053" w:name="_Toc482101967"/>
      <w:bookmarkStart w:id="2054" w:name="_Toc482102062"/>
      <w:bookmarkStart w:id="2055" w:name="_Toc482102156"/>
      <w:bookmarkStart w:id="2056" w:name="_Toc482352020"/>
      <w:bookmarkStart w:id="2057" w:name="_Toc482352110"/>
      <w:bookmarkStart w:id="2058" w:name="_Toc482352200"/>
      <w:bookmarkStart w:id="2059" w:name="_Toc482352290"/>
      <w:bookmarkStart w:id="2060" w:name="_Toc482633131"/>
      <w:bookmarkStart w:id="2061" w:name="_Toc482641308"/>
      <w:bookmarkStart w:id="2062" w:name="_Toc482712754"/>
      <w:bookmarkStart w:id="2063" w:name="_Toc482959542"/>
      <w:bookmarkStart w:id="2064" w:name="_Toc482959652"/>
      <w:bookmarkStart w:id="2065" w:name="_Toc482959762"/>
      <w:bookmarkStart w:id="2066" w:name="_Toc482978881"/>
      <w:bookmarkStart w:id="2067" w:name="_Toc482978990"/>
      <w:bookmarkStart w:id="2068" w:name="_Toc482979098"/>
      <w:bookmarkStart w:id="2069" w:name="_Toc482979209"/>
      <w:bookmarkStart w:id="2070" w:name="_Toc482979318"/>
      <w:bookmarkStart w:id="2071" w:name="_Toc482979427"/>
      <w:bookmarkStart w:id="2072" w:name="_Toc482979535"/>
      <w:bookmarkStart w:id="2073" w:name="_Toc482979633"/>
      <w:bookmarkStart w:id="2074" w:name="_Toc482979731"/>
      <w:bookmarkStart w:id="2075" w:name="_Toc483233691"/>
      <w:bookmarkStart w:id="2076" w:name="_Toc483302408"/>
      <w:bookmarkStart w:id="2077" w:name="_Toc483316029"/>
      <w:bookmarkStart w:id="2078" w:name="_Toc483316234"/>
      <w:bookmarkStart w:id="2079" w:name="_Toc483316366"/>
      <w:bookmarkStart w:id="2080" w:name="_Toc483316497"/>
      <w:bookmarkStart w:id="2081" w:name="_Toc483325800"/>
      <w:bookmarkStart w:id="2082" w:name="_Toc483401278"/>
      <w:bookmarkStart w:id="2083" w:name="_Toc483474074"/>
      <w:bookmarkStart w:id="2084" w:name="_Toc483571505"/>
      <w:bookmarkStart w:id="2085" w:name="_Toc483571627"/>
      <w:bookmarkStart w:id="2086" w:name="_Toc483907005"/>
      <w:bookmarkStart w:id="2087" w:name="_Toc484010755"/>
      <w:bookmarkStart w:id="2088" w:name="_Toc484010877"/>
      <w:bookmarkStart w:id="2089" w:name="_Toc484011001"/>
      <w:bookmarkStart w:id="2090" w:name="_Toc484011123"/>
      <w:bookmarkStart w:id="2091" w:name="_Toc484011245"/>
      <w:bookmarkStart w:id="2092" w:name="_Toc484011720"/>
      <w:bookmarkStart w:id="2093" w:name="_Toc484097794"/>
      <w:bookmarkStart w:id="2094" w:name="_Toc484428968"/>
      <w:bookmarkStart w:id="2095" w:name="_Toc484429138"/>
      <w:bookmarkStart w:id="2096" w:name="_Toc484438713"/>
      <w:bookmarkStart w:id="2097" w:name="_Toc484438837"/>
      <w:bookmarkStart w:id="2098" w:name="_Toc484438961"/>
      <w:bookmarkStart w:id="2099" w:name="_Toc484439881"/>
      <w:bookmarkStart w:id="2100" w:name="_Toc484440004"/>
      <w:bookmarkStart w:id="2101" w:name="_Toc484440128"/>
      <w:bookmarkStart w:id="2102" w:name="_Toc484440488"/>
      <w:bookmarkStart w:id="2103" w:name="_Toc484448148"/>
      <w:bookmarkStart w:id="2104" w:name="_Toc484448272"/>
      <w:bookmarkStart w:id="2105" w:name="_Toc484448396"/>
      <w:bookmarkStart w:id="2106" w:name="_Toc484448520"/>
      <w:bookmarkStart w:id="2107" w:name="_Toc484448644"/>
      <w:bookmarkStart w:id="2108" w:name="_Toc484448768"/>
      <w:bookmarkStart w:id="2109" w:name="_Toc484448891"/>
      <w:bookmarkStart w:id="2110" w:name="_Toc484449015"/>
      <w:bookmarkStart w:id="2111" w:name="_Toc484449139"/>
      <w:bookmarkStart w:id="2112" w:name="_Toc484526634"/>
      <w:bookmarkStart w:id="2113" w:name="_Toc484605354"/>
      <w:bookmarkStart w:id="2114" w:name="_Toc484605478"/>
      <w:bookmarkStart w:id="2115" w:name="_Toc484688347"/>
      <w:bookmarkStart w:id="2116" w:name="_Toc484688902"/>
      <w:bookmarkStart w:id="2117" w:name="_Toc485218337"/>
      <w:bookmarkStart w:id="2118" w:name="_Toc482025757"/>
      <w:bookmarkStart w:id="2119" w:name="_Toc482097581"/>
      <w:bookmarkStart w:id="2120" w:name="_Toc482097670"/>
      <w:bookmarkStart w:id="2121" w:name="_Toc482097759"/>
      <w:bookmarkStart w:id="2122" w:name="_Toc482097951"/>
      <w:bookmarkStart w:id="2123" w:name="_Toc482099053"/>
      <w:bookmarkStart w:id="2124" w:name="_Toc482100770"/>
      <w:bookmarkStart w:id="2125" w:name="_Toc482100927"/>
      <w:bookmarkStart w:id="2126" w:name="_Toc482101353"/>
      <w:bookmarkStart w:id="2127" w:name="_Toc482101490"/>
      <w:bookmarkStart w:id="2128" w:name="_Toc482101605"/>
      <w:bookmarkStart w:id="2129" w:name="_Toc482101780"/>
      <w:bookmarkStart w:id="2130" w:name="_Toc482101873"/>
      <w:bookmarkStart w:id="2131" w:name="_Toc482101968"/>
      <w:bookmarkStart w:id="2132" w:name="_Toc482102063"/>
      <w:bookmarkStart w:id="2133" w:name="_Toc482102157"/>
      <w:bookmarkStart w:id="2134" w:name="_Toc482352021"/>
      <w:bookmarkStart w:id="2135" w:name="_Toc482352111"/>
      <w:bookmarkStart w:id="2136" w:name="_Toc482352201"/>
      <w:bookmarkStart w:id="2137" w:name="_Toc482352291"/>
      <w:bookmarkStart w:id="2138" w:name="_Toc482633132"/>
      <w:bookmarkStart w:id="2139" w:name="_Toc482641309"/>
      <w:bookmarkStart w:id="2140" w:name="_Toc482712755"/>
      <w:bookmarkStart w:id="2141" w:name="_Toc482959543"/>
      <w:bookmarkStart w:id="2142" w:name="_Toc482959653"/>
      <w:bookmarkStart w:id="2143" w:name="_Toc482959763"/>
      <w:bookmarkStart w:id="2144" w:name="_Toc482978882"/>
      <w:bookmarkStart w:id="2145" w:name="_Toc482978991"/>
      <w:bookmarkStart w:id="2146" w:name="_Toc482979099"/>
      <w:bookmarkStart w:id="2147" w:name="_Toc482979210"/>
      <w:bookmarkStart w:id="2148" w:name="_Toc482979319"/>
      <w:bookmarkStart w:id="2149" w:name="_Toc482979428"/>
      <w:bookmarkStart w:id="2150" w:name="_Toc482979536"/>
      <w:bookmarkStart w:id="2151" w:name="_Toc482979634"/>
      <w:bookmarkStart w:id="2152" w:name="_Toc482979732"/>
      <w:bookmarkStart w:id="2153" w:name="_Toc483233692"/>
      <w:bookmarkStart w:id="2154" w:name="_Toc483302409"/>
      <w:bookmarkStart w:id="2155" w:name="_Toc483316030"/>
      <w:bookmarkStart w:id="2156" w:name="_Toc483316235"/>
      <w:bookmarkStart w:id="2157" w:name="_Toc483316367"/>
      <w:bookmarkStart w:id="2158" w:name="_Toc483316498"/>
      <w:bookmarkStart w:id="2159" w:name="_Toc483325801"/>
      <w:bookmarkStart w:id="2160" w:name="_Toc483401279"/>
      <w:bookmarkStart w:id="2161" w:name="_Toc483474075"/>
      <w:bookmarkStart w:id="2162" w:name="_Toc483571506"/>
      <w:bookmarkStart w:id="2163" w:name="_Toc483571628"/>
      <w:bookmarkStart w:id="2164" w:name="_Toc483907006"/>
      <w:bookmarkStart w:id="2165" w:name="_Toc484010756"/>
      <w:bookmarkStart w:id="2166" w:name="_Toc484010878"/>
      <w:bookmarkStart w:id="2167" w:name="_Toc484011002"/>
      <w:bookmarkStart w:id="2168" w:name="_Toc484011124"/>
      <w:bookmarkStart w:id="2169" w:name="_Toc484011246"/>
      <w:bookmarkStart w:id="2170" w:name="_Toc484011721"/>
      <w:bookmarkStart w:id="2171" w:name="_Toc484097795"/>
      <w:bookmarkStart w:id="2172" w:name="_Toc484428969"/>
      <w:bookmarkStart w:id="2173" w:name="_Toc484429139"/>
      <w:bookmarkStart w:id="2174" w:name="_Toc484438714"/>
      <w:bookmarkStart w:id="2175" w:name="_Toc484438838"/>
      <w:bookmarkStart w:id="2176" w:name="_Toc484438962"/>
      <w:bookmarkStart w:id="2177" w:name="_Toc484439882"/>
      <w:bookmarkStart w:id="2178" w:name="_Toc484440005"/>
      <w:bookmarkStart w:id="2179" w:name="_Toc484440129"/>
      <w:bookmarkStart w:id="2180" w:name="_Toc484440489"/>
      <w:bookmarkStart w:id="2181" w:name="_Toc484448149"/>
      <w:bookmarkStart w:id="2182" w:name="_Toc484448273"/>
      <w:bookmarkStart w:id="2183" w:name="_Toc484448397"/>
      <w:bookmarkStart w:id="2184" w:name="_Toc484448521"/>
      <w:bookmarkStart w:id="2185" w:name="_Toc484448645"/>
      <w:bookmarkStart w:id="2186" w:name="_Toc484448769"/>
      <w:bookmarkStart w:id="2187" w:name="_Toc484448892"/>
      <w:bookmarkStart w:id="2188" w:name="_Toc484449016"/>
      <w:bookmarkStart w:id="2189" w:name="_Toc484449140"/>
      <w:bookmarkStart w:id="2190" w:name="_Toc484526635"/>
      <w:bookmarkStart w:id="2191" w:name="_Toc484605355"/>
      <w:bookmarkStart w:id="2192" w:name="_Toc484605479"/>
      <w:bookmarkStart w:id="2193" w:name="_Toc484688348"/>
      <w:bookmarkStart w:id="2194" w:name="_Toc484688903"/>
      <w:bookmarkStart w:id="2195" w:name="_Toc485218338"/>
      <w:bookmarkStart w:id="2196" w:name="_Toc482025758"/>
      <w:bookmarkStart w:id="2197" w:name="_Toc482097582"/>
      <w:bookmarkStart w:id="2198" w:name="_Toc482097671"/>
      <w:bookmarkStart w:id="2199" w:name="_Toc482097760"/>
      <w:bookmarkStart w:id="2200" w:name="_Toc482097952"/>
      <w:bookmarkStart w:id="2201" w:name="_Toc482099054"/>
      <w:bookmarkStart w:id="2202" w:name="_Toc482100771"/>
      <w:bookmarkStart w:id="2203" w:name="_Toc482100928"/>
      <w:bookmarkStart w:id="2204" w:name="_Toc482101354"/>
      <w:bookmarkStart w:id="2205" w:name="_Toc482101491"/>
      <w:bookmarkStart w:id="2206" w:name="_Toc482101606"/>
      <w:bookmarkStart w:id="2207" w:name="_Toc482101781"/>
      <w:bookmarkStart w:id="2208" w:name="_Toc482101874"/>
      <w:bookmarkStart w:id="2209" w:name="_Toc482101969"/>
      <w:bookmarkStart w:id="2210" w:name="_Toc482102064"/>
      <w:bookmarkStart w:id="2211" w:name="_Toc482102158"/>
      <w:bookmarkStart w:id="2212" w:name="_Toc482352022"/>
      <w:bookmarkStart w:id="2213" w:name="_Toc482352112"/>
      <w:bookmarkStart w:id="2214" w:name="_Toc482352202"/>
      <w:bookmarkStart w:id="2215" w:name="_Toc482352292"/>
      <w:bookmarkStart w:id="2216" w:name="_Toc482633133"/>
      <w:bookmarkStart w:id="2217" w:name="_Toc482641310"/>
      <w:bookmarkStart w:id="2218" w:name="_Toc482712756"/>
      <w:bookmarkStart w:id="2219" w:name="_Toc482959544"/>
      <w:bookmarkStart w:id="2220" w:name="_Toc482959654"/>
      <w:bookmarkStart w:id="2221" w:name="_Toc482959764"/>
      <w:bookmarkStart w:id="2222" w:name="_Toc482978883"/>
      <w:bookmarkStart w:id="2223" w:name="_Toc482978992"/>
      <w:bookmarkStart w:id="2224" w:name="_Toc482979100"/>
      <w:bookmarkStart w:id="2225" w:name="_Toc482979211"/>
      <w:bookmarkStart w:id="2226" w:name="_Toc482979320"/>
      <w:bookmarkStart w:id="2227" w:name="_Toc482979429"/>
      <w:bookmarkStart w:id="2228" w:name="_Toc482979537"/>
      <w:bookmarkStart w:id="2229" w:name="_Toc482979635"/>
      <w:bookmarkStart w:id="2230" w:name="_Toc482979733"/>
      <w:bookmarkStart w:id="2231" w:name="_Toc483233693"/>
      <w:bookmarkStart w:id="2232" w:name="_Toc483302410"/>
      <w:bookmarkStart w:id="2233" w:name="_Toc483316031"/>
      <w:bookmarkStart w:id="2234" w:name="_Toc483316236"/>
      <w:bookmarkStart w:id="2235" w:name="_Toc483316368"/>
      <w:bookmarkStart w:id="2236" w:name="_Toc483316499"/>
      <w:bookmarkStart w:id="2237" w:name="_Toc483325802"/>
      <w:bookmarkStart w:id="2238" w:name="_Toc483401280"/>
      <w:bookmarkStart w:id="2239" w:name="_Toc483474076"/>
      <w:bookmarkStart w:id="2240" w:name="_Toc483571507"/>
      <w:bookmarkStart w:id="2241" w:name="_Toc483571629"/>
      <w:bookmarkStart w:id="2242" w:name="_Toc483907007"/>
      <w:bookmarkStart w:id="2243" w:name="_Toc484010757"/>
      <w:bookmarkStart w:id="2244" w:name="_Toc484010879"/>
      <w:bookmarkStart w:id="2245" w:name="_Toc484011003"/>
      <w:bookmarkStart w:id="2246" w:name="_Toc484011125"/>
      <w:bookmarkStart w:id="2247" w:name="_Toc484011247"/>
      <w:bookmarkStart w:id="2248" w:name="_Toc484011722"/>
      <w:bookmarkStart w:id="2249" w:name="_Toc484097796"/>
      <w:bookmarkStart w:id="2250" w:name="_Toc484428970"/>
      <w:bookmarkStart w:id="2251" w:name="_Toc484429140"/>
      <w:bookmarkStart w:id="2252" w:name="_Toc484438715"/>
      <w:bookmarkStart w:id="2253" w:name="_Toc484438839"/>
      <w:bookmarkStart w:id="2254" w:name="_Toc484438963"/>
      <w:bookmarkStart w:id="2255" w:name="_Toc484439883"/>
      <w:bookmarkStart w:id="2256" w:name="_Toc484440006"/>
      <w:bookmarkStart w:id="2257" w:name="_Toc484440130"/>
      <w:bookmarkStart w:id="2258" w:name="_Toc484440490"/>
      <w:bookmarkStart w:id="2259" w:name="_Toc484448150"/>
      <w:bookmarkStart w:id="2260" w:name="_Toc484448274"/>
      <w:bookmarkStart w:id="2261" w:name="_Toc484448398"/>
      <w:bookmarkStart w:id="2262" w:name="_Toc484448522"/>
      <w:bookmarkStart w:id="2263" w:name="_Toc484448646"/>
      <w:bookmarkStart w:id="2264" w:name="_Toc484448770"/>
      <w:bookmarkStart w:id="2265" w:name="_Toc484448893"/>
      <w:bookmarkStart w:id="2266" w:name="_Toc484449017"/>
      <w:bookmarkStart w:id="2267" w:name="_Toc484449141"/>
      <w:bookmarkStart w:id="2268" w:name="_Toc484526636"/>
      <w:bookmarkStart w:id="2269" w:name="_Toc484605356"/>
      <w:bookmarkStart w:id="2270" w:name="_Toc484605480"/>
      <w:bookmarkStart w:id="2271" w:name="_Toc484688349"/>
      <w:bookmarkStart w:id="2272" w:name="_Toc484688904"/>
      <w:bookmarkStart w:id="2273" w:name="_Toc485218339"/>
      <w:bookmarkStart w:id="2274" w:name="_Toc482025759"/>
      <w:bookmarkStart w:id="2275" w:name="_Toc482097583"/>
      <w:bookmarkStart w:id="2276" w:name="_Toc482097672"/>
      <w:bookmarkStart w:id="2277" w:name="_Toc482097761"/>
      <w:bookmarkStart w:id="2278" w:name="_Toc482097953"/>
      <w:bookmarkStart w:id="2279" w:name="_Toc482099055"/>
      <w:bookmarkStart w:id="2280" w:name="_Toc482100772"/>
      <w:bookmarkStart w:id="2281" w:name="_Toc482100929"/>
      <w:bookmarkStart w:id="2282" w:name="_Toc482101355"/>
      <w:bookmarkStart w:id="2283" w:name="_Toc482101492"/>
      <w:bookmarkStart w:id="2284" w:name="_Toc482101607"/>
      <w:bookmarkStart w:id="2285" w:name="_Toc482101782"/>
      <w:bookmarkStart w:id="2286" w:name="_Toc482101875"/>
      <w:bookmarkStart w:id="2287" w:name="_Toc482101970"/>
      <w:bookmarkStart w:id="2288" w:name="_Toc482102065"/>
      <w:bookmarkStart w:id="2289" w:name="_Toc482102159"/>
      <w:bookmarkStart w:id="2290" w:name="_Toc482352023"/>
      <w:bookmarkStart w:id="2291" w:name="_Toc482352113"/>
      <w:bookmarkStart w:id="2292" w:name="_Toc482352203"/>
      <w:bookmarkStart w:id="2293" w:name="_Toc482352293"/>
      <w:bookmarkStart w:id="2294" w:name="_Toc482633134"/>
      <w:bookmarkStart w:id="2295" w:name="_Toc482641311"/>
      <w:bookmarkStart w:id="2296" w:name="_Toc482712757"/>
      <w:bookmarkStart w:id="2297" w:name="_Toc482959545"/>
      <w:bookmarkStart w:id="2298" w:name="_Toc482959655"/>
      <w:bookmarkStart w:id="2299" w:name="_Toc482959765"/>
      <w:bookmarkStart w:id="2300" w:name="_Toc482978884"/>
      <w:bookmarkStart w:id="2301" w:name="_Toc482978993"/>
      <w:bookmarkStart w:id="2302" w:name="_Toc482979101"/>
      <w:bookmarkStart w:id="2303" w:name="_Toc482979212"/>
      <w:bookmarkStart w:id="2304" w:name="_Toc482979321"/>
      <w:bookmarkStart w:id="2305" w:name="_Toc482979430"/>
      <w:bookmarkStart w:id="2306" w:name="_Toc482979538"/>
      <w:bookmarkStart w:id="2307" w:name="_Toc482979636"/>
      <w:bookmarkStart w:id="2308" w:name="_Toc482979734"/>
      <w:bookmarkStart w:id="2309" w:name="_Toc483233694"/>
      <w:bookmarkStart w:id="2310" w:name="_Toc483302411"/>
      <w:bookmarkStart w:id="2311" w:name="_Toc483316032"/>
      <w:bookmarkStart w:id="2312" w:name="_Toc483316237"/>
      <w:bookmarkStart w:id="2313" w:name="_Toc483316369"/>
      <w:bookmarkStart w:id="2314" w:name="_Toc483316500"/>
      <w:bookmarkStart w:id="2315" w:name="_Toc483325803"/>
      <w:bookmarkStart w:id="2316" w:name="_Toc483401281"/>
      <w:bookmarkStart w:id="2317" w:name="_Toc483474077"/>
      <w:bookmarkStart w:id="2318" w:name="_Toc483571508"/>
      <w:bookmarkStart w:id="2319" w:name="_Toc483571630"/>
      <w:bookmarkStart w:id="2320" w:name="_Toc483907008"/>
      <w:bookmarkStart w:id="2321" w:name="_Toc484010758"/>
      <w:bookmarkStart w:id="2322" w:name="_Toc484010880"/>
      <w:bookmarkStart w:id="2323" w:name="_Toc484011004"/>
      <w:bookmarkStart w:id="2324" w:name="_Toc484011126"/>
      <w:bookmarkStart w:id="2325" w:name="_Toc484011248"/>
      <w:bookmarkStart w:id="2326" w:name="_Toc484011723"/>
      <w:bookmarkStart w:id="2327" w:name="_Toc484097797"/>
      <w:bookmarkStart w:id="2328" w:name="_Toc484428971"/>
      <w:bookmarkStart w:id="2329" w:name="_Toc484429141"/>
      <w:bookmarkStart w:id="2330" w:name="_Toc484438716"/>
      <w:bookmarkStart w:id="2331" w:name="_Toc484438840"/>
      <w:bookmarkStart w:id="2332" w:name="_Toc484438964"/>
      <w:bookmarkStart w:id="2333" w:name="_Toc484439884"/>
      <w:bookmarkStart w:id="2334" w:name="_Toc484440007"/>
      <w:bookmarkStart w:id="2335" w:name="_Toc484440131"/>
      <w:bookmarkStart w:id="2336" w:name="_Toc484440491"/>
      <w:bookmarkStart w:id="2337" w:name="_Toc484448151"/>
      <w:bookmarkStart w:id="2338" w:name="_Toc484448275"/>
      <w:bookmarkStart w:id="2339" w:name="_Toc484448399"/>
      <w:bookmarkStart w:id="2340" w:name="_Toc484448523"/>
      <w:bookmarkStart w:id="2341" w:name="_Toc484448647"/>
      <w:bookmarkStart w:id="2342" w:name="_Toc484448771"/>
      <w:bookmarkStart w:id="2343" w:name="_Toc484448894"/>
      <w:bookmarkStart w:id="2344" w:name="_Toc484449018"/>
      <w:bookmarkStart w:id="2345" w:name="_Toc484449142"/>
      <w:bookmarkStart w:id="2346" w:name="_Toc484526637"/>
      <w:bookmarkStart w:id="2347" w:name="_Toc484605357"/>
      <w:bookmarkStart w:id="2348" w:name="_Toc484605481"/>
      <w:bookmarkStart w:id="2349" w:name="_Toc484688350"/>
      <w:bookmarkStart w:id="2350" w:name="_Toc484688905"/>
      <w:bookmarkStart w:id="2351" w:name="_Toc485218340"/>
      <w:bookmarkStart w:id="2352" w:name="_Toc482025760"/>
      <w:bookmarkStart w:id="2353" w:name="_Toc482097584"/>
      <w:bookmarkStart w:id="2354" w:name="_Toc482097673"/>
      <w:bookmarkStart w:id="2355" w:name="_Toc482097762"/>
      <w:bookmarkStart w:id="2356" w:name="_Toc482097954"/>
      <w:bookmarkStart w:id="2357" w:name="_Toc482099056"/>
      <w:bookmarkStart w:id="2358" w:name="_Toc482100773"/>
      <w:bookmarkStart w:id="2359" w:name="_Toc482100930"/>
      <w:bookmarkStart w:id="2360" w:name="_Toc482101356"/>
      <w:bookmarkStart w:id="2361" w:name="_Toc482101493"/>
      <w:bookmarkStart w:id="2362" w:name="_Toc482101608"/>
      <w:bookmarkStart w:id="2363" w:name="_Toc482101783"/>
      <w:bookmarkStart w:id="2364" w:name="_Toc482101876"/>
      <w:bookmarkStart w:id="2365" w:name="_Toc482101971"/>
      <w:bookmarkStart w:id="2366" w:name="_Toc482102066"/>
      <w:bookmarkStart w:id="2367" w:name="_Toc482102160"/>
      <w:bookmarkStart w:id="2368" w:name="_Toc482352024"/>
      <w:bookmarkStart w:id="2369" w:name="_Toc482352114"/>
      <w:bookmarkStart w:id="2370" w:name="_Toc482352204"/>
      <w:bookmarkStart w:id="2371" w:name="_Toc482352294"/>
      <w:bookmarkStart w:id="2372" w:name="_Toc482633135"/>
      <w:bookmarkStart w:id="2373" w:name="_Toc482641312"/>
      <w:bookmarkStart w:id="2374" w:name="_Toc482712758"/>
      <w:bookmarkStart w:id="2375" w:name="_Toc482959546"/>
      <w:bookmarkStart w:id="2376" w:name="_Toc482959656"/>
      <w:bookmarkStart w:id="2377" w:name="_Toc482959766"/>
      <w:bookmarkStart w:id="2378" w:name="_Toc482978885"/>
      <w:bookmarkStart w:id="2379" w:name="_Toc482978994"/>
      <w:bookmarkStart w:id="2380" w:name="_Toc482979102"/>
      <w:bookmarkStart w:id="2381" w:name="_Toc482979213"/>
      <w:bookmarkStart w:id="2382" w:name="_Toc482979322"/>
      <w:bookmarkStart w:id="2383" w:name="_Toc482979431"/>
      <w:bookmarkStart w:id="2384" w:name="_Toc482979539"/>
      <w:bookmarkStart w:id="2385" w:name="_Toc482979637"/>
      <w:bookmarkStart w:id="2386" w:name="_Toc482979735"/>
      <w:bookmarkStart w:id="2387" w:name="_Toc483233695"/>
      <w:bookmarkStart w:id="2388" w:name="_Toc483302412"/>
      <w:bookmarkStart w:id="2389" w:name="_Toc483316033"/>
      <w:bookmarkStart w:id="2390" w:name="_Toc483316238"/>
      <w:bookmarkStart w:id="2391" w:name="_Toc483316370"/>
      <w:bookmarkStart w:id="2392" w:name="_Toc483316501"/>
      <w:bookmarkStart w:id="2393" w:name="_Toc483325804"/>
      <w:bookmarkStart w:id="2394" w:name="_Toc483401282"/>
      <w:bookmarkStart w:id="2395" w:name="_Toc483474078"/>
      <w:bookmarkStart w:id="2396" w:name="_Toc483571509"/>
      <w:bookmarkStart w:id="2397" w:name="_Toc483571631"/>
      <w:bookmarkStart w:id="2398" w:name="_Toc483907009"/>
      <w:bookmarkStart w:id="2399" w:name="_Toc484010759"/>
      <w:bookmarkStart w:id="2400" w:name="_Toc484010881"/>
      <w:bookmarkStart w:id="2401" w:name="_Toc484011005"/>
      <w:bookmarkStart w:id="2402" w:name="_Toc484011127"/>
      <w:bookmarkStart w:id="2403" w:name="_Toc484011249"/>
      <w:bookmarkStart w:id="2404" w:name="_Toc484011724"/>
      <w:bookmarkStart w:id="2405" w:name="_Toc484097798"/>
      <w:bookmarkStart w:id="2406" w:name="_Toc484428972"/>
      <w:bookmarkStart w:id="2407" w:name="_Toc484429142"/>
      <w:bookmarkStart w:id="2408" w:name="_Toc484438717"/>
      <w:bookmarkStart w:id="2409" w:name="_Toc484438841"/>
      <w:bookmarkStart w:id="2410" w:name="_Toc484438965"/>
      <w:bookmarkStart w:id="2411" w:name="_Toc484439885"/>
      <w:bookmarkStart w:id="2412" w:name="_Toc484440008"/>
      <w:bookmarkStart w:id="2413" w:name="_Toc484440132"/>
      <w:bookmarkStart w:id="2414" w:name="_Toc484440492"/>
      <w:bookmarkStart w:id="2415" w:name="_Toc484448152"/>
      <w:bookmarkStart w:id="2416" w:name="_Toc484448276"/>
      <w:bookmarkStart w:id="2417" w:name="_Toc484448400"/>
      <w:bookmarkStart w:id="2418" w:name="_Toc484448524"/>
      <w:bookmarkStart w:id="2419" w:name="_Toc484448648"/>
      <w:bookmarkStart w:id="2420" w:name="_Toc484448772"/>
      <w:bookmarkStart w:id="2421" w:name="_Toc484448895"/>
      <w:bookmarkStart w:id="2422" w:name="_Toc484449019"/>
      <w:bookmarkStart w:id="2423" w:name="_Toc484449143"/>
      <w:bookmarkStart w:id="2424" w:name="_Toc484526638"/>
      <w:bookmarkStart w:id="2425" w:name="_Toc484605358"/>
      <w:bookmarkStart w:id="2426" w:name="_Toc484605482"/>
      <w:bookmarkStart w:id="2427" w:name="_Toc484688351"/>
      <w:bookmarkStart w:id="2428" w:name="_Toc484688906"/>
      <w:bookmarkStart w:id="2429" w:name="_Toc485218341"/>
      <w:bookmarkStart w:id="2430" w:name="_Toc482025761"/>
      <w:bookmarkStart w:id="2431" w:name="_Toc482097585"/>
      <w:bookmarkStart w:id="2432" w:name="_Toc482097674"/>
      <w:bookmarkStart w:id="2433" w:name="_Toc482097763"/>
      <w:bookmarkStart w:id="2434" w:name="_Toc482097955"/>
      <w:bookmarkStart w:id="2435" w:name="_Toc482099057"/>
      <w:bookmarkStart w:id="2436" w:name="_Toc482100774"/>
      <w:bookmarkStart w:id="2437" w:name="_Toc482100931"/>
      <w:bookmarkStart w:id="2438" w:name="_Toc482101357"/>
      <w:bookmarkStart w:id="2439" w:name="_Toc482101494"/>
      <w:bookmarkStart w:id="2440" w:name="_Toc482101609"/>
      <w:bookmarkStart w:id="2441" w:name="_Toc482101784"/>
      <w:bookmarkStart w:id="2442" w:name="_Toc482101877"/>
      <w:bookmarkStart w:id="2443" w:name="_Toc482101972"/>
      <w:bookmarkStart w:id="2444" w:name="_Toc482102067"/>
      <w:bookmarkStart w:id="2445" w:name="_Toc482102161"/>
      <w:bookmarkStart w:id="2446" w:name="_Toc482352025"/>
      <w:bookmarkStart w:id="2447" w:name="_Toc482352115"/>
      <w:bookmarkStart w:id="2448" w:name="_Toc482352205"/>
      <w:bookmarkStart w:id="2449" w:name="_Toc482352295"/>
      <w:bookmarkStart w:id="2450" w:name="_Toc482633136"/>
      <w:bookmarkStart w:id="2451" w:name="_Toc482641313"/>
      <w:bookmarkStart w:id="2452" w:name="_Toc482712759"/>
      <w:bookmarkStart w:id="2453" w:name="_Toc482959547"/>
      <w:bookmarkStart w:id="2454" w:name="_Toc482959657"/>
      <w:bookmarkStart w:id="2455" w:name="_Toc482959767"/>
      <w:bookmarkStart w:id="2456" w:name="_Toc482978886"/>
      <w:bookmarkStart w:id="2457" w:name="_Toc482978995"/>
      <w:bookmarkStart w:id="2458" w:name="_Toc482979103"/>
      <w:bookmarkStart w:id="2459" w:name="_Toc482979214"/>
      <w:bookmarkStart w:id="2460" w:name="_Toc482979323"/>
      <w:bookmarkStart w:id="2461" w:name="_Toc482979432"/>
      <w:bookmarkStart w:id="2462" w:name="_Toc482979540"/>
      <w:bookmarkStart w:id="2463" w:name="_Toc482979638"/>
      <w:bookmarkStart w:id="2464" w:name="_Toc482979736"/>
      <w:bookmarkStart w:id="2465" w:name="_Toc483233696"/>
      <w:bookmarkStart w:id="2466" w:name="_Toc483302413"/>
      <w:bookmarkStart w:id="2467" w:name="_Toc483316034"/>
      <w:bookmarkStart w:id="2468" w:name="_Toc483316239"/>
      <w:bookmarkStart w:id="2469" w:name="_Toc483316371"/>
      <w:bookmarkStart w:id="2470" w:name="_Toc483316502"/>
      <w:bookmarkStart w:id="2471" w:name="_Toc483325805"/>
      <w:bookmarkStart w:id="2472" w:name="_Toc483401283"/>
      <w:bookmarkStart w:id="2473" w:name="_Toc483474079"/>
      <w:bookmarkStart w:id="2474" w:name="_Toc483571510"/>
      <w:bookmarkStart w:id="2475" w:name="_Toc483571632"/>
      <w:bookmarkStart w:id="2476" w:name="_Toc483907010"/>
      <w:bookmarkStart w:id="2477" w:name="_Toc484010760"/>
      <w:bookmarkStart w:id="2478" w:name="_Toc484010882"/>
      <w:bookmarkStart w:id="2479" w:name="_Toc484011006"/>
      <w:bookmarkStart w:id="2480" w:name="_Toc484011128"/>
      <w:bookmarkStart w:id="2481" w:name="_Toc484011250"/>
      <w:bookmarkStart w:id="2482" w:name="_Toc484011725"/>
      <w:bookmarkStart w:id="2483" w:name="_Toc484097799"/>
      <w:bookmarkStart w:id="2484" w:name="_Toc484428973"/>
      <w:bookmarkStart w:id="2485" w:name="_Toc484429143"/>
      <w:bookmarkStart w:id="2486" w:name="_Toc484438718"/>
      <w:bookmarkStart w:id="2487" w:name="_Toc484438842"/>
      <w:bookmarkStart w:id="2488" w:name="_Toc484438966"/>
      <w:bookmarkStart w:id="2489" w:name="_Toc484439886"/>
      <w:bookmarkStart w:id="2490" w:name="_Toc484440009"/>
      <w:bookmarkStart w:id="2491" w:name="_Toc484440133"/>
      <w:bookmarkStart w:id="2492" w:name="_Toc484440493"/>
      <w:bookmarkStart w:id="2493" w:name="_Toc484448153"/>
      <w:bookmarkStart w:id="2494" w:name="_Toc484448277"/>
      <w:bookmarkStart w:id="2495" w:name="_Toc484448401"/>
      <w:bookmarkStart w:id="2496" w:name="_Toc484448525"/>
      <w:bookmarkStart w:id="2497" w:name="_Toc484448649"/>
      <w:bookmarkStart w:id="2498" w:name="_Toc484448773"/>
      <w:bookmarkStart w:id="2499" w:name="_Toc484448896"/>
      <w:bookmarkStart w:id="2500" w:name="_Toc484449020"/>
      <w:bookmarkStart w:id="2501" w:name="_Toc484449144"/>
      <w:bookmarkStart w:id="2502" w:name="_Toc484526639"/>
      <w:bookmarkStart w:id="2503" w:name="_Toc484605359"/>
      <w:bookmarkStart w:id="2504" w:name="_Toc484605483"/>
      <w:bookmarkStart w:id="2505" w:name="_Toc484688352"/>
      <w:bookmarkStart w:id="2506" w:name="_Toc484688907"/>
      <w:bookmarkStart w:id="2507" w:name="_Toc485218342"/>
      <w:bookmarkStart w:id="2508" w:name="_Toc482025762"/>
      <w:bookmarkStart w:id="2509" w:name="_Toc482097586"/>
      <w:bookmarkStart w:id="2510" w:name="_Toc482097675"/>
      <w:bookmarkStart w:id="2511" w:name="_Toc482097764"/>
      <w:bookmarkStart w:id="2512" w:name="_Toc482097956"/>
      <w:bookmarkStart w:id="2513" w:name="_Toc482099058"/>
      <w:bookmarkStart w:id="2514" w:name="_Toc482100775"/>
      <w:bookmarkStart w:id="2515" w:name="_Toc482100932"/>
      <w:bookmarkStart w:id="2516" w:name="_Toc482101358"/>
      <w:bookmarkStart w:id="2517" w:name="_Toc482101495"/>
      <w:bookmarkStart w:id="2518" w:name="_Toc482101610"/>
      <w:bookmarkStart w:id="2519" w:name="_Toc482101785"/>
      <w:bookmarkStart w:id="2520" w:name="_Toc482101878"/>
      <w:bookmarkStart w:id="2521" w:name="_Toc482101973"/>
      <w:bookmarkStart w:id="2522" w:name="_Toc482102068"/>
      <w:bookmarkStart w:id="2523" w:name="_Toc482102162"/>
      <w:bookmarkStart w:id="2524" w:name="_Toc482352026"/>
      <w:bookmarkStart w:id="2525" w:name="_Toc482352116"/>
      <w:bookmarkStart w:id="2526" w:name="_Toc482352206"/>
      <w:bookmarkStart w:id="2527" w:name="_Toc482352296"/>
      <w:bookmarkStart w:id="2528" w:name="_Toc482633137"/>
      <w:bookmarkStart w:id="2529" w:name="_Toc482641314"/>
      <w:bookmarkStart w:id="2530" w:name="_Toc482712760"/>
      <w:bookmarkStart w:id="2531" w:name="_Toc482959548"/>
      <w:bookmarkStart w:id="2532" w:name="_Toc482959658"/>
      <w:bookmarkStart w:id="2533" w:name="_Toc482959768"/>
      <w:bookmarkStart w:id="2534" w:name="_Toc482978887"/>
      <w:bookmarkStart w:id="2535" w:name="_Toc482978996"/>
      <w:bookmarkStart w:id="2536" w:name="_Toc482979104"/>
      <w:bookmarkStart w:id="2537" w:name="_Toc482979215"/>
      <w:bookmarkStart w:id="2538" w:name="_Toc482979324"/>
      <w:bookmarkStart w:id="2539" w:name="_Toc482979433"/>
      <w:bookmarkStart w:id="2540" w:name="_Toc482979541"/>
      <w:bookmarkStart w:id="2541" w:name="_Toc482979639"/>
      <w:bookmarkStart w:id="2542" w:name="_Toc482979737"/>
      <w:bookmarkStart w:id="2543" w:name="_Toc483233697"/>
      <w:bookmarkStart w:id="2544" w:name="_Toc483302414"/>
      <w:bookmarkStart w:id="2545" w:name="_Toc483316035"/>
      <w:bookmarkStart w:id="2546" w:name="_Toc483316240"/>
      <w:bookmarkStart w:id="2547" w:name="_Toc483316372"/>
      <w:bookmarkStart w:id="2548" w:name="_Toc483316503"/>
      <w:bookmarkStart w:id="2549" w:name="_Toc483325806"/>
      <w:bookmarkStart w:id="2550" w:name="_Toc483401284"/>
      <w:bookmarkStart w:id="2551" w:name="_Toc483474080"/>
      <w:bookmarkStart w:id="2552" w:name="_Toc483571511"/>
      <w:bookmarkStart w:id="2553" w:name="_Toc483571633"/>
      <w:bookmarkStart w:id="2554" w:name="_Toc483907011"/>
      <w:bookmarkStart w:id="2555" w:name="_Toc484010761"/>
      <w:bookmarkStart w:id="2556" w:name="_Toc484010883"/>
      <w:bookmarkStart w:id="2557" w:name="_Toc484011007"/>
      <w:bookmarkStart w:id="2558" w:name="_Toc484011129"/>
      <w:bookmarkStart w:id="2559" w:name="_Toc484011251"/>
      <w:bookmarkStart w:id="2560" w:name="_Toc484011726"/>
      <w:bookmarkStart w:id="2561" w:name="_Toc484097800"/>
      <w:bookmarkStart w:id="2562" w:name="_Toc484428974"/>
      <w:bookmarkStart w:id="2563" w:name="_Toc484429144"/>
      <w:bookmarkStart w:id="2564" w:name="_Toc484438719"/>
      <w:bookmarkStart w:id="2565" w:name="_Toc484438843"/>
      <w:bookmarkStart w:id="2566" w:name="_Toc484438967"/>
      <w:bookmarkStart w:id="2567" w:name="_Toc484439887"/>
      <w:bookmarkStart w:id="2568" w:name="_Toc484440010"/>
      <w:bookmarkStart w:id="2569" w:name="_Toc484440134"/>
      <w:bookmarkStart w:id="2570" w:name="_Toc484440494"/>
      <w:bookmarkStart w:id="2571" w:name="_Toc484448154"/>
      <w:bookmarkStart w:id="2572" w:name="_Toc484448278"/>
      <w:bookmarkStart w:id="2573" w:name="_Toc484448402"/>
      <w:bookmarkStart w:id="2574" w:name="_Toc484448526"/>
      <w:bookmarkStart w:id="2575" w:name="_Toc484448650"/>
      <w:bookmarkStart w:id="2576" w:name="_Toc484448774"/>
      <w:bookmarkStart w:id="2577" w:name="_Toc484448897"/>
      <w:bookmarkStart w:id="2578" w:name="_Toc484449021"/>
      <w:bookmarkStart w:id="2579" w:name="_Toc484449145"/>
      <w:bookmarkStart w:id="2580" w:name="_Toc484526640"/>
      <w:bookmarkStart w:id="2581" w:name="_Toc484605360"/>
      <w:bookmarkStart w:id="2582" w:name="_Toc484605484"/>
      <w:bookmarkStart w:id="2583" w:name="_Toc484688353"/>
      <w:bookmarkStart w:id="2584" w:name="_Toc484688908"/>
      <w:bookmarkStart w:id="2585" w:name="_Toc485218343"/>
      <w:bookmarkStart w:id="2586" w:name="_Toc482025763"/>
      <w:bookmarkStart w:id="2587" w:name="_Toc482097587"/>
      <w:bookmarkStart w:id="2588" w:name="_Toc482097676"/>
      <w:bookmarkStart w:id="2589" w:name="_Toc482097765"/>
      <w:bookmarkStart w:id="2590" w:name="_Toc482097957"/>
      <w:bookmarkStart w:id="2591" w:name="_Toc482099059"/>
      <w:bookmarkStart w:id="2592" w:name="_Toc482100776"/>
      <w:bookmarkStart w:id="2593" w:name="_Toc482100933"/>
      <w:bookmarkStart w:id="2594" w:name="_Toc482101359"/>
      <w:bookmarkStart w:id="2595" w:name="_Toc482101496"/>
      <w:bookmarkStart w:id="2596" w:name="_Toc482101611"/>
      <w:bookmarkStart w:id="2597" w:name="_Toc482101786"/>
      <w:bookmarkStart w:id="2598" w:name="_Toc482101879"/>
      <w:bookmarkStart w:id="2599" w:name="_Toc482101974"/>
      <w:bookmarkStart w:id="2600" w:name="_Toc482102069"/>
      <w:bookmarkStart w:id="2601" w:name="_Toc482102163"/>
      <w:bookmarkStart w:id="2602" w:name="_Toc482352027"/>
      <w:bookmarkStart w:id="2603" w:name="_Toc482352117"/>
      <w:bookmarkStart w:id="2604" w:name="_Toc482352207"/>
      <w:bookmarkStart w:id="2605" w:name="_Toc482352297"/>
      <w:bookmarkStart w:id="2606" w:name="_Toc482633138"/>
      <w:bookmarkStart w:id="2607" w:name="_Toc482641315"/>
      <w:bookmarkStart w:id="2608" w:name="_Toc482712761"/>
      <w:bookmarkStart w:id="2609" w:name="_Toc482959549"/>
      <w:bookmarkStart w:id="2610" w:name="_Toc482959659"/>
      <w:bookmarkStart w:id="2611" w:name="_Toc482959769"/>
      <w:bookmarkStart w:id="2612" w:name="_Toc482978888"/>
      <w:bookmarkStart w:id="2613" w:name="_Toc482978997"/>
      <w:bookmarkStart w:id="2614" w:name="_Toc482979105"/>
      <w:bookmarkStart w:id="2615" w:name="_Toc482979216"/>
      <w:bookmarkStart w:id="2616" w:name="_Toc482979325"/>
      <w:bookmarkStart w:id="2617" w:name="_Toc482979434"/>
      <w:bookmarkStart w:id="2618" w:name="_Toc482979542"/>
      <w:bookmarkStart w:id="2619" w:name="_Toc482979640"/>
      <w:bookmarkStart w:id="2620" w:name="_Toc482979738"/>
      <w:bookmarkStart w:id="2621" w:name="_Toc483233698"/>
      <w:bookmarkStart w:id="2622" w:name="_Toc483302415"/>
      <w:bookmarkStart w:id="2623" w:name="_Toc483316036"/>
      <w:bookmarkStart w:id="2624" w:name="_Toc483316241"/>
      <w:bookmarkStart w:id="2625" w:name="_Toc483316373"/>
      <w:bookmarkStart w:id="2626" w:name="_Toc483316504"/>
      <w:bookmarkStart w:id="2627" w:name="_Toc483325807"/>
      <w:bookmarkStart w:id="2628" w:name="_Toc483401285"/>
      <w:bookmarkStart w:id="2629" w:name="_Toc483474081"/>
      <w:bookmarkStart w:id="2630" w:name="_Toc483571512"/>
      <w:bookmarkStart w:id="2631" w:name="_Toc483571634"/>
      <w:bookmarkStart w:id="2632" w:name="_Toc483907012"/>
      <w:bookmarkStart w:id="2633" w:name="_Toc484010762"/>
      <w:bookmarkStart w:id="2634" w:name="_Toc484010884"/>
      <w:bookmarkStart w:id="2635" w:name="_Toc484011008"/>
      <w:bookmarkStart w:id="2636" w:name="_Toc484011130"/>
      <w:bookmarkStart w:id="2637" w:name="_Toc484011252"/>
      <w:bookmarkStart w:id="2638" w:name="_Toc484011727"/>
      <w:bookmarkStart w:id="2639" w:name="_Toc484097801"/>
      <w:bookmarkStart w:id="2640" w:name="_Toc484428975"/>
      <w:bookmarkStart w:id="2641" w:name="_Toc484429145"/>
      <w:bookmarkStart w:id="2642" w:name="_Toc484438720"/>
      <w:bookmarkStart w:id="2643" w:name="_Toc484438844"/>
      <w:bookmarkStart w:id="2644" w:name="_Toc484438968"/>
      <w:bookmarkStart w:id="2645" w:name="_Toc484439888"/>
      <w:bookmarkStart w:id="2646" w:name="_Toc484440011"/>
      <w:bookmarkStart w:id="2647" w:name="_Toc484440135"/>
      <w:bookmarkStart w:id="2648" w:name="_Toc484440495"/>
      <w:bookmarkStart w:id="2649" w:name="_Toc484448155"/>
      <w:bookmarkStart w:id="2650" w:name="_Toc484448279"/>
      <w:bookmarkStart w:id="2651" w:name="_Toc484448403"/>
      <w:bookmarkStart w:id="2652" w:name="_Toc484448527"/>
      <w:bookmarkStart w:id="2653" w:name="_Toc484448651"/>
      <w:bookmarkStart w:id="2654" w:name="_Toc484448775"/>
      <w:bookmarkStart w:id="2655" w:name="_Toc484448898"/>
      <w:bookmarkStart w:id="2656" w:name="_Toc484449022"/>
      <w:bookmarkStart w:id="2657" w:name="_Toc484449146"/>
      <w:bookmarkStart w:id="2658" w:name="_Toc484526641"/>
      <w:bookmarkStart w:id="2659" w:name="_Toc484605361"/>
      <w:bookmarkStart w:id="2660" w:name="_Toc484605485"/>
      <w:bookmarkStart w:id="2661" w:name="_Toc484688354"/>
      <w:bookmarkStart w:id="2662" w:name="_Toc484688909"/>
      <w:bookmarkStart w:id="2663" w:name="_Toc485218344"/>
      <w:bookmarkStart w:id="2664" w:name="_Toc482025764"/>
      <w:bookmarkStart w:id="2665" w:name="_Toc482097588"/>
      <w:bookmarkStart w:id="2666" w:name="_Toc482097677"/>
      <w:bookmarkStart w:id="2667" w:name="_Toc482097766"/>
      <w:bookmarkStart w:id="2668" w:name="_Toc482097958"/>
      <w:bookmarkStart w:id="2669" w:name="_Toc482099060"/>
      <w:bookmarkStart w:id="2670" w:name="_Toc482100777"/>
      <w:bookmarkStart w:id="2671" w:name="_Toc482100934"/>
      <w:bookmarkStart w:id="2672" w:name="_Toc482101360"/>
      <w:bookmarkStart w:id="2673" w:name="_Toc482101497"/>
      <w:bookmarkStart w:id="2674" w:name="_Toc482101612"/>
      <w:bookmarkStart w:id="2675" w:name="_Toc482101787"/>
      <w:bookmarkStart w:id="2676" w:name="_Toc482101880"/>
      <w:bookmarkStart w:id="2677" w:name="_Toc482101975"/>
      <w:bookmarkStart w:id="2678" w:name="_Toc482102070"/>
      <w:bookmarkStart w:id="2679" w:name="_Toc482102164"/>
      <w:bookmarkStart w:id="2680" w:name="_Toc482352028"/>
      <w:bookmarkStart w:id="2681" w:name="_Toc482352118"/>
      <w:bookmarkStart w:id="2682" w:name="_Toc482352208"/>
      <w:bookmarkStart w:id="2683" w:name="_Toc482352298"/>
      <w:bookmarkStart w:id="2684" w:name="_Toc482633139"/>
      <w:bookmarkStart w:id="2685" w:name="_Toc482641316"/>
      <w:bookmarkStart w:id="2686" w:name="_Toc482712762"/>
      <w:bookmarkStart w:id="2687" w:name="_Toc482959550"/>
      <w:bookmarkStart w:id="2688" w:name="_Toc482959660"/>
      <w:bookmarkStart w:id="2689" w:name="_Toc482959770"/>
      <w:bookmarkStart w:id="2690" w:name="_Toc482978889"/>
      <w:bookmarkStart w:id="2691" w:name="_Toc482978998"/>
      <w:bookmarkStart w:id="2692" w:name="_Toc482979106"/>
      <w:bookmarkStart w:id="2693" w:name="_Toc482979217"/>
      <w:bookmarkStart w:id="2694" w:name="_Toc482979326"/>
      <w:bookmarkStart w:id="2695" w:name="_Toc482979435"/>
      <w:bookmarkStart w:id="2696" w:name="_Toc482979543"/>
      <w:bookmarkStart w:id="2697" w:name="_Toc482979641"/>
      <w:bookmarkStart w:id="2698" w:name="_Toc482979739"/>
      <w:bookmarkStart w:id="2699" w:name="_Toc483233699"/>
      <w:bookmarkStart w:id="2700" w:name="_Toc483302416"/>
      <w:bookmarkStart w:id="2701" w:name="_Toc483316037"/>
      <w:bookmarkStart w:id="2702" w:name="_Toc483316242"/>
      <w:bookmarkStart w:id="2703" w:name="_Toc483316374"/>
      <w:bookmarkStart w:id="2704" w:name="_Toc483316505"/>
      <w:bookmarkStart w:id="2705" w:name="_Toc483325808"/>
      <w:bookmarkStart w:id="2706" w:name="_Toc483401286"/>
      <w:bookmarkStart w:id="2707" w:name="_Toc483474082"/>
      <w:bookmarkStart w:id="2708" w:name="_Toc483571513"/>
      <w:bookmarkStart w:id="2709" w:name="_Toc483571635"/>
      <w:bookmarkStart w:id="2710" w:name="_Toc483907013"/>
      <w:bookmarkStart w:id="2711" w:name="_Toc484010763"/>
      <w:bookmarkStart w:id="2712" w:name="_Toc484010885"/>
      <w:bookmarkStart w:id="2713" w:name="_Toc484011009"/>
      <w:bookmarkStart w:id="2714" w:name="_Toc484011131"/>
      <w:bookmarkStart w:id="2715" w:name="_Toc484011253"/>
      <w:bookmarkStart w:id="2716" w:name="_Toc484011728"/>
      <w:bookmarkStart w:id="2717" w:name="_Toc484097802"/>
      <w:bookmarkStart w:id="2718" w:name="_Toc484428976"/>
      <w:bookmarkStart w:id="2719" w:name="_Toc484429146"/>
      <w:bookmarkStart w:id="2720" w:name="_Toc484438721"/>
      <w:bookmarkStart w:id="2721" w:name="_Toc484438845"/>
      <w:bookmarkStart w:id="2722" w:name="_Toc484438969"/>
      <w:bookmarkStart w:id="2723" w:name="_Toc484439889"/>
      <w:bookmarkStart w:id="2724" w:name="_Toc484440012"/>
      <w:bookmarkStart w:id="2725" w:name="_Toc484440136"/>
      <w:bookmarkStart w:id="2726" w:name="_Toc484440496"/>
      <w:bookmarkStart w:id="2727" w:name="_Toc484448156"/>
      <w:bookmarkStart w:id="2728" w:name="_Toc484448280"/>
      <w:bookmarkStart w:id="2729" w:name="_Toc484448404"/>
      <w:bookmarkStart w:id="2730" w:name="_Toc484448528"/>
      <w:bookmarkStart w:id="2731" w:name="_Toc484448652"/>
      <w:bookmarkStart w:id="2732" w:name="_Toc484448776"/>
      <w:bookmarkStart w:id="2733" w:name="_Toc484448899"/>
      <w:bookmarkStart w:id="2734" w:name="_Toc484449023"/>
      <w:bookmarkStart w:id="2735" w:name="_Toc484449147"/>
      <w:bookmarkStart w:id="2736" w:name="_Toc484526642"/>
      <w:bookmarkStart w:id="2737" w:name="_Toc484605362"/>
      <w:bookmarkStart w:id="2738" w:name="_Toc484605486"/>
      <w:bookmarkStart w:id="2739" w:name="_Toc484688355"/>
      <w:bookmarkStart w:id="2740" w:name="_Toc484688910"/>
      <w:bookmarkStart w:id="2741" w:name="_Toc485218345"/>
      <w:bookmarkStart w:id="2742" w:name="_Toc482025765"/>
      <w:bookmarkStart w:id="2743" w:name="_Toc482097589"/>
      <w:bookmarkStart w:id="2744" w:name="_Toc482097678"/>
      <w:bookmarkStart w:id="2745" w:name="_Toc482097767"/>
      <w:bookmarkStart w:id="2746" w:name="_Toc482097959"/>
      <w:bookmarkStart w:id="2747" w:name="_Toc482099061"/>
      <w:bookmarkStart w:id="2748" w:name="_Toc482100778"/>
      <w:bookmarkStart w:id="2749" w:name="_Toc482100935"/>
      <w:bookmarkStart w:id="2750" w:name="_Toc482101361"/>
      <w:bookmarkStart w:id="2751" w:name="_Toc482101498"/>
      <w:bookmarkStart w:id="2752" w:name="_Toc482101613"/>
      <w:bookmarkStart w:id="2753" w:name="_Toc482101788"/>
      <w:bookmarkStart w:id="2754" w:name="_Toc482101881"/>
      <w:bookmarkStart w:id="2755" w:name="_Toc482101976"/>
      <w:bookmarkStart w:id="2756" w:name="_Toc482102071"/>
      <w:bookmarkStart w:id="2757" w:name="_Toc482102165"/>
      <w:bookmarkStart w:id="2758" w:name="_Toc482352029"/>
      <w:bookmarkStart w:id="2759" w:name="_Toc482352119"/>
      <w:bookmarkStart w:id="2760" w:name="_Toc482352209"/>
      <w:bookmarkStart w:id="2761" w:name="_Toc482352299"/>
      <w:bookmarkStart w:id="2762" w:name="_Toc482633140"/>
      <w:bookmarkStart w:id="2763" w:name="_Toc482641317"/>
      <w:bookmarkStart w:id="2764" w:name="_Toc482712763"/>
      <w:bookmarkStart w:id="2765" w:name="_Toc482959551"/>
      <w:bookmarkStart w:id="2766" w:name="_Toc482959661"/>
      <w:bookmarkStart w:id="2767" w:name="_Toc482959771"/>
      <w:bookmarkStart w:id="2768" w:name="_Toc482978890"/>
      <w:bookmarkStart w:id="2769" w:name="_Toc482978999"/>
      <w:bookmarkStart w:id="2770" w:name="_Toc482979107"/>
      <w:bookmarkStart w:id="2771" w:name="_Toc482979218"/>
      <w:bookmarkStart w:id="2772" w:name="_Toc482979327"/>
      <w:bookmarkStart w:id="2773" w:name="_Toc482979436"/>
      <w:bookmarkStart w:id="2774" w:name="_Toc482979544"/>
      <w:bookmarkStart w:id="2775" w:name="_Toc482979642"/>
      <w:bookmarkStart w:id="2776" w:name="_Toc482979740"/>
      <w:bookmarkStart w:id="2777" w:name="_Toc483233700"/>
      <w:bookmarkStart w:id="2778" w:name="_Toc483302417"/>
      <w:bookmarkStart w:id="2779" w:name="_Toc483316038"/>
      <w:bookmarkStart w:id="2780" w:name="_Toc483316243"/>
      <w:bookmarkStart w:id="2781" w:name="_Toc483316375"/>
      <w:bookmarkStart w:id="2782" w:name="_Toc483316506"/>
      <w:bookmarkStart w:id="2783" w:name="_Toc483325809"/>
      <w:bookmarkStart w:id="2784" w:name="_Toc483401287"/>
      <w:bookmarkStart w:id="2785" w:name="_Toc483474083"/>
      <w:bookmarkStart w:id="2786" w:name="_Toc483571514"/>
      <w:bookmarkStart w:id="2787" w:name="_Toc483571636"/>
      <w:bookmarkStart w:id="2788" w:name="_Toc483907014"/>
      <w:bookmarkStart w:id="2789" w:name="_Toc484010764"/>
      <w:bookmarkStart w:id="2790" w:name="_Toc484010886"/>
      <w:bookmarkStart w:id="2791" w:name="_Toc484011010"/>
      <w:bookmarkStart w:id="2792" w:name="_Toc484011132"/>
      <w:bookmarkStart w:id="2793" w:name="_Toc484011254"/>
      <w:bookmarkStart w:id="2794" w:name="_Toc484011729"/>
      <w:bookmarkStart w:id="2795" w:name="_Toc484097803"/>
      <w:bookmarkStart w:id="2796" w:name="_Toc484428977"/>
      <w:bookmarkStart w:id="2797" w:name="_Toc484429147"/>
      <w:bookmarkStart w:id="2798" w:name="_Toc484438722"/>
      <w:bookmarkStart w:id="2799" w:name="_Toc484438846"/>
      <w:bookmarkStart w:id="2800" w:name="_Toc484438970"/>
      <w:bookmarkStart w:id="2801" w:name="_Toc484439890"/>
      <w:bookmarkStart w:id="2802" w:name="_Toc484440013"/>
      <w:bookmarkStart w:id="2803" w:name="_Toc484440137"/>
      <w:bookmarkStart w:id="2804" w:name="_Toc484440497"/>
      <w:bookmarkStart w:id="2805" w:name="_Toc484448157"/>
      <w:bookmarkStart w:id="2806" w:name="_Toc484448281"/>
      <w:bookmarkStart w:id="2807" w:name="_Toc484448405"/>
      <w:bookmarkStart w:id="2808" w:name="_Toc484448529"/>
      <w:bookmarkStart w:id="2809" w:name="_Toc484448653"/>
      <w:bookmarkStart w:id="2810" w:name="_Toc484448777"/>
      <w:bookmarkStart w:id="2811" w:name="_Toc484448900"/>
      <w:bookmarkStart w:id="2812" w:name="_Toc484449024"/>
      <w:bookmarkStart w:id="2813" w:name="_Toc484449148"/>
      <w:bookmarkStart w:id="2814" w:name="_Toc484526643"/>
      <w:bookmarkStart w:id="2815" w:name="_Toc484605363"/>
      <w:bookmarkStart w:id="2816" w:name="_Toc484605487"/>
      <w:bookmarkStart w:id="2817" w:name="_Toc484688356"/>
      <w:bookmarkStart w:id="2818" w:name="_Toc484688911"/>
      <w:bookmarkStart w:id="2819" w:name="_Toc485218346"/>
      <w:bookmarkStart w:id="2820" w:name="_Toc482025766"/>
      <w:bookmarkStart w:id="2821" w:name="_Toc482097590"/>
      <w:bookmarkStart w:id="2822" w:name="_Toc482097679"/>
      <w:bookmarkStart w:id="2823" w:name="_Toc482097768"/>
      <w:bookmarkStart w:id="2824" w:name="_Toc482097960"/>
      <w:bookmarkStart w:id="2825" w:name="_Toc482099062"/>
      <w:bookmarkStart w:id="2826" w:name="_Toc482100779"/>
      <w:bookmarkStart w:id="2827" w:name="_Toc482100936"/>
      <w:bookmarkStart w:id="2828" w:name="_Toc482101362"/>
      <w:bookmarkStart w:id="2829" w:name="_Toc482101499"/>
      <w:bookmarkStart w:id="2830" w:name="_Toc482101614"/>
      <w:bookmarkStart w:id="2831" w:name="_Toc482101789"/>
      <w:bookmarkStart w:id="2832" w:name="_Toc482101882"/>
      <w:bookmarkStart w:id="2833" w:name="_Toc482101977"/>
      <w:bookmarkStart w:id="2834" w:name="_Toc482102072"/>
      <w:bookmarkStart w:id="2835" w:name="_Toc482102166"/>
      <w:bookmarkStart w:id="2836" w:name="_Toc482352030"/>
      <w:bookmarkStart w:id="2837" w:name="_Toc482352120"/>
      <w:bookmarkStart w:id="2838" w:name="_Toc482352210"/>
      <w:bookmarkStart w:id="2839" w:name="_Toc482352300"/>
      <w:bookmarkStart w:id="2840" w:name="_Toc482633141"/>
      <w:bookmarkStart w:id="2841" w:name="_Toc482641318"/>
      <w:bookmarkStart w:id="2842" w:name="_Toc482712764"/>
      <w:bookmarkStart w:id="2843" w:name="_Toc482959552"/>
      <w:bookmarkStart w:id="2844" w:name="_Toc482959662"/>
      <w:bookmarkStart w:id="2845" w:name="_Toc482959772"/>
      <w:bookmarkStart w:id="2846" w:name="_Toc482978891"/>
      <w:bookmarkStart w:id="2847" w:name="_Toc482979000"/>
      <w:bookmarkStart w:id="2848" w:name="_Toc482979108"/>
      <w:bookmarkStart w:id="2849" w:name="_Toc482979219"/>
      <w:bookmarkStart w:id="2850" w:name="_Toc482979328"/>
      <w:bookmarkStart w:id="2851" w:name="_Toc482979437"/>
      <w:bookmarkStart w:id="2852" w:name="_Toc482979545"/>
      <w:bookmarkStart w:id="2853" w:name="_Toc482979643"/>
      <w:bookmarkStart w:id="2854" w:name="_Toc482979741"/>
      <w:bookmarkStart w:id="2855" w:name="_Toc483233701"/>
      <w:bookmarkStart w:id="2856" w:name="_Toc483302418"/>
      <w:bookmarkStart w:id="2857" w:name="_Toc483316039"/>
      <w:bookmarkStart w:id="2858" w:name="_Toc483316244"/>
      <w:bookmarkStart w:id="2859" w:name="_Toc483316376"/>
      <w:bookmarkStart w:id="2860" w:name="_Toc483316507"/>
      <w:bookmarkStart w:id="2861" w:name="_Toc483325810"/>
      <w:bookmarkStart w:id="2862" w:name="_Toc483401288"/>
      <w:bookmarkStart w:id="2863" w:name="_Toc483474084"/>
      <w:bookmarkStart w:id="2864" w:name="_Toc483571515"/>
      <w:bookmarkStart w:id="2865" w:name="_Toc483571637"/>
      <w:bookmarkStart w:id="2866" w:name="_Toc483907015"/>
      <w:bookmarkStart w:id="2867" w:name="_Toc484010765"/>
      <w:bookmarkStart w:id="2868" w:name="_Toc484010887"/>
      <w:bookmarkStart w:id="2869" w:name="_Toc484011011"/>
      <w:bookmarkStart w:id="2870" w:name="_Toc484011133"/>
      <w:bookmarkStart w:id="2871" w:name="_Toc484011255"/>
      <w:bookmarkStart w:id="2872" w:name="_Toc484011730"/>
      <w:bookmarkStart w:id="2873" w:name="_Toc484097804"/>
      <w:bookmarkStart w:id="2874" w:name="_Toc484428978"/>
      <w:bookmarkStart w:id="2875" w:name="_Toc484429148"/>
      <w:bookmarkStart w:id="2876" w:name="_Toc484438723"/>
      <w:bookmarkStart w:id="2877" w:name="_Toc484438847"/>
      <w:bookmarkStart w:id="2878" w:name="_Toc484438971"/>
      <w:bookmarkStart w:id="2879" w:name="_Toc484439891"/>
      <w:bookmarkStart w:id="2880" w:name="_Toc484440014"/>
      <w:bookmarkStart w:id="2881" w:name="_Toc484440138"/>
      <w:bookmarkStart w:id="2882" w:name="_Toc484440498"/>
      <w:bookmarkStart w:id="2883" w:name="_Toc484448158"/>
      <w:bookmarkStart w:id="2884" w:name="_Toc484448282"/>
      <w:bookmarkStart w:id="2885" w:name="_Toc484448406"/>
      <w:bookmarkStart w:id="2886" w:name="_Toc484448530"/>
      <w:bookmarkStart w:id="2887" w:name="_Toc484448654"/>
      <w:bookmarkStart w:id="2888" w:name="_Toc484448778"/>
      <w:bookmarkStart w:id="2889" w:name="_Toc484448901"/>
      <w:bookmarkStart w:id="2890" w:name="_Toc484449025"/>
      <w:bookmarkStart w:id="2891" w:name="_Toc484449149"/>
      <w:bookmarkStart w:id="2892" w:name="_Toc484526644"/>
      <w:bookmarkStart w:id="2893" w:name="_Toc484605364"/>
      <w:bookmarkStart w:id="2894" w:name="_Toc484605488"/>
      <w:bookmarkStart w:id="2895" w:name="_Toc484688357"/>
      <w:bookmarkStart w:id="2896" w:name="_Toc484688912"/>
      <w:bookmarkStart w:id="2897" w:name="_Toc485218347"/>
      <w:bookmarkStart w:id="2898" w:name="_Toc482025767"/>
      <w:bookmarkStart w:id="2899" w:name="_Toc482097591"/>
      <w:bookmarkStart w:id="2900" w:name="_Toc482097680"/>
      <w:bookmarkStart w:id="2901" w:name="_Toc482097769"/>
      <w:bookmarkStart w:id="2902" w:name="_Toc482097961"/>
      <w:bookmarkStart w:id="2903" w:name="_Toc482099063"/>
      <w:bookmarkStart w:id="2904" w:name="_Toc482100780"/>
      <w:bookmarkStart w:id="2905" w:name="_Toc482100937"/>
      <w:bookmarkStart w:id="2906" w:name="_Toc482101363"/>
      <w:bookmarkStart w:id="2907" w:name="_Toc482101500"/>
      <w:bookmarkStart w:id="2908" w:name="_Toc482101615"/>
      <w:bookmarkStart w:id="2909" w:name="_Toc482101790"/>
      <w:bookmarkStart w:id="2910" w:name="_Toc482101883"/>
      <w:bookmarkStart w:id="2911" w:name="_Toc482101978"/>
      <w:bookmarkStart w:id="2912" w:name="_Toc482102073"/>
      <w:bookmarkStart w:id="2913" w:name="_Toc482102167"/>
      <w:bookmarkStart w:id="2914" w:name="_Toc482352031"/>
      <w:bookmarkStart w:id="2915" w:name="_Toc482352121"/>
      <w:bookmarkStart w:id="2916" w:name="_Toc482352211"/>
      <w:bookmarkStart w:id="2917" w:name="_Toc482352301"/>
      <w:bookmarkStart w:id="2918" w:name="_Toc482633142"/>
      <w:bookmarkStart w:id="2919" w:name="_Toc482641319"/>
      <w:bookmarkStart w:id="2920" w:name="_Toc482712765"/>
      <w:bookmarkStart w:id="2921" w:name="_Toc482959553"/>
      <w:bookmarkStart w:id="2922" w:name="_Toc482959663"/>
      <w:bookmarkStart w:id="2923" w:name="_Toc482959773"/>
      <w:bookmarkStart w:id="2924" w:name="_Toc482978892"/>
      <w:bookmarkStart w:id="2925" w:name="_Toc482979001"/>
      <w:bookmarkStart w:id="2926" w:name="_Toc482979109"/>
      <w:bookmarkStart w:id="2927" w:name="_Toc482979220"/>
      <w:bookmarkStart w:id="2928" w:name="_Toc482979329"/>
      <w:bookmarkStart w:id="2929" w:name="_Toc482979438"/>
      <w:bookmarkStart w:id="2930" w:name="_Toc482979546"/>
      <w:bookmarkStart w:id="2931" w:name="_Toc482979644"/>
      <w:bookmarkStart w:id="2932" w:name="_Toc482979742"/>
      <w:bookmarkStart w:id="2933" w:name="_Toc483233702"/>
      <w:bookmarkStart w:id="2934" w:name="_Toc483302419"/>
      <w:bookmarkStart w:id="2935" w:name="_Toc483316040"/>
      <w:bookmarkStart w:id="2936" w:name="_Toc483316245"/>
      <w:bookmarkStart w:id="2937" w:name="_Toc483316377"/>
      <w:bookmarkStart w:id="2938" w:name="_Toc483316508"/>
      <w:bookmarkStart w:id="2939" w:name="_Toc483325811"/>
      <w:bookmarkStart w:id="2940" w:name="_Toc483401289"/>
      <w:bookmarkStart w:id="2941" w:name="_Toc483474085"/>
      <w:bookmarkStart w:id="2942" w:name="_Toc483571516"/>
      <w:bookmarkStart w:id="2943" w:name="_Toc483571638"/>
      <w:bookmarkStart w:id="2944" w:name="_Toc483907016"/>
      <w:bookmarkStart w:id="2945" w:name="_Toc484010766"/>
      <w:bookmarkStart w:id="2946" w:name="_Toc484010888"/>
      <w:bookmarkStart w:id="2947" w:name="_Toc484011012"/>
      <w:bookmarkStart w:id="2948" w:name="_Toc484011134"/>
      <w:bookmarkStart w:id="2949" w:name="_Toc484011256"/>
      <w:bookmarkStart w:id="2950" w:name="_Toc484011731"/>
      <w:bookmarkStart w:id="2951" w:name="_Toc484097805"/>
      <w:bookmarkStart w:id="2952" w:name="_Toc484428979"/>
      <w:bookmarkStart w:id="2953" w:name="_Toc484429149"/>
      <w:bookmarkStart w:id="2954" w:name="_Toc484438724"/>
      <w:bookmarkStart w:id="2955" w:name="_Toc484438848"/>
      <w:bookmarkStart w:id="2956" w:name="_Toc484438972"/>
      <w:bookmarkStart w:id="2957" w:name="_Toc484439892"/>
      <w:bookmarkStart w:id="2958" w:name="_Toc484440015"/>
      <w:bookmarkStart w:id="2959" w:name="_Toc484440139"/>
      <w:bookmarkStart w:id="2960" w:name="_Toc484440499"/>
      <w:bookmarkStart w:id="2961" w:name="_Toc484448159"/>
      <w:bookmarkStart w:id="2962" w:name="_Toc484448283"/>
      <w:bookmarkStart w:id="2963" w:name="_Toc484448407"/>
      <w:bookmarkStart w:id="2964" w:name="_Toc484448531"/>
      <w:bookmarkStart w:id="2965" w:name="_Toc484448655"/>
      <w:bookmarkStart w:id="2966" w:name="_Toc484448779"/>
      <w:bookmarkStart w:id="2967" w:name="_Toc484448902"/>
      <w:bookmarkStart w:id="2968" w:name="_Toc484449026"/>
      <w:bookmarkStart w:id="2969" w:name="_Toc484449150"/>
      <w:bookmarkStart w:id="2970" w:name="_Toc484526645"/>
      <w:bookmarkStart w:id="2971" w:name="_Toc484605365"/>
      <w:bookmarkStart w:id="2972" w:name="_Toc484605489"/>
      <w:bookmarkStart w:id="2973" w:name="_Toc484688358"/>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r>
        <w:rPr/>
        <w:t>AGGIUDICAZIONE DELL’APPALTO E STIPULA DEL CONTRATTO</w:t>
      </w:r>
      <w:bookmarkStart w:id="2974" w:name="_Ref531265966"/>
      <w:bookmarkEnd w:id="2036"/>
      <w:bookmarkEnd w:id="2037"/>
      <w:bookmarkEnd w:id="2974"/>
    </w:p>
    <w:p>
      <w:pPr>
        <w:pStyle w:val="Normal"/>
        <w:spacing w:before="60" w:after="60"/>
        <w:rPr>
          <w:rFonts w:ascii="Titillium" w:hAnsi="Titillium" w:cs="Calibri"/>
          <w:sz w:val="18"/>
          <w:szCs w:val="18"/>
        </w:rPr>
      </w:pPr>
      <w:r>
        <w:rPr>
          <w:rFonts w:cs="Calibri" w:ascii="Titillium" w:hAnsi="Titillium"/>
          <w:sz w:val="18"/>
          <w:szCs w:val="18"/>
        </w:rPr>
        <w:t xml:space="preserve">La proposta di aggiudicazione è formulata in favore del concorrente che ha presentato la migliore offerta. </w:t>
      </w:r>
    </w:p>
    <w:p>
      <w:pPr>
        <w:pStyle w:val="Normal"/>
        <w:rPr>
          <w:rFonts w:ascii="Titillium" w:hAnsi="Titillium" w:cs="Calibri"/>
          <w:sz w:val="18"/>
          <w:szCs w:val="18"/>
        </w:rPr>
      </w:pPr>
      <w:r>
        <w:rPr>
          <w:rFonts w:cs="Calibri" w:ascii="Titillium" w:hAnsi="Titillium"/>
          <w:sz w:val="18"/>
          <w:szCs w:val="18"/>
        </w:rPr>
        <w:t>Qualora nessuna offerta risulti conveniente o idonea in relazione all’oggetto del contratto, la stazione appaltante può decidere, entro 30 giorni dalla conclusione delle valutazioni delle offerte, di non procedere all’aggiudicazione.</w:t>
      </w:r>
    </w:p>
    <w:p>
      <w:pPr>
        <w:pStyle w:val="Normal"/>
        <w:rPr>
          <w:rFonts w:ascii="Titillium" w:hAnsi="Titillium" w:cs="Calibri"/>
          <w:sz w:val="18"/>
          <w:szCs w:val="18"/>
        </w:rPr>
      </w:pPr>
      <w:r>
        <w:rPr>
          <w:rFonts w:cs="Calibri" w:ascii="Titillium" w:hAnsi="Titillium"/>
          <w:sz w:val="18"/>
          <w:szCs w:val="18"/>
        </w:rPr>
      </w:r>
    </w:p>
    <w:p>
      <w:pPr>
        <w:pStyle w:val="Normal"/>
        <w:rPr>
          <w:rFonts w:ascii="Titillium" w:hAnsi="Titillium" w:cs="Calibri"/>
          <w:bCs/>
          <w:iCs/>
          <w:sz w:val="18"/>
          <w:szCs w:val="18"/>
        </w:rPr>
      </w:pPr>
      <w:r>
        <w:rPr>
          <w:rFonts w:cs="Calibri" w:ascii="Titillium" w:hAnsi="Titillium"/>
          <w:bCs/>
          <w:iCs/>
          <w:sz w:val="18"/>
          <w:szCs w:val="18"/>
        </w:rPr>
        <w:t xml:space="preserve">La stazione appaltante si riserva di procedere all’aggiudicazione anche in caso di presentazione di una sola offerta. </w:t>
      </w:r>
    </w:p>
    <w:p>
      <w:pPr>
        <w:pStyle w:val="BodyText"/>
        <w:tabs>
          <w:tab w:val="clear" w:pos="708"/>
          <w:tab w:val="left" w:pos="9639" w:leader="none"/>
        </w:tabs>
        <w:spacing w:lineRule="auto" w:line="276"/>
        <w:rPr>
          <w:rFonts w:ascii="Arial Narrow" w:hAnsi="Arial Narrow" w:cs="Arial"/>
          <w:sz w:val="22"/>
          <w:szCs w:val="22"/>
        </w:rPr>
      </w:pPr>
      <w:r>
        <w:rPr>
          <w:rFonts w:cs="Calibri" w:ascii="Titillium" w:hAnsi="Titillium"/>
          <w:sz w:val="18"/>
          <w:szCs w:val="18"/>
        </w:rPr>
        <w:t>Il RUPA procede, laddove non effettuata in sede di verifica di congruità dell’offerta, a verificare, ai sensi dell’</w:t>
      </w:r>
      <w:r>
        <w:rPr>
          <w:rFonts w:cs="Calibri" w:ascii="Titillium" w:hAnsi="Titillium"/>
          <w:sz w:val="18"/>
          <w:szCs w:val="18"/>
          <w:lang w:val="it-IT"/>
        </w:rPr>
        <w:t>Allegato</w:t>
      </w:r>
      <w:r>
        <w:rPr>
          <w:rFonts w:cs="Calibri" w:ascii="Titillium" w:hAnsi="Titillium"/>
          <w:sz w:val="18"/>
          <w:szCs w:val="18"/>
        </w:rPr>
        <w:t xml:space="preserve"> I.01 del Codice:</w:t>
      </w:r>
    </w:p>
    <w:p>
      <w:pPr>
        <w:pStyle w:val="ListParagraph"/>
        <w:numPr>
          <w:ilvl w:val="0"/>
          <w:numId w:val="37"/>
        </w:numPr>
        <w:spacing w:before="60" w:after="60"/>
        <w:ind w:hanging="360" w:left="426"/>
        <w:contextualSpacing/>
        <w:rPr>
          <w:rFonts w:ascii="Titillium" w:hAnsi="Titillium" w:cs="Calibri"/>
          <w:sz w:val="18"/>
          <w:szCs w:val="18"/>
        </w:rPr>
      </w:pPr>
      <w:r>
        <w:rPr>
          <w:rFonts w:cs="Calibri" w:ascii="Titillium" w:hAnsi="Titillium"/>
          <w:sz w:val="18"/>
          <w:szCs w:val="18"/>
        </w:rPr>
        <w:t xml:space="preserve">l’equivalenza delle tutele nel caso in cui l’aggiudicatario abbia dichiarato di applicare un diverso contratto collettivo nazionale rispetto a quello/i indicato/i dalla stazione appaltante per l’applicazione dei contratti collettivi nazionali e territoriali di cui al paragrafo  </w:t>
      </w:r>
      <w:r>
        <w:rPr>
          <w:rFonts w:cs="Calibri" w:ascii="Titillium" w:hAnsi="Titillium"/>
          <w:sz w:val="18"/>
          <w:szCs w:val="18"/>
        </w:rPr>
        <w:fldChar w:fldCharType="begin"/>
      </w:r>
      <w:r>
        <w:rPr>
          <w:rFonts w:cs="Calibri" w:ascii="Titillium" w:hAnsi="Titillium"/>
          <w:sz w:val="18"/>
          <w:szCs w:val="18"/>
        </w:rPr>
        <w:instrText xml:space="preserve"> REF _Ref132050689 \r \r \h </w:instrText>
      </w:r>
      <w:r>
        <w:rPr>
          <w:rFonts w:cs="Calibri" w:ascii="Titillium" w:hAnsi="Titillium"/>
          <w:sz w:val="18"/>
          <w:szCs w:val="18"/>
        </w:rPr>
        <w:fldChar w:fldCharType="separate"/>
      </w:r>
      <w:r>
        <w:rPr>
          <w:rFonts w:cs="Calibri" w:ascii="Titillium" w:hAnsi="Titillium"/>
          <w:sz w:val="18"/>
          <w:szCs w:val="18"/>
        </w:rPr>
        <w:t>9</w:t>
      </w:r>
      <w:r>
        <w:rPr>
          <w:rFonts w:cs="Calibri" w:ascii="Titillium" w:hAnsi="Titillium"/>
          <w:sz w:val="18"/>
          <w:szCs w:val="18"/>
        </w:rPr>
        <w:fldChar w:fldCharType="end"/>
      </w:r>
      <w:r>
        <w:rPr>
          <w:rFonts w:cs="Calibri" w:ascii="Titillium" w:hAnsi="Titillium"/>
          <w:sz w:val="18"/>
          <w:szCs w:val="18"/>
        </w:rPr>
        <w:t xml:space="preserve"> ;</w:t>
      </w:r>
    </w:p>
    <w:p>
      <w:pPr>
        <w:pStyle w:val="ListParagraph"/>
        <w:numPr>
          <w:ilvl w:val="0"/>
          <w:numId w:val="37"/>
        </w:numPr>
        <w:spacing w:before="60" w:after="60"/>
        <w:ind w:hanging="360" w:left="426"/>
        <w:contextualSpacing/>
        <w:rPr/>
      </w:pPr>
      <w:r>
        <w:rPr>
          <w:rFonts w:cs="Calibri" w:ascii="Titillium" w:hAnsi="Titillium"/>
          <w:sz w:val="18"/>
          <w:szCs w:val="18"/>
        </w:rPr>
        <w:t>l’attendibilità degli impegni assunti dall’appaltatore in relazione a quanto richiesto dal paragrafo 9 e riguardante la stabilità occupazionale e le pari opportunità generazionali, di genere e di inclusione lavorativa per le persone con disabilità o svantaggiate.</w:t>
      </w:r>
    </w:p>
    <w:p>
      <w:pPr>
        <w:pStyle w:val="Normal"/>
        <w:spacing w:before="60" w:after="60"/>
        <w:rPr>
          <w:rFonts w:ascii="Titillium" w:hAnsi="Titillium" w:cs="Calibri"/>
          <w:sz w:val="18"/>
          <w:szCs w:val="18"/>
        </w:rPr>
      </w:pPr>
      <w:r>
        <w:rPr>
          <w:rFonts w:cs="Calibri" w:ascii="Titillium" w:hAnsi="Titillium"/>
          <w:sz w:val="18"/>
          <w:szCs w:val="18"/>
        </w:rPr>
        <w:t>L’aggiudicazione è disposta all’esito positivo della verifica del possesso dei requisiti prescritti dal presente disciplinare ed è immediatamente efficace. In caso di esito negativo delle verifiche, si procede all’esclusione, alla segnalazione all’ANAC, ad incamerare la garanzia provvisoria.</w:t>
      </w:r>
    </w:p>
    <w:p>
      <w:pPr>
        <w:pStyle w:val="Normal"/>
        <w:spacing w:before="60" w:after="60"/>
        <w:rPr>
          <w:rFonts w:ascii="Titillium" w:hAnsi="Titillium" w:eastAsia="SimSun"/>
          <w:sz w:val="18"/>
          <w:szCs w:val="18"/>
        </w:rPr>
      </w:pPr>
      <w:r>
        <w:rPr>
          <w:rFonts w:cs="Calibri" w:ascii="Titillium" w:hAnsi="Titillium"/>
          <w:sz w:val="18"/>
          <w:szCs w:val="18"/>
        </w:rPr>
        <w:t>Gli eventuali provvedimenti di esclusione dalla procedura di gara sono comunicati</w:t>
      </w:r>
      <w:r>
        <w:rPr>
          <w:rFonts w:eastAsia="SimSun" w:ascii="Titillium" w:hAnsi="Titillium"/>
          <w:sz w:val="18"/>
          <w:szCs w:val="18"/>
        </w:rPr>
        <w:t xml:space="preserve"> entro cinque giorni dalla loro adozione.</w:t>
      </w:r>
    </w:p>
    <w:p>
      <w:pPr>
        <w:pStyle w:val="ListParagraph"/>
        <w:ind w:left="0"/>
        <w:rPr>
          <w:rFonts w:ascii="Titillium" w:hAnsi="Titillium" w:eastAsia="SimSun"/>
          <w:sz w:val="18"/>
          <w:szCs w:val="18"/>
        </w:rPr>
      </w:pPr>
      <w:r>
        <w:rPr>
          <w:rFonts w:cs="Calibri" w:ascii="Titillium" w:hAnsi="Titillium"/>
          <w:sz w:val="18"/>
          <w:szCs w:val="18"/>
        </w:rPr>
        <w:t>È fatta salva la possibilità di chiedere agli offerenti, in qualsiasi momento nel corso della procedura, di presentare tutti i documenti complementari o parte di essi, qualora questo sia necessario per assicurare il corretto svolgimento della procedura.</w:t>
      </w:r>
    </w:p>
    <w:p>
      <w:pPr>
        <w:pStyle w:val="BodyText"/>
        <w:tabs>
          <w:tab w:val="clear" w:pos="708"/>
          <w:tab w:val="left" w:pos="9639" w:leader="none"/>
        </w:tabs>
        <w:spacing w:lineRule="auto" w:line="276"/>
        <w:rPr>
          <w:rFonts w:ascii="Titillium" w:hAnsi="Titillium" w:cs="Calibri"/>
          <w:sz w:val="18"/>
          <w:szCs w:val="18"/>
          <w:lang w:val="it-IT" w:eastAsia="en-US"/>
        </w:rPr>
      </w:pPr>
      <w:r>
        <w:rPr>
          <w:rFonts w:cs="Calibri" w:ascii="Titillium" w:hAnsi="Titillium"/>
          <w:sz w:val="18"/>
          <w:szCs w:val="18"/>
          <w:lang w:val="it-IT" w:eastAsia="en-US"/>
        </w:rPr>
        <w:t xml:space="preserve">La verifica è effettuata tramite il FVOE. In caso di malfunzionamento, anche parziale, del fascicolo virtuale dell’operatore economico o delle piattaforme, banche dati o sistemi di interoperabilità ad esso connessi, la stazione appaltante si riserva di aggiudicare dopo che sono trascorsi trenta giorni dalla proposta di aggiudicazione. In tal caso richiede un’autocertificazione all’offerente, resa ai sensi del d.P.R. 28 dicembre 2000, n. 445, che attesti il possesso dei requisiti e l’assenza delle cause di esclusione che, a causa del predetto malfunzionamento, non è stato possibile verificare. </w:t>
      </w:r>
    </w:p>
    <w:p>
      <w:pPr>
        <w:pStyle w:val="BodyText"/>
        <w:tabs>
          <w:tab w:val="clear" w:pos="708"/>
          <w:tab w:val="left" w:pos="9639" w:leader="none"/>
        </w:tabs>
        <w:spacing w:lineRule="auto" w:line="276"/>
        <w:rPr>
          <w:rFonts w:ascii="Titillium" w:hAnsi="Titillium" w:cs="Calibri"/>
          <w:sz w:val="18"/>
          <w:szCs w:val="18"/>
          <w:lang w:val="it-IT" w:eastAsia="en-US"/>
        </w:rPr>
      </w:pPr>
      <w:r>
        <w:rPr>
          <w:rFonts w:cs="Calibri" w:ascii="Titillium" w:hAnsi="Titillium"/>
          <w:sz w:val="18"/>
          <w:szCs w:val="18"/>
          <w:lang w:val="it-IT" w:eastAsia="en-US"/>
        </w:rPr>
        <w:t xml:space="preserve">Per le certificazioni che, allo stato, non sono ancora verificabili tramite il fascicolo virtuale dell’operatore economico, la stazione appaltante procede direttamente alla verifica presso gli Enti certificatori e, </w:t>
      </w:r>
      <w:bookmarkStart w:id="2975" w:name="_Hlk194056818"/>
      <w:r>
        <w:rPr>
          <w:rFonts w:cs="Calibri" w:ascii="Titillium" w:hAnsi="Titillium"/>
          <w:sz w:val="18"/>
          <w:szCs w:val="18"/>
          <w:lang w:val="it-IT" w:eastAsia="en-US"/>
        </w:rPr>
        <w:t>decorsi inutilmente 30 giorni dalla richiesta, si riserva di aggiudicare previa acquisizione di un’autocertificazione dall’operatore economico</w:t>
      </w:r>
      <w:bookmarkEnd w:id="2975"/>
      <w:r>
        <w:rPr>
          <w:rFonts w:cs="Calibri" w:ascii="Titillium" w:hAnsi="Titillium"/>
          <w:sz w:val="18"/>
          <w:szCs w:val="18"/>
          <w:lang w:val="it-IT" w:eastAsia="en-US"/>
        </w:rPr>
        <w:t xml:space="preserve">, resa ai sensi del d.P.R. 28 dicembre 2000, n. 445, che attesti il possesso dei requisiti e l’assenza delle cause di esclusione che non è stato possibile verificare. </w:t>
      </w:r>
    </w:p>
    <w:p>
      <w:pPr>
        <w:pStyle w:val="Normal"/>
        <w:spacing w:before="60" w:after="60"/>
        <w:rPr>
          <w:rFonts w:ascii="Titillium" w:hAnsi="Titillium" w:cs="Calibri"/>
          <w:sz w:val="18"/>
          <w:szCs w:val="18"/>
        </w:rPr>
      </w:pPr>
      <w:r>
        <w:rPr>
          <w:rFonts w:cs="Calibri" w:ascii="Titillium" w:hAnsi="Titillium"/>
          <w:sz w:val="18"/>
          <w:szCs w:val="18"/>
        </w:rPr>
        <w:t>In caso di esito negativo delle verifiche, si procede all’esclusione e all’eventuale segnalazione all’ANAC in presenza delle condizioni di cui all’articolo 96, comma 15. Ove ne ricorrano le condizioni, si procede altresì all’incameramento della garanzia provvisoria.</w:t>
      </w:r>
    </w:p>
    <w:p>
      <w:pPr>
        <w:pStyle w:val="Normal"/>
        <w:spacing w:before="60" w:after="60"/>
        <w:rPr>
          <w:rFonts w:ascii="Titillium" w:hAnsi="Titillium" w:cs="Calibri"/>
          <w:sz w:val="18"/>
          <w:szCs w:val="18"/>
        </w:rPr>
      </w:pPr>
      <w:r>
        <w:rPr>
          <w:rFonts w:cs="Calibri" w:ascii="Titillium" w:hAnsi="Titillium"/>
          <w:sz w:val="18"/>
          <w:szCs w:val="18"/>
        </w:rPr>
        <w:t>Successivamente si procede a ricalcolare i punteggi e a riformulare la graduatoria procedendo altresì, alle verifiche nei termini sopra indicati. Nell’ipotesi di ulteriore esito negativo delle verifiche si procede nei termini sopra detti.</w:t>
      </w:r>
    </w:p>
    <w:p>
      <w:pPr>
        <w:pStyle w:val="Normal"/>
        <w:spacing w:before="60" w:after="60"/>
        <w:rPr/>
      </w:pPr>
      <w:r>
        <w:rPr>
          <w:rFonts w:cs="Calibri" w:ascii="Titillium" w:hAnsi="Titillium"/>
          <w:sz w:val="18"/>
          <w:szCs w:val="18"/>
        </w:rPr>
        <w:t>Il contratto è stipulato non prima di 32 giorni dall’invio dell’ultima delle comunicazioni del provvedimento di aggiudicazione e comunque entro 60</w:t>
      </w:r>
      <w:r>
        <w:rPr>
          <w:rFonts w:cs="Calibri" w:ascii="Titillium" w:hAnsi="Titillium"/>
          <w:i/>
          <w:iCs/>
          <w:sz w:val="18"/>
          <w:szCs w:val="18"/>
        </w:rPr>
        <w:t xml:space="preserve"> </w:t>
      </w:r>
      <w:r>
        <w:rPr>
          <w:rFonts w:cs="Calibri" w:ascii="Titillium" w:hAnsi="Titillium"/>
          <w:sz w:val="18"/>
          <w:szCs w:val="18"/>
        </w:rPr>
        <w:t xml:space="preserve">giorni dall’aggiudicazione, salvo quanto previsto dall’articolo 18 comma 2 del Codice. </w:t>
      </w:r>
    </w:p>
    <w:p>
      <w:pPr>
        <w:pStyle w:val="Normal"/>
        <w:spacing w:before="60" w:after="60"/>
        <w:rPr>
          <w:rFonts w:ascii="Titillium" w:hAnsi="Titillium" w:cs="Calibri"/>
          <w:sz w:val="18"/>
          <w:szCs w:val="18"/>
        </w:rPr>
      </w:pPr>
      <w:r>
        <w:rPr>
          <w:rFonts w:cs="Calibri" w:ascii="Titillium" w:hAnsi="Titillium"/>
          <w:sz w:val="18"/>
          <w:szCs w:val="18"/>
        </w:rPr>
        <w:t>A seguito di richiesta motivata proveniente dall’aggiudicatario la data di stipula del contratto può essere differita purché ritenuta compatibile con la sollecita esecuzione del contratto stesso.</w:t>
      </w:r>
    </w:p>
    <w:p>
      <w:pPr>
        <w:pStyle w:val="Normal"/>
        <w:spacing w:before="60" w:after="60"/>
        <w:rPr>
          <w:rFonts w:ascii="Titillium" w:hAnsi="Titillium" w:cs="Calibri"/>
          <w:sz w:val="18"/>
          <w:szCs w:val="18"/>
        </w:rPr>
      </w:pPr>
      <w:r>
        <w:rPr>
          <w:rFonts w:cs="Calibri" w:ascii="Titillium" w:hAnsi="Titillium"/>
          <w:sz w:val="18"/>
          <w:szCs w:val="18"/>
        </w:rPr>
        <w:t>La garanzia provvisoria dell’aggiudicatario è svincolata automaticamente al momento della stipula del contratto; la garanzia provvisoria degli altri concorrenti è svincolata con il provvedimento di aggiudicazione e perde, in ogni caso, efficacia entro 30 giorni dall’aggiudicazione.</w:t>
      </w:r>
    </w:p>
    <w:p>
      <w:pPr>
        <w:pStyle w:val="Normal"/>
        <w:spacing w:before="60" w:after="60"/>
        <w:rPr>
          <w:rFonts w:ascii="Titillium" w:hAnsi="Titillium" w:cs="Calibri"/>
          <w:sz w:val="18"/>
          <w:szCs w:val="18"/>
        </w:rPr>
      </w:pPr>
      <w:r>
        <w:rPr>
          <w:rFonts w:cs="Calibri" w:ascii="Titillium" w:hAnsi="Titillium"/>
          <w:sz w:val="18"/>
          <w:szCs w:val="18"/>
        </w:rPr>
        <w:t>All’atto della stipulazione del contratto, l’aggiudicatario deve presentare la garanzia definitiva da calcolare sull’importo contrattuale, secondo le misure e le modalità previste dall’articolo 117 del Codice.</w:t>
      </w:r>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rFonts w:ascii="Titillium" w:hAnsi="Titillium" w:cs="Calibri"/>
          <w:sz w:val="18"/>
          <w:szCs w:val="18"/>
        </w:rPr>
      </w:pPr>
      <w:r>
        <w:rPr>
          <w:rFonts w:cs="Calibri" w:ascii="Titillium" w:hAnsi="Titillium"/>
          <w:sz w:val="18"/>
          <w:szCs w:val="18"/>
        </w:rPr>
        <w:t xml:space="preserve">Se la stipula del contratto non avviene nel termine per fatto della stazione appaltante, l’aggiudicatario può farne constatare il silenzio inadempimento o, in alternativa, può sciogliersi da ogni vincolo mediante atto notificato. All’aggiudicatario non spetta alcun indennizzo, salvo il rimborso delle spese contrattuali. </w:t>
      </w:r>
    </w:p>
    <w:p>
      <w:pPr>
        <w:pStyle w:val="Normal"/>
        <w:spacing w:before="60" w:after="60"/>
        <w:rPr>
          <w:rFonts w:ascii="Titillium" w:hAnsi="Titillium" w:cs="Calibri"/>
          <w:sz w:val="18"/>
          <w:szCs w:val="18"/>
        </w:rPr>
      </w:pPr>
      <w:r>
        <w:rPr>
          <w:rFonts w:cs="Calibri" w:ascii="Titillium" w:hAnsi="Titillium"/>
          <w:sz w:val="18"/>
          <w:szCs w:val="18"/>
        </w:rPr>
        <w:t xml:space="preserve">Se la stipula del contratto non avviene nel termine fissato per fatto dell’aggiudicatario può costituire motivo di revoca dell’aggiudicazione. </w:t>
      </w:r>
    </w:p>
    <w:p>
      <w:pPr>
        <w:pStyle w:val="Normal"/>
        <w:spacing w:before="60" w:after="60"/>
        <w:rPr>
          <w:rFonts w:ascii="Titillium" w:hAnsi="Titillium" w:cs="Calibri"/>
          <w:sz w:val="18"/>
          <w:szCs w:val="18"/>
        </w:rPr>
      </w:pPr>
      <w:r>
        <w:rPr>
          <w:rFonts w:cs="Calibri" w:ascii="Titillium" w:hAnsi="Titillium"/>
          <w:sz w:val="18"/>
          <w:szCs w:val="18"/>
        </w:rPr>
        <w:t>La mancata o tardiva stipula del contratto al di fuori delle ipotesi predette, costituisce violazione del dovere di buona fede, anche in pendenza di contenzioso.</w:t>
      </w:r>
    </w:p>
    <w:p>
      <w:pPr>
        <w:pStyle w:val="Normal"/>
        <w:spacing w:before="60" w:after="60"/>
        <w:rPr>
          <w:rFonts w:ascii="Titillium" w:hAnsi="Titillium" w:cs="Calibri"/>
          <w:sz w:val="18"/>
          <w:szCs w:val="18"/>
        </w:rPr>
      </w:pPr>
      <w:r>
        <w:rPr>
          <w:rFonts w:cs="Calibri" w:ascii="Titillium" w:hAnsi="Titillium"/>
          <w:sz w:val="18"/>
          <w:szCs w:val="18"/>
        </w:rPr>
        <w:t>L’aggiudicatario deposita, prima o contestualmente alla sottoscrizione del contratto di appalto, i contratti continuativi di cooperazione, servizio e/o fornitura di cui all’articolo 119, comma 3, lett. d) del Codice.</w:t>
      </w:r>
    </w:p>
    <w:p>
      <w:pPr>
        <w:pStyle w:val="Normal"/>
        <w:spacing w:before="60" w:after="60"/>
        <w:rPr>
          <w:rFonts w:ascii="Titillium" w:hAnsi="Titillium" w:cs="Calibri"/>
          <w:sz w:val="18"/>
          <w:szCs w:val="18"/>
        </w:rPr>
      </w:pPr>
      <w:r>
        <w:rPr>
          <w:rFonts w:cs="Calibri" w:ascii="Titillium" w:hAnsi="Titillium"/>
          <w:sz w:val="18"/>
          <w:szCs w:val="18"/>
        </w:rPr>
        <w:t>L’affidatario comunica, per ogni sub-contratto che non costituisce subappalto, l’importo e l’oggetto del medesimo, nonché il nome del sub-contraente, prima dell’inizio della prestazione.</w:t>
      </w:r>
    </w:p>
    <w:p>
      <w:pPr>
        <w:pStyle w:val="Normal"/>
        <w:spacing w:before="60" w:after="60"/>
        <w:rPr>
          <w:rFonts w:ascii="Titillium" w:hAnsi="Titillium" w:cs="Calibri"/>
          <w:iCs/>
          <w:sz w:val="18"/>
          <w:szCs w:val="18"/>
        </w:rPr>
      </w:pPr>
      <w:r>
        <w:rPr>
          <w:rFonts w:cs="Calibri" w:ascii="Titillium" w:hAnsi="Titillium"/>
          <w:sz w:val="18"/>
          <w:szCs w:val="18"/>
        </w:rPr>
        <w:t xml:space="preserve">Il contratto è stipulato mediante le </w:t>
      </w:r>
      <w:r>
        <w:rPr>
          <w:rFonts w:cs="Calibri" w:ascii="Titillium" w:hAnsi="Titillium"/>
          <w:iCs/>
          <w:sz w:val="18"/>
          <w:szCs w:val="18"/>
        </w:rPr>
        <w:t>modalità individuate dall’articolo 18 del Codice.</w:t>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t xml:space="preserve">Sono a carico dell’aggiudicatario tutte le spese contrattuali, gli oneri fiscali quali imposte e tasse - ivi comprese quelle di registro ove dovute - relative alla stipulazione del contratto. </w:t>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t>La stipulazione del contratto è subordinata all’esito positivo delle procedure previste dalla normativa vigente in materia di lotta alla mafia, fatto salvo quanto previsto dall’art. 88 comma 4-bis e 89 e dall’art. 92 comma 3 del d.lgs. 159/2011.</w:t>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t>Come da protocollo di Legalità del 19/06/2018 con la Prefettura di Bologna, in deroga alle soglie di valore previste dalla normativa vigente, quest’Azienda USL procederà a richiedere alla ditta aggiudicataria informazione antimafia ex artt.84 e 91 D.Lgs. 159/2011, tramite Banca Dati Nazionale Antimafia (B.D.N.A.), per tutti gli importi di aggiudicazione superiori a 50.000,00 euro.</w:t>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t>Come da protocollo di Legalità del 19/06/2018 con la Prefettura di Bologna:</w:t>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t>- la sottoscrizione del contratto ovvero le concessioni o le autorizzazioni effettuate prima dell’acquisizione delle informazioni di cui al D.Lgs. 159/2011, anche al di fuori delle soglie di valore ivi previste, sono corrisposte sotto condizione risolutiva e questa Azienda USL procederà alla revoca della concessione e allo scioglimento del contratto qualora dovessero intervenire informazioni interdittive.</w:t>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t>Il mancato rispetto del protocollo di legalità costituisce causa di risoluzione del contratto, ai sensi dell’articolo 83-bis, del decreto legislativo 159/2011.</w:t>
      </w:r>
    </w:p>
    <w:p>
      <w:pPr>
        <w:pStyle w:val="Normal"/>
        <w:spacing w:before="60" w:after="60"/>
        <w:rPr>
          <w:rFonts w:ascii="Titillium" w:hAnsi="Titillium" w:cs="Calibri"/>
          <w:sz w:val="18"/>
          <w:szCs w:val="18"/>
        </w:rPr>
      </w:pPr>
      <w:r>
        <w:rPr>
          <w:rFonts w:cs="Calibri" w:ascii="Titillium" w:hAnsi="Titillium"/>
          <w:sz w:val="18"/>
          <w:szCs w:val="18"/>
        </w:rPr>
      </w:r>
    </w:p>
    <w:p>
      <w:pPr>
        <w:pStyle w:val="Heading2"/>
        <w:numPr>
          <w:ilvl w:val="0"/>
          <w:numId w:val="3"/>
        </w:numPr>
        <w:rPr/>
      </w:pPr>
      <w:bookmarkStart w:id="2976" w:name="_Toc207275768"/>
      <w:r>
        <w:rPr/>
        <w:t>OBBLIGHI RELATIVI ALLA TRACCIABILITÀ DEI FLUSSI FINANZIARI</w:t>
      </w:r>
      <w:bookmarkEnd w:id="2976"/>
      <w:r>
        <w:rPr/>
        <w:t xml:space="preserve"> </w:t>
      </w:r>
    </w:p>
    <w:p>
      <w:pPr>
        <w:pStyle w:val="Normal"/>
        <w:rPr>
          <w:rFonts w:ascii="Titillium" w:hAnsi="Titillium"/>
          <w:sz w:val="18"/>
          <w:szCs w:val="18"/>
        </w:rPr>
      </w:pPr>
      <w:r>
        <w:rPr>
          <w:rFonts w:ascii="Titillium" w:hAnsi="Titillium"/>
          <w:sz w:val="18"/>
          <w:szCs w:val="18"/>
        </w:rPr>
        <w:t>Il contratto d’appalto, quelli di subappalto e i subcontratti sono soggetti agli obblighi in tema di tracciabilità dei flussi finanziari di cui alla legge 13 agosto 2010, n. 136</w:t>
      </w:r>
    </w:p>
    <w:p>
      <w:pPr>
        <w:pStyle w:val="Normal"/>
        <w:rPr>
          <w:rFonts w:ascii="Titillium" w:hAnsi="Titillium"/>
          <w:sz w:val="18"/>
          <w:szCs w:val="18"/>
        </w:rPr>
      </w:pPr>
      <w:r>
        <w:rPr>
          <w:rFonts w:ascii="Titillium" w:hAnsi="Titillium"/>
          <w:sz w:val="18"/>
          <w:szCs w:val="18"/>
        </w:rPr>
        <w:t>L’affidatario deve comunicare alla stazione appaltante:</w:t>
      </w:r>
    </w:p>
    <w:p>
      <w:pPr>
        <w:pStyle w:val="ListParagraph"/>
        <w:numPr>
          <w:ilvl w:val="0"/>
          <w:numId w:val="39"/>
        </w:numPr>
        <w:ind w:hanging="360" w:left="426"/>
        <w:rPr>
          <w:rFonts w:ascii="Titillium" w:hAnsi="Titillium"/>
          <w:sz w:val="18"/>
          <w:szCs w:val="18"/>
        </w:rPr>
      </w:pPr>
      <w:r>
        <w:rPr>
          <w:rFonts w:ascii="Titillium" w:hAnsi="Titillium"/>
          <w:sz w:val="18"/>
          <w:szCs w:val="18"/>
        </w:rPr>
        <w:t>gli estremi identificativi dei conti correnti bancari o postali dedicati, con l'indicazione dell'opera/servizio/fornitura alla quale sono dedicati;</w:t>
      </w:r>
    </w:p>
    <w:p>
      <w:pPr>
        <w:pStyle w:val="ListParagraph"/>
        <w:numPr>
          <w:ilvl w:val="0"/>
          <w:numId w:val="39"/>
        </w:numPr>
        <w:ind w:hanging="360" w:left="426"/>
        <w:rPr>
          <w:rFonts w:ascii="Titillium" w:hAnsi="Titillium"/>
          <w:sz w:val="18"/>
          <w:szCs w:val="18"/>
        </w:rPr>
      </w:pPr>
      <w:r>
        <w:rPr>
          <w:rFonts w:ascii="Titillium" w:hAnsi="Titillium"/>
          <w:sz w:val="18"/>
          <w:szCs w:val="18"/>
        </w:rPr>
        <w:t>le generalità e il codice fiscale delle persone delegate ad operare sugli stessi;</w:t>
      </w:r>
    </w:p>
    <w:p>
      <w:pPr>
        <w:pStyle w:val="ListParagraph"/>
        <w:numPr>
          <w:ilvl w:val="0"/>
          <w:numId w:val="39"/>
        </w:numPr>
        <w:ind w:hanging="360" w:left="426"/>
        <w:rPr>
          <w:rFonts w:ascii="Titillium" w:hAnsi="Titillium"/>
          <w:sz w:val="18"/>
          <w:szCs w:val="18"/>
        </w:rPr>
      </w:pPr>
      <w:r>
        <w:rPr>
          <w:rFonts w:ascii="Titillium" w:hAnsi="Titillium"/>
          <w:sz w:val="18"/>
          <w:szCs w:val="18"/>
        </w:rPr>
        <w:t xml:space="preserve">ogni modifica relativa ai dati trasmessi. </w:t>
      </w:r>
    </w:p>
    <w:p>
      <w:pPr>
        <w:pStyle w:val="Normal"/>
        <w:rPr>
          <w:rFonts w:ascii="Titillium" w:hAnsi="Titillium"/>
          <w:sz w:val="18"/>
          <w:szCs w:val="18"/>
        </w:rPr>
      </w:pPr>
      <w:r>
        <w:rPr>
          <w:rFonts w:ascii="Titillium" w:hAnsi="Titillium"/>
          <w:sz w:val="18"/>
          <w:szCs w:val="18"/>
        </w:rP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 </w:t>
      </w:r>
    </w:p>
    <w:p>
      <w:pPr>
        <w:pStyle w:val="Normal"/>
        <w:rPr>
          <w:rFonts w:ascii="Titillium" w:hAnsi="Titillium"/>
          <w:sz w:val="18"/>
          <w:szCs w:val="18"/>
        </w:rPr>
      </w:pPr>
      <w:r>
        <w:rPr>
          <w:rFonts w:ascii="Titillium" w:hAnsi="Titillium"/>
          <w:sz w:val="18"/>
          <w:szCs w:val="18"/>
        </w:rPr>
        <w:t xml:space="preserve">Il mancato adempimento agli obblighi previsti per la tracciabilità dei flussi finanziari relativi all’appalto comporta la risoluzione di diritto del contratto. </w:t>
      </w:r>
    </w:p>
    <w:p>
      <w:pPr>
        <w:pStyle w:val="Normal"/>
        <w:rPr>
          <w:rFonts w:ascii="Titillium" w:hAnsi="Titillium"/>
          <w:sz w:val="18"/>
          <w:szCs w:val="18"/>
        </w:rPr>
      </w:pPr>
      <w:r>
        <w:rPr>
          <w:rFonts w:ascii="Titillium" w:hAnsi="Titillium"/>
          <w:sz w:val="18"/>
          <w:szCs w:val="18"/>
        </w:rPr>
        <w:t>In occasione di ogni pagamento all’appaltatore o di interventi di controllo ulteriori si procede alla verifica dell’assolvimento degli obblighi relativi alla tracciabilità dei flussi finanziari.</w:t>
      </w:r>
    </w:p>
    <w:p>
      <w:pPr>
        <w:pStyle w:val="Normal"/>
        <w:rPr>
          <w:rFonts w:ascii="Titillium" w:hAnsi="Titillium"/>
          <w:sz w:val="18"/>
          <w:szCs w:val="18"/>
        </w:rPr>
      </w:pPr>
      <w:r>
        <w:rPr>
          <w:rFonts w:ascii="Titillium" w:hAnsi="Titillium"/>
          <w:sz w:val="18"/>
          <w:szCs w:val="18"/>
        </w:rP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contratto.</w:t>
      </w:r>
    </w:p>
    <w:p>
      <w:pPr>
        <w:pStyle w:val="Normal"/>
        <w:rPr>
          <w:rFonts w:ascii="Titillium" w:hAnsi="Titillium"/>
          <w:sz w:val="18"/>
          <w:szCs w:val="18"/>
        </w:rPr>
      </w:pPr>
      <w:r>
        <w:rPr>
          <w:rFonts w:ascii="Titillium" w:hAnsi="Titillium"/>
          <w:sz w:val="18"/>
          <w:szCs w:val="18"/>
        </w:rPr>
      </w:r>
    </w:p>
    <w:p>
      <w:pPr>
        <w:pStyle w:val="Heading2"/>
        <w:numPr>
          <w:ilvl w:val="0"/>
          <w:numId w:val="3"/>
        </w:numPr>
        <w:rPr/>
      </w:pPr>
      <w:bookmarkStart w:id="2977" w:name="_Toc207275769"/>
      <w:r>
        <w:rPr/>
        <w:t>CODICE DI COMPORTAMENTO</w:t>
      </w:r>
      <w:bookmarkEnd w:id="2977"/>
      <w:r>
        <w:rPr/>
        <w:t xml:space="preserve">  </w:t>
      </w:r>
    </w:p>
    <w:p>
      <w:pPr>
        <w:pStyle w:val="Normal"/>
        <w:widowControl w:val="false"/>
        <w:spacing w:lineRule="exact" w:line="280"/>
        <w:rPr/>
      </w:pPr>
      <w:r>
        <w:rPr>
          <w:rFonts w:ascii="Titillium" w:hAnsi="Titillium"/>
          <w:sz w:val="18"/>
          <w:szCs w:val="18"/>
          <w:lang w:eastAsia="it-IT"/>
        </w:rPr>
        <w:t>Nello svolgimento delle attività oggetto del contratto di appalto, l’aggiudicatario deve uniformarsi ai principi e, per quanto compatibili, ai doveri di condotta richiamati nel Decreto del Presidente della Repubblica 16 aprile 2013 n. 62  e nel codice di comportamento di questa stazione appaltante e n</w:t>
      </w:r>
      <w:r>
        <w:rPr>
          <w:rFonts w:ascii="Titillium" w:hAnsi="Titillium"/>
          <w:iCs/>
          <w:sz w:val="18"/>
          <w:szCs w:val="18"/>
          <w:lang w:eastAsia="it-IT"/>
        </w:rPr>
        <w:t>el Piano Triennale di Prevenzione della Corruzione e della Trasparenza</w:t>
      </w:r>
      <w:r>
        <w:rPr>
          <w:rFonts w:ascii="Titillium" w:hAnsi="Titillium"/>
          <w:i/>
          <w:iCs/>
          <w:sz w:val="18"/>
          <w:szCs w:val="18"/>
          <w:lang w:eastAsia="it-IT"/>
        </w:rPr>
        <w:t xml:space="preserve">, </w:t>
      </w:r>
      <w:r>
        <w:rPr>
          <w:rFonts w:ascii="Titillium" w:hAnsi="Titillium"/>
          <w:sz w:val="18"/>
          <w:szCs w:val="18"/>
          <w:lang w:eastAsia="it-IT"/>
        </w:rPr>
        <w:t>nonché nella</w:t>
      </w:r>
      <w:r>
        <w:rPr>
          <w:rFonts w:ascii="Titillium" w:hAnsi="Titillium"/>
          <w:iCs/>
          <w:sz w:val="18"/>
          <w:szCs w:val="18"/>
          <w:lang w:eastAsia="it-IT"/>
        </w:rPr>
        <w:t xml:space="preserve"> sottosezione Rischi corruttivi e trasparenza del PIAO</w:t>
      </w:r>
      <w:r>
        <w:rPr>
          <w:rFonts w:ascii="Titillium" w:hAnsi="Titillium"/>
          <w:sz w:val="18"/>
          <w:szCs w:val="18"/>
          <w:lang w:eastAsia="it-IT"/>
        </w:rPr>
        <w:t xml:space="preserve">. </w:t>
      </w:r>
    </w:p>
    <w:p>
      <w:pPr>
        <w:pStyle w:val="Normal"/>
        <w:widowControl w:val="false"/>
        <w:spacing w:lineRule="exact" w:line="280"/>
        <w:rPr>
          <w:rFonts w:ascii="Titillium" w:hAnsi="Titillium"/>
          <w:sz w:val="18"/>
          <w:szCs w:val="18"/>
          <w:lang w:eastAsia="it-IT"/>
        </w:rPr>
      </w:pPr>
      <w:r>
        <w:rPr>
          <w:rFonts w:ascii="Titillium" w:hAnsi="Titillium"/>
          <w:sz w:val="18"/>
          <w:szCs w:val="18"/>
          <w:lang w:eastAsia="it-IT"/>
        </w:rPr>
        <w:t>In seguito alla comunicazione di aggiudicazione e prima della stipula del contratto, l’aggiudicatario</w:t>
      </w:r>
      <w:r>
        <w:rPr>
          <w:rFonts w:ascii="Titillium" w:hAnsi="Titillium"/>
          <w:i/>
          <w:sz w:val="18"/>
          <w:szCs w:val="18"/>
          <w:lang w:eastAsia="it-IT"/>
        </w:rPr>
        <w:t xml:space="preserve"> </w:t>
      </w:r>
      <w:r>
        <w:rPr>
          <w:rFonts w:ascii="Titillium" w:hAnsi="Titillium"/>
          <w:sz w:val="18"/>
          <w:szCs w:val="18"/>
          <w:lang w:eastAsia="it-IT"/>
        </w:rPr>
        <w:t>ha l’onere di prendere visione dei già menzionati documenti pubblicati sul sito della stazione appaltante:</w:t>
      </w:r>
    </w:p>
    <w:p>
      <w:pPr>
        <w:pStyle w:val="Normal"/>
        <w:widowControl w:val="false"/>
        <w:spacing w:lineRule="exact" w:line="280"/>
        <w:rPr>
          <w:rFonts w:ascii="Titillium" w:hAnsi="Titillium"/>
          <w:sz w:val="18"/>
          <w:szCs w:val="18"/>
          <w:lang w:eastAsia="it-IT"/>
        </w:rPr>
      </w:pPr>
      <w:r>
        <w:rPr>
          <w:rFonts w:ascii="Titillium" w:hAnsi="Titillium"/>
          <w:sz w:val="18"/>
          <w:szCs w:val="18"/>
          <w:lang w:eastAsia="it-IT"/>
        </w:rPr>
        <w:t>-</w:t>
        <w:tab/>
        <w:t>Codice di comportamento - https://www.ausl.bologna.it/amministrazione-trasparente/disposizioni-generali/atti-generali/cdcc</w:t>
      </w:r>
    </w:p>
    <w:p>
      <w:pPr>
        <w:pStyle w:val="Normal"/>
        <w:widowControl w:val="false"/>
        <w:spacing w:lineRule="exact" w:line="280"/>
        <w:rPr>
          <w:rFonts w:ascii="Titillium" w:hAnsi="Titillium"/>
          <w:sz w:val="18"/>
          <w:szCs w:val="18"/>
          <w:lang w:eastAsia="it-IT"/>
        </w:rPr>
      </w:pPr>
      <w:r>
        <w:rPr>
          <w:rFonts w:ascii="Titillium" w:hAnsi="Titillium"/>
          <w:sz w:val="18"/>
          <w:szCs w:val="18"/>
          <w:lang w:eastAsia="it-IT"/>
        </w:rPr>
        <w:t>-</w:t>
        <w:tab/>
        <w:t>Piano Triennale di Prevenzione della Corruzione e della Trasparenza e sottosezione Rischi corruttivi e trasparenza PIAO https://www.ausl.bologna.it/amministrazione-trasparente/altri-contenuti-dati-ulteriori/ac/corruzione</w:t>
      </w:r>
    </w:p>
    <w:p>
      <w:pPr>
        <w:pStyle w:val="Normal"/>
        <w:widowControl w:val="false"/>
        <w:spacing w:lineRule="exact" w:line="280"/>
        <w:rPr/>
      </w:pPr>
      <w:r>
        <w:rPr/>
      </w:r>
    </w:p>
    <w:p>
      <w:pPr>
        <w:pStyle w:val="Heading2"/>
        <w:numPr>
          <w:ilvl w:val="0"/>
          <w:numId w:val="3"/>
        </w:numPr>
        <w:rPr/>
      </w:pPr>
      <w:bookmarkStart w:id="2978" w:name="_Toc207275770"/>
      <w:r>
        <w:rPr/>
        <w:t>ACCESSO AGLI ATTI</w:t>
      </w:r>
      <w:bookmarkEnd w:id="2978"/>
    </w:p>
    <w:p>
      <w:pPr>
        <w:pStyle w:val="Normal"/>
        <w:widowControl w:val="false"/>
        <w:spacing w:lineRule="exact" w:line="280"/>
        <w:rPr>
          <w:rFonts w:ascii="Titillium" w:hAnsi="Titillium"/>
          <w:sz w:val="18"/>
          <w:szCs w:val="18"/>
        </w:rPr>
      </w:pPr>
      <w:r>
        <w:rPr>
          <w:rFonts w:ascii="Titillium" w:hAnsi="Titillium"/>
          <w:sz w:val="18"/>
          <w:szCs w:val="18"/>
        </w:rPr>
        <w:t>L’accesso agli atti della procedura è assicurato in modalità digitale mediante acquisizione diretta dei dati e delle informazioni inseriti nelle PAD a decorrere dalla comunicazione digitale dell’aggiudicazione.</w:t>
      </w:r>
    </w:p>
    <w:p>
      <w:pPr>
        <w:pStyle w:val="Normal"/>
        <w:widowControl w:val="false"/>
        <w:spacing w:lineRule="exact" w:line="280"/>
        <w:rPr>
          <w:rFonts w:ascii="Titillium" w:hAnsi="Titillium"/>
          <w:sz w:val="18"/>
          <w:szCs w:val="18"/>
        </w:rPr>
      </w:pPr>
      <w:r>
        <w:rPr>
          <w:rFonts w:ascii="Titillium" w:hAnsi="Titillium"/>
          <w:sz w:val="18"/>
          <w:szCs w:val="18"/>
        </w:rPr>
        <w:t>A tutti i partecipanti non esclusi in via definitiva sono messi a disposizione, mediante la PAD, l’offerta dell’operatore economico risultato aggiudicatario, i verbali di gara e gli atti, i dati e le informazioni che sono stati valutati ai fini dell’aggiudicazione. La disponibilità dei documenti è garantita secondo le modalità indicate all’articolo 36 del Codice.</w:t>
      </w:r>
    </w:p>
    <w:p>
      <w:pPr>
        <w:pStyle w:val="Normal"/>
        <w:widowControl w:val="false"/>
        <w:spacing w:lineRule="exact" w:line="280"/>
        <w:rPr>
          <w:rFonts w:ascii="Titillium" w:hAnsi="Titillium"/>
          <w:sz w:val="18"/>
          <w:szCs w:val="18"/>
        </w:rPr>
      </w:pPr>
      <w:r>
        <w:rPr>
          <w:rFonts w:ascii="Titillium" w:hAnsi="Titillium"/>
          <w:sz w:val="18"/>
          <w:szCs w:val="18"/>
        </w:rPr>
        <w:t>Ai partecipanti collocatisi nei primi cinque posti della graduatoria sono rese disponibili, reciprocamente, le offerte presentate dagli stessi mediante indicate all’articolo 36 del Codice.</w:t>
      </w:r>
    </w:p>
    <w:p>
      <w:pPr>
        <w:pStyle w:val="Normal"/>
        <w:widowControl w:val="false"/>
        <w:spacing w:lineRule="exact" w:line="280"/>
        <w:rPr>
          <w:rFonts w:ascii="Titillium" w:hAnsi="Titillium"/>
          <w:sz w:val="18"/>
          <w:szCs w:val="18"/>
        </w:rPr>
      </w:pPr>
      <w:r>
        <w:rPr>
          <w:rFonts w:ascii="Titillium" w:hAnsi="Titillium"/>
          <w:sz w:val="18"/>
          <w:szCs w:val="18"/>
        </w:rPr>
        <w:t xml:space="preserve">La disponibilità della documentazione è comunicata agli interessati mediante la Piattaforma.  </w:t>
      </w:r>
    </w:p>
    <w:p>
      <w:pPr>
        <w:pStyle w:val="Normal"/>
        <w:widowControl w:val="false"/>
        <w:spacing w:lineRule="exact" w:line="280"/>
        <w:rPr>
          <w:rFonts w:ascii="Titillium" w:hAnsi="Titillium"/>
          <w:sz w:val="18"/>
          <w:szCs w:val="18"/>
        </w:rPr>
      </w:pPr>
      <w:r>
        <w:rPr>
          <w:rFonts w:ascii="Titillium" w:hAnsi="Titillium"/>
          <w:sz w:val="18"/>
          <w:szCs w:val="18"/>
        </w:rPr>
        <w:t xml:space="preserve">I partecipanti collocatisi oltre il quinto posto della graduatoria possono accedere alle offerte dei concorrenti diversi dal primo presentando apposita istanza ai sensi degli articoli 3 bis e 22 della legge n. 241/90. </w:t>
      </w:r>
    </w:p>
    <w:p>
      <w:pPr>
        <w:pStyle w:val="Normal"/>
        <w:widowControl w:val="false"/>
        <w:spacing w:lineRule="exact" w:line="280"/>
        <w:rPr>
          <w:rFonts w:ascii="Titillium" w:hAnsi="Titillium"/>
          <w:sz w:val="18"/>
          <w:szCs w:val="18"/>
        </w:rPr>
      </w:pPr>
      <w:r>
        <w:rPr>
          <w:rFonts w:ascii="Titillium" w:hAnsi="Titillium"/>
          <w:sz w:val="18"/>
          <w:szCs w:val="18"/>
        </w:rPr>
        <w:t>Nel caso in cui sia richiesto l’oscuramento di parti delle offerte e dei giustificativi, le decisioni in ordine all’accoglimento o al rigetto della richiesta sono rese note dal Responsabile unico di progetto al momento della comunicazione digitale dell’aggiudicazione.  Le decisioni di cui sopra possono essere impugnate innanzi al Tribunale amministrativo di competenza nel termine di dieci giorni dalla comunicazione. Prima del decorso di tale termine le offerte e i giustificativi dei primi cinque classificati sono messi reciprocamente a disposizione, con le modalità suindicate, nella versione oscurata.</w:t>
      </w:r>
    </w:p>
    <w:p>
      <w:pPr>
        <w:pStyle w:val="Normal"/>
        <w:widowControl w:val="false"/>
        <w:spacing w:lineRule="exact" w:line="280"/>
        <w:rPr>
          <w:rFonts w:ascii="Titillium" w:hAnsi="Titillium"/>
          <w:sz w:val="18"/>
          <w:szCs w:val="18"/>
        </w:rPr>
      </w:pPr>
      <w:r>
        <w:rPr>
          <w:rFonts w:ascii="Titillium" w:hAnsi="Titillium"/>
          <w:sz w:val="18"/>
          <w:szCs w:val="18"/>
        </w:rPr>
        <w:t>Fatti salvi i casi di esclusione di cui all’articolo 35, comma 4, del codice, gli atti della procedura sono resi accessibili ai soggetti che presentino apposita istanza di accesso civico ai sensi dell’articolo 5 del decreto legislativo 14/3/2013, n. 33. L’esercizio del diritto di accesso è differito nei casi indicati al comma 2 dell’articolo 35 del codice.</w:t>
      </w:r>
    </w:p>
    <w:p>
      <w:pPr>
        <w:pStyle w:val="Normal"/>
        <w:widowControl w:val="false"/>
        <w:spacing w:lineRule="exact" w:line="280"/>
        <w:rPr>
          <w:rFonts w:ascii="Titillium" w:hAnsi="Titillium"/>
          <w:sz w:val="18"/>
          <w:szCs w:val="18"/>
        </w:rPr>
      </w:pPr>
      <w:r>
        <w:rPr>
          <w:rFonts w:ascii="Titillium" w:hAnsi="Titillium"/>
          <w:sz w:val="18"/>
          <w:szCs w:val="18"/>
        </w:rPr>
      </w:r>
    </w:p>
    <w:p>
      <w:pPr>
        <w:pStyle w:val="Heading2"/>
        <w:numPr>
          <w:ilvl w:val="0"/>
          <w:numId w:val="3"/>
        </w:numPr>
        <w:rPr/>
      </w:pPr>
      <w:bookmarkStart w:id="2979" w:name="_Toc207275771"/>
      <w:bookmarkStart w:id="2980" w:name="_Toc406754194"/>
      <w:bookmarkStart w:id="2981" w:name="_Toc416423377"/>
      <w:bookmarkStart w:id="2982" w:name="_Toc354038182"/>
      <w:bookmarkStart w:id="2983" w:name="_Toc380501885"/>
      <w:bookmarkStart w:id="2984" w:name="_Toc391035998"/>
      <w:bookmarkStart w:id="2985" w:name="_Toc391036071"/>
      <w:bookmarkStart w:id="2986" w:name="_Toc392577512"/>
      <w:bookmarkStart w:id="2987" w:name="_Toc393110579"/>
      <w:bookmarkStart w:id="2988" w:name="_Toc393112143"/>
      <w:bookmarkStart w:id="2989" w:name="_Toc393187860"/>
      <w:bookmarkStart w:id="2990" w:name="_Toc393272616"/>
      <w:bookmarkStart w:id="2991" w:name="_Toc393272674"/>
      <w:bookmarkStart w:id="2992" w:name="_Toc393283190"/>
      <w:bookmarkStart w:id="2993" w:name="_Toc393700849"/>
      <w:bookmarkStart w:id="2994" w:name="_Toc393706922"/>
      <w:bookmarkStart w:id="2995" w:name="_Toc397346837"/>
      <w:bookmarkStart w:id="2996" w:name="_Toc397422878"/>
      <w:bookmarkStart w:id="2997" w:name="_Toc403471285"/>
      <w:bookmarkStart w:id="2998" w:name="_Toc406058393"/>
      <w:r>
        <w:rPr/>
        <w:t>DEFINIZIONE DELLE CONTROVERSIE</w:t>
      </w:r>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r>
        <w:rPr/>
        <w:t xml:space="preserve"> </w:t>
      </w:r>
    </w:p>
    <w:p>
      <w:pPr>
        <w:pStyle w:val="Normal"/>
        <w:spacing w:before="60" w:after="60"/>
        <w:rPr/>
      </w:pPr>
      <w:r>
        <w:rPr>
          <w:rFonts w:ascii="Titillium" w:hAnsi="Titillium"/>
          <w:sz w:val="18"/>
          <w:szCs w:val="18"/>
          <w:lang w:eastAsia="it-IT"/>
        </w:rPr>
        <w:t xml:space="preserve">Per le controversie derivanti dalla presente procedura di gara è competente il Tribunale Amministrativo di Bologna. </w:t>
      </w:r>
    </w:p>
    <w:p>
      <w:pPr>
        <w:pStyle w:val="Normal"/>
        <w:spacing w:before="60" w:after="60"/>
        <w:rPr>
          <w:rFonts w:ascii="Titillium" w:hAnsi="Titillium"/>
          <w:bCs/>
          <w:iCs/>
          <w:sz w:val="18"/>
          <w:szCs w:val="18"/>
          <w:lang w:eastAsia="it-IT"/>
        </w:rPr>
      </w:pPr>
      <w:r>
        <w:rPr>
          <w:rFonts w:ascii="Titillium" w:hAnsi="Titillium"/>
          <w:bCs/>
          <w:iCs/>
          <w:sz w:val="18"/>
          <w:szCs w:val="18"/>
          <w:lang w:eastAsia="it-IT"/>
        </w:rPr>
        <w:t xml:space="preserve">Si precisa che il contratto non conterrà la clausola compromissoria. </w:t>
      </w:r>
    </w:p>
    <w:p>
      <w:pPr>
        <w:pStyle w:val="Normal"/>
        <w:spacing w:before="60" w:after="60"/>
        <w:rPr>
          <w:rFonts w:ascii="Titillium" w:hAnsi="Titillium"/>
          <w:sz w:val="18"/>
          <w:szCs w:val="18"/>
          <w:lang w:eastAsia="it-IT"/>
        </w:rPr>
      </w:pPr>
      <w:r>
        <w:rPr>
          <w:rFonts w:ascii="Titillium" w:hAnsi="Titillium"/>
          <w:sz w:val="18"/>
          <w:szCs w:val="18"/>
          <w:lang w:eastAsia="it-IT"/>
        </w:rPr>
      </w:r>
    </w:p>
    <w:p>
      <w:pPr>
        <w:pStyle w:val="Heading2"/>
        <w:numPr>
          <w:ilvl w:val="0"/>
          <w:numId w:val="3"/>
        </w:numPr>
        <w:rPr/>
      </w:pPr>
      <w:bookmarkStart w:id="2999" w:name="_Toc207275772"/>
      <w:bookmarkStart w:id="3000" w:name="_Ref132066072"/>
      <w:bookmarkStart w:id="3001" w:name="_Toc406754195"/>
      <w:bookmarkStart w:id="3002" w:name="_Toc416423378"/>
      <w:bookmarkStart w:id="3003" w:name="_Toc354038183"/>
      <w:bookmarkStart w:id="3004" w:name="_Toc380501886"/>
      <w:bookmarkStart w:id="3005" w:name="_Toc391035999"/>
      <w:bookmarkStart w:id="3006" w:name="_Toc391036072"/>
      <w:bookmarkStart w:id="3007" w:name="_Toc392577513"/>
      <w:bookmarkStart w:id="3008" w:name="_Toc393110580"/>
      <w:bookmarkStart w:id="3009" w:name="_Toc393112144"/>
      <w:bookmarkStart w:id="3010" w:name="_Toc393187861"/>
      <w:bookmarkStart w:id="3011" w:name="_Toc393272617"/>
      <w:bookmarkStart w:id="3012" w:name="_Toc393272675"/>
      <w:bookmarkStart w:id="3013" w:name="_Toc393283191"/>
      <w:bookmarkStart w:id="3014" w:name="_Toc393700850"/>
      <w:bookmarkStart w:id="3015" w:name="_Toc393706923"/>
      <w:bookmarkStart w:id="3016" w:name="_Toc397346838"/>
      <w:bookmarkStart w:id="3017" w:name="_Toc397422879"/>
      <w:bookmarkStart w:id="3018" w:name="_Toc403471286"/>
      <w:bookmarkStart w:id="3019" w:name="_Toc406058394"/>
      <w:r>
        <w:rPr/>
        <w:t>TRATTAMENTO DEI DATI PERSONALI</w:t>
      </w:r>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Ai sensi dell’art.13 del Regolamento UE/2016/679 (GDPR) si informa che il trattamento dei dati personali conferiti nell’ambito della procedura di acquisizione di beni o servizi, o comunque raccolti dall’Azienda USL di Bologna a tale scopo, è finalizzato unicamente all’espletamento della predetta procedura, nonché delle attività ad essa correlate e conseguenti.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L’Azienda, per le finalità sopra descritte, raccoglie e tratta: Dati personali di cui all’art. 4 paragrafo 1, Categorie particolari di dati personali di cui all’art.9 paragrafo 1 e Dati giudiziari, di cui all’art. 10 del Regolamento UE, relativi a condanne penali o a reati, il cui trattamento è effettuato esclusivamente per valutare il possesso dei requisiti e delle qualità previsti dalla vigente normativa per permettere la partecipazione alla procedura di gara e l’eventuale aggiudicazione. </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In relazione alle descritte finalità, il trattamento dei dati personali avviene mediante strumenti manuali, informatici e telematici, con logiche strettamente correlate alle finalità predette e, comunque, in modo da garantire la sicurezza e la riservatezza dei dati stessi. I dati potranno essere trattati anche in base ai criteri qualitativi, quantitativi e temporali di volta in volta individuati.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Il conferimento dei dati richiesti dall’Azienda è necessario, in base alla normativa in materia di appalti e contrattualistica pubblica, per valutare il possesso dei requisiti e delle qualità richiesti per la partecipazione alla procedura nel cui ambito i dati stessi sono acquisiti; pertanto, la loro mancata indicazione può precludere l’effettuazione della relativa istruttoria.</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 dati conferiti sono trattati dagli operatori dell’Azienda individuati quali Incaricati del trattamento, a cui sono impartite idonee istruzioni in ordine a misure, accorgimenti, modus operandi, tutti volti alla concreta tutela dei dati personali.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 dati raccolti potranno altresì essere conosciuti da:</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Soggetti esterni, i cui nominativi sono a disposizione degli interessati, facenti parte della Commissione;</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Soggetti terzi fornitori di servizi per l’Azienda, o comunque ad essa legati da rapporto contrattuale, unicamente per le finalità sopra descritte, previa designazione in qualità di Responsabili del trattamento e comunque garantendo il medesimo livello di protezione;</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Altre Amministrazioni pubbliche, cui i dati potranno essere comunicati per adempimenti legali e procedimentali;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Altri concorrenti che facciano richiesta di accesso ai documenti di gara, secondo le modalità e nei limiti di quanto previsto dalla vigente normativa in materia di appalti;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Legali incaricati per la tutela dell’Azienda in sede giudiziaria.</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 dati relativi al concorrente aggiudicatario della gara ed il prezzo di aggiudicazione dell’appalto saranno pubblicati, come da normativa sugli appalti, sul profilo del committente dell’Azienda USL di Bologna www.ausl.bologna.it - bandi di gara e contratti -.</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 dati personali non saranno trasferiti al di fuori dell’Unione Europea.</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 dati verranno conservati per un arco di tempo non superiore a quello necessario al raggiungimento delle finalità per i quali essi sono trattati.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Il periodo di conservazione dei dati, ad esclusione di quelli soggetti a conservazione illimitata ai sensi di leggi, è di norma 10 anni dalla conclusione dell’esecuzione del contratto, comunque, per un arco di tempo non superiore a quello necessario all’adempimento degli obblighi normativi.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A tal fine, anche mediante controlli periodici, verrà verificata costantemente la stretta pertinenza, non eccedenza e indispensabilità dei dati rispetto al perseguimento delle finalità sopra descritte. I dati che, anche a seguito delle verifiche, risultano eccedenti o non pertinenti o non indispensabili non saranno utilizzati, salvo che per l'eventuale conservazione, a norma di legge, dell'atto o del documento che li contiene.</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In qualunque momento l’interessato può esercitare i diritti previsti dagli artt. 15 e seguenti del Regolamento UE/2016/679. In particolare, l’interessato ha il diritto di ottenere la conferma dell’esistenza o meno dei propri dati e di conoscerne il contenuto, l’origine e le finalità del trattamento, di verificarne l’esattezza o chiederne l’integrazione o l’aggiornamento, oppure la rettifica, i destinatari cui i dati saranno comunicati, il periodo di conservazione degli stessi; ha altresì il diritto di chiedere la cancellazione o la limitazione al trattamento, la trasformazione in forma anonima o il blocco dei dati trattati in violazione di legge, nonché di opporsi in ogni caso, per motivi legittimi, al loro trattamento ovvero revocare il trattamento. La relativa richiesta va rivolta all’Azienda USL di Bologna – Via Castiglione 29 – 40124 Bologna.</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L’interessato ha altresì il diritto di proporre reclamo all’autorità Garante per la protezione dei Dati personali (www.garanteprivacy.it).</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Titolare del trattamento dei dati personali di cui alla presente informativa è l’Azienda USL di Bologna, con sede in Bologna, Via Castiglione 29, CAP 40124.</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Il Referente privacy della procedura di gara è la Dott.ssa Antonia Crugliano, Direttore del Servizio Acquisti Area di Vasta.</w:t>
      </w:r>
    </w:p>
    <w:p>
      <w:pPr>
        <w:pStyle w:val="Normal"/>
        <w:tabs>
          <w:tab w:val="clear" w:pos="708"/>
          <w:tab w:val="left" w:pos="2004" w:leader="none"/>
        </w:tabs>
        <w:rPr/>
      </w:pPr>
      <w:r>
        <w:rPr>
          <w:rFonts w:cs="Calibri" w:ascii="Titillium" w:hAnsi="Titillium"/>
          <w:sz w:val="18"/>
          <w:szCs w:val="18"/>
          <w:lang w:eastAsia="it-IT"/>
        </w:rPr>
        <w:t>I recapiti del Responsabile della protezione dei dati (DPO) sono: dpo@aosp.bo.it; PEC  dpo@pec.aosp.bo.it) .</w:t>
      </w:r>
    </w:p>
    <w:p>
      <w:pPr>
        <w:pStyle w:val="Normal"/>
        <w:tabs>
          <w:tab w:val="clear" w:pos="708"/>
          <w:tab w:val="left" w:pos="2004" w:leader="none"/>
        </w:tabs>
        <w:rPr/>
      </w:pPr>
      <w:r>
        <w:rPr/>
      </w:r>
    </w:p>
    <w:p>
      <w:pPr>
        <w:pStyle w:val="ListParagraph"/>
        <w:numPr>
          <w:ilvl w:val="0"/>
          <w:numId w:val="3"/>
        </w:numPr>
        <w:tabs>
          <w:tab w:val="clear" w:pos="708"/>
          <w:tab w:val="left" w:pos="2004" w:leader="none"/>
        </w:tabs>
        <w:rPr>
          <w:rFonts w:ascii="Titillium" w:hAnsi="Titillium"/>
          <w:b/>
          <w:bCs/>
          <w:sz w:val="18"/>
          <w:szCs w:val="18"/>
        </w:rPr>
      </w:pPr>
      <w:r>
        <w:rPr>
          <w:rFonts w:ascii="Titillium" w:hAnsi="Titillium"/>
          <w:b/>
          <w:bCs/>
          <w:sz w:val="18"/>
          <w:szCs w:val="18"/>
        </w:rPr>
        <w:t>DISPOSIZIONI FINALI</w:t>
      </w:r>
    </w:p>
    <w:p>
      <w:pPr>
        <w:pStyle w:val="Normal"/>
        <w:tabs>
          <w:tab w:val="clear" w:pos="708"/>
          <w:tab w:val="left" w:pos="2004" w:leader="none"/>
        </w:tabs>
        <w:rPr>
          <w:rFonts w:ascii="Titillium" w:hAnsi="Titillium"/>
          <w:sz w:val="18"/>
          <w:szCs w:val="18"/>
        </w:rPr>
      </w:pPr>
      <w:r>
        <w:rPr>
          <w:rFonts w:ascii="Titillium" w:hAnsi="Titillium"/>
          <w:sz w:val="18"/>
          <w:szCs w:val="18"/>
        </w:rPr>
        <w:t>In caso di modificazione dell’assetto societario o gestionale dell’impresa la ditta aggiudicataria, nel termine di trenta giorni dall’intervenuta modificazione, dovrà trasmettere all’Ufficio Territoriale del Governo di Bologna, copia degli atti dai quali risulta l’intervenuta modificazione relativamente ai soggetti destinatari di verifiche antimafia (art. 86 D.Lgs. 6/9/11 n.159).</w:t>
      </w:r>
    </w:p>
    <w:p>
      <w:pPr>
        <w:pStyle w:val="Normal"/>
        <w:tabs>
          <w:tab w:val="clear" w:pos="708"/>
          <w:tab w:val="left" w:pos="2004" w:leader="none"/>
        </w:tabs>
        <w:rPr>
          <w:rFonts w:ascii="Titillium" w:hAnsi="Titillium"/>
          <w:sz w:val="18"/>
          <w:szCs w:val="18"/>
        </w:rPr>
      </w:pPr>
      <w:r>
        <w:rPr>
          <w:rFonts w:ascii="Titillium" w:hAnsi="Titillium"/>
          <w:sz w:val="18"/>
          <w:szCs w:val="18"/>
        </w:rPr>
        <w:t xml:space="preserve">La Ditta aggiudicataria è tenuta a inoltrare tale comunicazione anche all'Azienda USL di Bologna. </w:t>
      </w:r>
    </w:p>
    <w:p>
      <w:pPr>
        <w:pStyle w:val="Normal"/>
        <w:tabs>
          <w:tab w:val="clear" w:pos="708"/>
          <w:tab w:val="left" w:pos="2004" w:leader="none"/>
        </w:tabs>
        <w:rPr>
          <w:rFonts w:ascii="Titillium" w:hAnsi="Titillium"/>
          <w:sz w:val="18"/>
          <w:szCs w:val="18"/>
        </w:rPr>
      </w:pPr>
      <w:r>
        <w:rPr>
          <w:rFonts w:ascii="Titillium" w:hAnsi="Titillium"/>
          <w:sz w:val="18"/>
          <w:szCs w:val="18"/>
        </w:rPr>
        <w:t>S’informa, inoltre, che gli atti amministrativi sono resi pubblici, per opportuna conoscenza, dalla data di pubblicazione all’Albo Informatico consultabile sul sito istituzionale dell’Azienda USL di Bologna.</w:t>
      </w:r>
    </w:p>
    <w:p>
      <w:pPr>
        <w:pStyle w:val="Normal"/>
        <w:tabs>
          <w:tab w:val="clear" w:pos="708"/>
          <w:tab w:val="left" w:pos="2004" w:leader="none"/>
        </w:tabs>
        <w:rPr>
          <w:rFonts w:ascii="Titillium" w:hAnsi="Titillium"/>
          <w:sz w:val="18"/>
          <w:szCs w:val="18"/>
        </w:rPr>
      </w:pPr>
      <w:r>
        <w:rPr>
          <w:rFonts w:ascii="Titillium" w:hAnsi="Titillium"/>
          <w:sz w:val="18"/>
          <w:szCs w:val="18"/>
        </w:rPr>
      </w:r>
    </w:p>
    <w:p>
      <w:pPr>
        <w:pStyle w:val="Normal"/>
        <w:tabs>
          <w:tab w:val="clear" w:pos="708"/>
          <w:tab w:val="left" w:pos="2004" w:leader="none"/>
        </w:tabs>
        <w:rPr>
          <w:rFonts w:ascii="Titillium" w:hAnsi="Titillium"/>
          <w:sz w:val="18"/>
          <w:szCs w:val="18"/>
        </w:rPr>
      </w:pPr>
      <w:r>
        <w:rPr>
          <w:rFonts w:ascii="Titillium" w:hAnsi="Titillium"/>
          <w:sz w:val="18"/>
          <w:szCs w:val="18"/>
        </w:rPr>
      </w:r>
    </w:p>
    <w:p>
      <w:pPr>
        <w:pStyle w:val="Normal"/>
        <w:tabs>
          <w:tab w:val="clear" w:pos="708"/>
          <w:tab w:val="left" w:pos="2004" w:leader="none"/>
        </w:tabs>
        <w:rPr>
          <w:rFonts w:ascii="Titillium" w:hAnsi="Titillium"/>
          <w:sz w:val="18"/>
          <w:szCs w:val="18"/>
        </w:rPr>
      </w:pPr>
      <w:r>
        <w:rPr>
          <w:rFonts w:ascii="Titillium" w:hAnsi="Titillium"/>
          <w:sz w:val="18"/>
          <w:szCs w:val="18"/>
        </w:rPr>
        <w:t xml:space="preserve">                                                                                                                    </w:t>
      </w:r>
      <w:r>
        <w:rPr>
          <w:rFonts w:ascii="Titillium" w:hAnsi="Titillium"/>
          <w:sz w:val="18"/>
          <w:szCs w:val="18"/>
        </w:rPr>
        <w:t>IL DIRETTORE DEL</w:t>
      </w:r>
    </w:p>
    <w:p>
      <w:pPr>
        <w:pStyle w:val="Normal"/>
        <w:tabs>
          <w:tab w:val="clear" w:pos="708"/>
          <w:tab w:val="left" w:pos="2004" w:leader="none"/>
        </w:tabs>
        <w:rPr>
          <w:rFonts w:ascii="Titillium" w:hAnsi="Titillium"/>
          <w:sz w:val="18"/>
          <w:szCs w:val="18"/>
        </w:rPr>
      </w:pPr>
      <w:r>
        <w:rPr>
          <w:rFonts w:ascii="Titillium" w:hAnsi="Titillium"/>
          <w:sz w:val="18"/>
          <w:szCs w:val="18"/>
        </w:rPr>
        <w:tab/>
        <w:tab/>
        <w:t xml:space="preserve">                                                        SERVIZIO ACQUISTI AREA VASTA</w:t>
      </w:r>
    </w:p>
    <w:p>
      <w:pPr>
        <w:pStyle w:val="Normal"/>
        <w:tabs>
          <w:tab w:val="clear" w:pos="708"/>
          <w:tab w:val="left" w:pos="2004" w:leader="none"/>
        </w:tabs>
        <w:rPr>
          <w:rFonts w:ascii="Titillium" w:hAnsi="Titillium"/>
          <w:sz w:val="18"/>
          <w:szCs w:val="18"/>
        </w:rPr>
      </w:pPr>
      <w:r>
        <w:rPr>
          <w:rFonts w:ascii="Titillium" w:hAnsi="Titillium"/>
          <w:sz w:val="18"/>
          <w:szCs w:val="18"/>
        </w:rPr>
        <w:t xml:space="preserve">                                                                                                                </w:t>
      </w:r>
      <w:r>
        <w:rPr>
          <w:rFonts w:ascii="Titillium" w:hAnsi="Titillium"/>
          <w:sz w:val="18"/>
          <w:szCs w:val="18"/>
        </w:rPr>
        <w:t>(Dott.ssa Antonia Crugliano)</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548" w:right="1134" w:gutter="0" w:header="851" w:top="1418" w:footer="454" w:bottom="68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Garamond">
    <w:charset w:val="00"/>
    <w:family w:val="roman"/>
    <w:pitch w:val="variable"/>
  </w:font>
  <w:font w:name="Titillium">
    <w:charset w:val="00"/>
    <w:family w:val="roman"/>
    <w:pitch w:val="variable"/>
  </w:font>
  <w:font w:name="Tahoma">
    <w:charset w:val="00"/>
    <w:family w:val="roman"/>
    <w:pitch w:val="variable"/>
  </w:font>
  <w:font w:name="Calibri">
    <w:charset w:val="00"/>
    <w:family w:val="roman"/>
    <w:pitch w:val="variable"/>
  </w:font>
  <w:font w:name="Calibri Light">
    <w:charset w:val="00"/>
    <w:family w:val="roman"/>
    <w:pitch w:val="variable"/>
  </w:font>
  <w:font w:name="Gotham Light">
    <w:charset w:val="00"/>
    <w:family w:val="roman"/>
    <w:pitch w:val="variable"/>
  </w:font>
  <w:font w:name="Gotham Book">
    <w:charset w:val="00"/>
    <w:family w:val="roman"/>
    <w:pitch w:val="variable"/>
  </w:font>
  <w:font w:name="Gotham Medium">
    <w:charset w:val="00"/>
    <w:family w:val="roman"/>
    <w:pitch w:val="variable"/>
  </w:font>
  <w:font w:name="Minion Pro">
    <w:charset w:val="00"/>
    <w:family w:val="roman"/>
    <w:pitch w:val="variable"/>
  </w:font>
  <w:font w:name="OpenSymbol">
    <w:altName w:val="Arial Unicode MS"/>
    <w:charset w:val="02"/>
    <w:family w:val="roman"/>
    <w:pitch w:val="variable"/>
  </w:font>
  <w:font w:name="Courier New">
    <w:charset w:val="00"/>
    <w:family w:val="roman"/>
    <w:pitch w:val="variable"/>
  </w:font>
  <w:font w:name="Titillium">
    <w:altName w:val="Cambria"/>
    <w:charset w:val="00"/>
    <w:family w:val="roman"/>
    <w:pitch w:val="variable"/>
  </w:font>
  <w:font w:name="Wingdings">
    <w:charset w:val="00"/>
    <w:family w:val="roman"/>
    <w:pitch w:val="variable"/>
  </w:font>
  <w:font w:name="Book-Antiqua">
    <w:altName w:val="Bold"/>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Unicode MS">
    <w:charset w:val="00"/>
    <w:family w:val="roman"/>
    <w:pitch w:val="variable"/>
  </w:font>
  <w:font w:name="EUAlbertina">
    <w:charset w:val="00"/>
    <w:family w:val="roman"/>
    <w:pitch w:val="variable"/>
  </w:font>
  <w:font w:name="Liberation Mono">
    <w:altName w:val="Courier New"/>
    <w:charset w:val="00"/>
    <w:family w:val="roman"/>
    <w:pitch w:val="variable"/>
  </w:font>
  <w:font w:name="PC Tennessee">
    <w:altName w:val="Cambria"/>
    <w:charset w:val="00"/>
    <w:family w:val="roman"/>
    <w:pitch w:val="variable"/>
  </w:font>
  <w:font w:name="CG Times (W1)">
    <w:altName w:val="Times New Roman"/>
    <w:charset w:val="00"/>
    <w:family w:val="roman"/>
    <w:pitch w:val="variable"/>
  </w:font>
  <w:font w:name="Arial Narrow">
    <w:charset w:val="00"/>
    <w:family w:val="roman"/>
    <w:pitch w:val="variable"/>
  </w:font>
  <w:font w:name="Garamond">
    <w:charset w:val="01"/>
    <w:family w:val="roman"/>
    <w:pitch w:val="variable"/>
  </w:font>
  <w:font w:name="Courier New">
    <w:charset w:val="01"/>
    <w:family w:val="modern"/>
    <w:pitch w:val="fixed"/>
  </w:font>
  <w:font w:name="Wingdings">
    <w:charset w:val="02"/>
    <w:family w:val="auto"/>
    <w:pitch w:val="variable"/>
  </w:font>
  <w:font w:name="Titilium">
    <w:charset w:val="01"/>
    <w:family w:val="auto"/>
    <w:pitch w:val="default"/>
  </w:font>
  <w:font w:name="Titillium-Regular">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100"/>
      <w:jc w:val="right"/>
      <w:rPr/>
    </w:pPr>
    <w:r>
      <w:rPr>
        <w:rFonts w:ascii="Titillium" w:hAnsi="Titillium"/>
        <w:sz w:val="16"/>
        <w:szCs w:val="16"/>
        <w:lang w:val="it-IT"/>
      </w:rPr>
      <w:t xml:space="preserve">Pag. </w:t>
    </w:r>
    <w:r>
      <w:rPr>
        <w:rFonts w:ascii="Titillium" w:hAnsi="Titillium"/>
        <w:b/>
        <w:bCs/>
        <w:sz w:val="16"/>
        <w:szCs w:val="16"/>
      </w:rPr>
      <w:fldChar w:fldCharType="begin"/>
    </w:r>
    <w:r>
      <w:rPr>
        <w:rFonts w:ascii="Titillium" w:hAnsi="Titillium"/>
        <w:b/>
        <w:bCs/>
        <w:sz w:val="16"/>
        <w:szCs w:val="16"/>
      </w:rPr>
      <w:instrText xml:space="preserve"> PAGE </w:instrText>
    </w:r>
    <w:r>
      <w:rPr>
        <w:rFonts w:ascii="Titillium" w:hAnsi="Titillium"/>
        <w:b/>
        <w:bCs/>
        <w:sz w:val="16"/>
        <w:szCs w:val="16"/>
      </w:rPr>
      <w:fldChar w:fldCharType="separate"/>
    </w:r>
    <w:r>
      <w:rPr>
        <w:rFonts w:ascii="Titillium" w:hAnsi="Titillium"/>
        <w:b/>
        <w:bCs/>
        <w:sz w:val="16"/>
        <w:szCs w:val="16"/>
      </w:rPr>
      <w:t>35</w:t>
    </w:r>
    <w:r>
      <w:rPr>
        <w:rFonts w:ascii="Titillium" w:hAnsi="Titillium"/>
        <w:b/>
        <w:bCs/>
        <w:sz w:val="16"/>
        <w:szCs w:val="16"/>
      </w:rPr>
      <w:fldChar w:fldCharType="end"/>
    </w:r>
    <w:r>
      <w:rPr>
        <w:rFonts w:ascii="Titillium" w:hAnsi="Titillium"/>
        <w:sz w:val="16"/>
        <w:szCs w:val="16"/>
        <w:lang w:val="it-IT"/>
      </w:rPr>
      <w:t xml:space="preserve"> a </w:t>
    </w:r>
    <w:r>
      <w:rPr>
        <w:rFonts w:ascii="Titillium" w:hAnsi="Titillium"/>
        <w:b/>
        <w:bCs/>
        <w:sz w:val="16"/>
        <w:szCs w:val="16"/>
      </w:rPr>
      <w:fldChar w:fldCharType="begin"/>
    </w:r>
    <w:r>
      <w:rPr>
        <w:rFonts w:ascii="Titillium" w:hAnsi="Titillium"/>
        <w:b/>
        <w:bCs/>
        <w:sz w:val="16"/>
        <w:szCs w:val="16"/>
      </w:rPr>
      <w:instrText xml:space="preserve"> NUMPAGES </w:instrText>
    </w:r>
    <w:r>
      <w:rPr>
        <w:rFonts w:ascii="Titillium" w:hAnsi="Titillium"/>
        <w:b/>
        <w:bCs/>
        <w:sz w:val="16"/>
        <w:szCs w:val="16"/>
      </w:rPr>
      <w:fldChar w:fldCharType="separate"/>
    </w:r>
    <w:r>
      <w:rPr>
        <w:rFonts w:ascii="Titillium" w:hAnsi="Titillium"/>
        <w:b/>
        <w:bCs/>
        <w:sz w:val="16"/>
        <w:szCs w:val="16"/>
      </w:rPr>
      <w:t>35</w:t>
    </w:r>
    <w:r>
      <w:rPr>
        <w:rFonts w:ascii="Titillium" w:hAnsi="Titillium"/>
        <w:b/>
        <w:bCs/>
        <w:sz w:val="16"/>
        <w:szCs w:val="16"/>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100"/>
      <w:jc w:val="right"/>
      <w:rPr/>
    </w:pPr>
    <w:r>
      <w:rPr>
        <w:rFonts w:ascii="Titillium" w:hAnsi="Titillium"/>
        <w:sz w:val="16"/>
        <w:szCs w:val="16"/>
        <w:lang w:val="it-IT"/>
      </w:rPr>
      <w:t xml:space="preserve">Pag. </w:t>
    </w:r>
    <w:r>
      <w:rPr>
        <w:rFonts w:ascii="Titillium" w:hAnsi="Titillium"/>
        <w:b/>
        <w:bCs/>
        <w:sz w:val="16"/>
        <w:szCs w:val="16"/>
      </w:rPr>
      <w:fldChar w:fldCharType="begin"/>
    </w:r>
    <w:r>
      <w:rPr>
        <w:rFonts w:ascii="Titillium" w:hAnsi="Titillium"/>
        <w:b/>
        <w:bCs/>
        <w:sz w:val="16"/>
        <w:szCs w:val="16"/>
      </w:rPr>
      <w:instrText xml:space="preserve"> PAGE </w:instrText>
    </w:r>
    <w:r>
      <w:rPr>
        <w:rFonts w:ascii="Titillium" w:hAnsi="Titillium"/>
        <w:b/>
        <w:bCs/>
        <w:sz w:val="16"/>
        <w:szCs w:val="16"/>
      </w:rPr>
      <w:fldChar w:fldCharType="separate"/>
    </w:r>
    <w:r>
      <w:rPr>
        <w:rFonts w:ascii="Titillium" w:hAnsi="Titillium"/>
        <w:b/>
        <w:bCs/>
        <w:sz w:val="16"/>
        <w:szCs w:val="16"/>
      </w:rPr>
      <w:t>35</w:t>
    </w:r>
    <w:r>
      <w:rPr>
        <w:rFonts w:ascii="Titillium" w:hAnsi="Titillium"/>
        <w:b/>
        <w:bCs/>
        <w:sz w:val="16"/>
        <w:szCs w:val="16"/>
      </w:rPr>
      <w:fldChar w:fldCharType="end"/>
    </w:r>
    <w:r>
      <w:rPr>
        <w:rFonts w:ascii="Titillium" w:hAnsi="Titillium"/>
        <w:sz w:val="16"/>
        <w:szCs w:val="16"/>
        <w:lang w:val="it-IT"/>
      </w:rPr>
      <w:t xml:space="preserve"> a </w:t>
    </w:r>
    <w:r>
      <w:rPr>
        <w:rFonts w:ascii="Titillium" w:hAnsi="Titillium"/>
        <w:b/>
        <w:bCs/>
        <w:sz w:val="16"/>
        <w:szCs w:val="16"/>
      </w:rPr>
      <w:fldChar w:fldCharType="begin"/>
    </w:r>
    <w:r>
      <w:rPr>
        <w:rFonts w:ascii="Titillium" w:hAnsi="Titillium"/>
        <w:b/>
        <w:bCs/>
        <w:sz w:val="16"/>
        <w:szCs w:val="16"/>
      </w:rPr>
      <w:instrText xml:space="preserve"> NUMPAGES </w:instrText>
    </w:r>
    <w:r>
      <w:rPr>
        <w:rFonts w:ascii="Titillium" w:hAnsi="Titillium"/>
        <w:b/>
        <w:bCs/>
        <w:sz w:val="16"/>
        <w:szCs w:val="16"/>
      </w:rPr>
      <w:fldChar w:fldCharType="separate"/>
    </w:r>
    <w:r>
      <w:rPr>
        <w:rFonts w:ascii="Titillium" w:hAnsi="Titillium"/>
        <w:b/>
        <w:bCs/>
        <w:sz w:val="16"/>
        <w:szCs w:val="16"/>
      </w:rPr>
      <w:t>35</w:t>
    </w:r>
    <w:r>
      <w:rPr>
        <w:rFonts w:ascii="Titillium" w:hAnsi="Titillium"/>
        <w:b/>
        <w:bCs/>
        <w:sz w:val="16"/>
        <w:szCs w:val="1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80" w:after="28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80" w:after="280"/>
      <w:ind w:left="-567"/>
      <w:rPr>
        <w:color w:val="008749"/>
        <w:szCs w:val="16"/>
      </w:rPr>
    </w:pPr>
    <w:r>
      <w:rPr/>
      <w:drawing>
        <wp:inline distT="0" distB="0" distL="0" distR="0">
          <wp:extent cx="5857240" cy="741680"/>
          <wp:effectExtent l="0" t="0" r="0" b="0"/>
          <wp:docPr id="1" name="Immagine 1"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schermata&#10;&#10;Descrizione generata automaticamente"/>
                  <pic:cNvPicPr>
                    <a:picLocks noChangeAspect="1" noChangeArrowheads="1"/>
                  </pic:cNvPicPr>
                </pic:nvPicPr>
                <pic:blipFill>
                  <a:blip r:embed="rId1"/>
                  <a:stretch>
                    <a:fillRect/>
                  </a:stretch>
                </pic:blipFill>
                <pic:spPr bwMode="auto">
                  <a:xfrm>
                    <a:off x="0" y="0"/>
                    <a:ext cx="5857240" cy="741680"/>
                  </a:xfrm>
                  <a:prstGeom prst="rect">
                    <a:avLst/>
                  </a:prstGeom>
                  <a:noFill/>
                </pic:spPr>
              </pic:pic>
            </a:graphicData>
          </a:graphic>
        </wp:inline>
      </w:drawing>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t xml:space="preserve">Dipartimento Amministrativo </w:t>
    </w:r>
  </w:p>
  <w:p>
    <w:pPr>
      <w:pStyle w:val="Heading1"/>
      <w:spacing w:lineRule="auto" w:line="240" w:before="0" w:after="0"/>
      <w:rPr>
        <w:rFonts w:ascii="Arial" w:hAnsi="Arial" w:cs="Arial"/>
        <w:color w:val="008749"/>
        <w:sz w:val="14"/>
        <w:szCs w:val="14"/>
      </w:rPr>
    </w:pPr>
    <w:r>
      <w:rPr>
        <w:rFonts w:cs="Arial" w:ascii="Arial" w:hAnsi="Arial"/>
        <w:color w:val="008749"/>
        <w:sz w:val="14"/>
        <w:szCs w:val="14"/>
      </w:rPr>
      <w:t>Servizio Acquisti di Area Vasta</w:t>
    </w:r>
  </w:p>
  <w:p>
    <w:pPr>
      <w:pStyle w:val="Heading1"/>
      <w:spacing w:lineRule="auto" w:line="240" w:before="0" w:after="0"/>
      <w:rPr>
        <w:rFonts w:ascii="Arial" w:hAnsi="Arial" w:cs="Arial"/>
        <w:color w:val="008749"/>
        <w:sz w:val="14"/>
        <w:szCs w:val="14"/>
      </w:rPr>
    </w:pPr>
    <w:r>
      <w:rPr>
        <w:rFonts w:cs="Arial" w:ascii="Arial" w:hAnsi="Arial"/>
        <w:color w:val="008749"/>
        <w:sz w:val="14"/>
        <w:szCs w:val="14"/>
      </w:rPr>
      <w:t>Settore</w:t>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80" w:after="280"/>
      <w:ind w:left="-567"/>
      <w:rPr>
        <w:color w:val="008749"/>
        <w:szCs w:val="16"/>
      </w:rPr>
    </w:pPr>
    <w:r>
      <w:rPr/>
      <w:drawing>
        <wp:inline distT="0" distB="0" distL="0" distR="0">
          <wp:extent cx="5857240" cy="741680"/>
          <wp:effectExtent l="0" t="0" r="0" b="0"/>
          <wp:docPr id="2" name="Immagine 1"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 Carattere, schermata&#10;&#10;Descrizione generata automaticamente"/>
                  <pic:cNvPicPr>
                    <a:picLocks noChangeAspect="1" noChangeArrowheads="1"/>
                  </pic:cNvPicPr>
                </pic:nvPicPr>
                <pic:blipFill>
                  <a:blip r:embed="rId1"/>
                  <a:stretch>
                    <a:fillRect/>
                  </a:stretch>
                </pic:blipFill>
                <pic:spPr bwMode="auto">
                  <a:xfrm>
                    <a:off x="0" y="0"/>
                    <a:ext cx="5857240" cy="741680"/>
                  </a:xfrm>
                  <a:prstGeom prst="rect">
                    <a:avLst/>
                  </a:prstGeom>
                  <a:noFill/>
                </pic:spPr>
              </pic:pic>
            </a:graphicData>
          </a:graphic>
        </wp:inline>
      </w:drawing>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t xml:space="preserve">Dipartimento Amministrativo </w:t>
    </w:r>
  </w:p>
  <w:p>
    <w:pPr>
      <w:pStyle w:val="Heading1"/>
      <w:spacing w:lineRule="auto" w:line="240" w:before="0" w:after="0"/>
      <w:rPr>
        <w:rFonts w:ascii="Arial" w:hAnsi="Arial" w:cs="Arial"/>
        <w:color w:val="008749"/>
        <w:sz w:val="14"/>
        <w:szCs w:val="14"/>
      </w:rPr>
    </w:pPr>
    <w:r>
      <w:rPr>
        <w:rFonts w:cs="Arial" w:ascii="Arial" w:hAnsi="Arial"/>
        <w:color w:val="008749"/>
        <w:sz w:val="14"/>
        <w:szCs w:val="14"/>
      </w:rPr>
      <w:t>Servizio Acquisti di Area Vasta</w:t>
    </w:r>
  </w:p>
  <w:p>
    <w:pPr>
      <w:pStyle w:val="Heading1"/>
      <w:spacing w:lineRule="auto" w:line="240" w:before="0" w:after="0"/>
      <w:rPr>
        <w:rFonts w:ascii="Arial" w:hAnsi="Arial" w:cs="Arial"/>
        <w:color w:val="008749"/>
        <w:sz w:val="14"/>
        <w:szCs w:val="14"/>
      </w:rPr>
    </w:pPr>
    <w:r>
      <w:rPr>
        <w:rFonts w:cs="Arial" w:ascii="Arial" w:hAnsi="Arial"/>
        <w:color w:val="008749"/>
        <w:sz w:val="14"/>
        <w:szCs w:val="14"/>
      </w:rPr>
      <w:t>Settore</w:t>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b w:val="false"/>
        <w:i w:val="false"/>
        <w:sz w:val="24"/>
        <w:szCs w:val="24"/>
      </w:rPr>
    </w:lvl>
    <w:lvl w:ilvl="2">
      <w:start w:val="1"/>
      <w:numFmt w:val="decimal"/>
      <w:lvlText w:val="%1.%2.%3."/>
      <w:lvlJc w:val="left"/>
      <w:pPr>
        <w:tabs>
          <w:tab w:val="num" w:pos="0"/>
        </w:tabs>
        <w:ind w:left="788" w:hanging="504"/>
      </w:pPr>
      <w:rPr>
        <w:b w:val="false"/>
        <w:i w:val="false"/>
        <w:strike w:val="false"/>
        <w:dstrike w:val="false"/>
        <w:sz w:val="24"/>
        <w:szCs w:val="24"/>
      </w:rPr>
    </w:lvl>
    <w:lvl w:ilvl="3">
      <w:start w:val="1"/>
      <w:numFmt w:val="decimal"/>
      <w:lvlText w:val="%1.%2.%3.%4."/>
      <w:lvlJc w:val="left"/>
      <w:pPr>
        <w:tabs>
          <w:tab w:val="num" w:pos="0"/>
        </w:tabs>
        <w:ind w:left="932" w:hanging="648"/>
      </w:pPr>
      <w:rPr>
        <w:b w:val="false"/>
        <w:strike w:val="false"/>
        <w:dstrike w:val="false"/>
        <w:color w:val="auto"/>
        <w:sz w:val="24"/>
        <w:szCs w:val="24"/>
      </w:rPr>
    </w:lvl>
    <w:lvl w:ilvl="4">
      <w:start w:val="1"/>
      <w:numFmt w:val="lowerLetter"/>
      <w:lvlText w:val="%5."/>
      <w:lvlJc w:val="left"/>
      <w:pPr>
        <w:tabs>
          <w:tab w:val="num" w:pos="0"/>
        </w:tabs>
        <w:ind w:left="2069" w:hanging="792"/>
      </w:pPr>
      <w:rPr>
        <w:sz w:val="18"/>
        <w:szCs w:val="18"/>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b w:val="false"/>
        <w:i w:val="false"/>
        <w:sz w:val="24"/>
        <w:szCs w:val="24"/>
      </w:rPr>
    </w:lvl>
    <w:lvl w:ilvl="2">
      <w:start w:val="1"/>
      <w:numFmt w:val="lowerLetter"/>
      <w:lvlText w:val="%3)"/>
      <w:lvlJc w:val="left"/>
      <w:pPr>
        <w:tabs>
          <w:tab w:val="num" w:pos="0"/>
        </w:tabs>
        <w:ind w:left="504" w:hanging="504"/>
      </w:pPr>
      <w:rPr>
        <w:rFonts w:ascii="Titillium" w:hAnsi="Titillium"/>
        <w:b w:val="false"/>
        <w:i w:val="false"/>
        <w:strike w:val="false"/>
        <w:dstrike w:val="false"/>
        <w:sz w:val="18"/>
        <w:szCs w:val="18"/>
      </w:rPr>
    </w:lvl>
    <w:lvl w:ilvl="3">
      <w:start w:val="1"/>
      <w:numFmt w:val="decimal"/>
      <w:lvlText w:val="%1.%2.%3.%4."/>
      <w:lvlJc w:val="left"/>
      <w:pPr>
        <w:tabs>
          <w:tab w:val="num" w:pos="0"/>
        </w:tabs>
        <w:ind w:left="932" w:hanging="648"/>
      </w:pPr>
      <w:rPr>
        <w:b w:val="false"/>
        <w:strike w:val="false"/>
        <w:dstrike w:val="false"/>
        <w:color w:val="auto"/>
        <w:sz w:val="24"/>
        <w:szCs w:val="24"/>
      </w:rPr>
    </w:lvl>
    <w:lvl w:ilvl="4">
      <w:start w:val="1"/>
      <w:numFmt w:val="decimal"/>
      <w:lvlText w:val="%1.%2.%3.%4.%5."/>
      <w:lvlJc w:val="left"/>
      <w:pPr>
        <w:tabs>
          <w:tab w:val="num" w:pos="0"/>
        </w:tabs>
        <w:ind w:left="2069"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decimal"/>
      <w:lvlText w:val="%1."/>
      <w:lvlJc w:val="left"/>
      <w:pPr>
        <w:tabs>
          <w:tab w:val="num" w:pos="0"/>
        </w:tabs>
        <w:ind w:left="360" w:hanging="360"/>
      </w:pPr>
      <w:rPr>
        <w:rFonts w:ascii="Titillium" w:hAnsi="Titillium"/>
        <w:b/>
        <w:i w:val="false"/>
        <w:sz w:val="18"/>
        <w:szCs w:val="18"/>
      </w:rPr>
    </w:lvl>
    <w:lvl w:ilvl="1">
      <w:start w:val="1"/>
      <w:numFmt w:val="decimal"/>
      <w:lvlText w:val="%1.%2."/>
      <w:lvlJc w:val="left"/>
      <w:pPr>
        <w:tabs>
          <w:tab w:val="num" w:pos="0"/>
        </w:tabs>
        <w:ind w:left="792" w:hanging="432"/>
      </w:pPr>
      <w:rPr>
        <w:rFonts w:ascii="Titillium" w:hAnsi="Titillium"/>
        <w:sz w:val="18"/>
        <w:szCs w:val="18"/>
      </w:rPr>
    </w:lvl>
    <w:lvl w:ilvl="2">
      <w:start w:val="1"/>
      <w:numFmt w:val="decimal"/>
      <w:lvlText w:val="%1.%2.%3."/>
      <w:lvlJc w:val="left"/>
      <w:pPr>
        <w:tabs>
          <w:tab w:val="num" w:pos="0"/>
        </w:tabs>
        <w:ind w:left="1224" w:hanging="504"/>
      </w:pPr>
      <w:rPr>
        <w:b/>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lowerLetter"/>
      <w:lvlText w:val="%1)"/>
      <w:lvlJc w:val="left"/>
      <w:pPr>
        <w:tabs>
          <w:tab w:val="num" w:pos="0"/>
        </w:tabs>
        <w:ind w:left="720" w:hanging="360"/>
      </w:pPr>
      <w:rPr>
        <w:rFonts w:ascii="Titillium" w:hAnsi="Titillium"/>
        <w:b/>
        <w:i w:val="false"/>
        <w:sz w:val="18"/>
        <w:szCs w:val="18"/>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lowerLetter"/>
      <w:lvlText w:val="%1)"/>
      <w:lvlJc w:val="left"/>
      <w:pPr>
        <w:tabs>
          <w:tab w:val="num" w:pos="0"/>
        </w:tabs>
        <w:ind w:left="1146" w:hanging="360"/>
      </w:pPr>
      <w:rPr>
        <w:sz w:val="18"/>
        <w:szCs w:val="18"/>
      </w:rPr>
    </w:lvl>
    <w:lvl w:ilvl="1">
      <w:start w:val="1"/>
      <w:numFmt w:val="lowerLetter"/>
      <w:lvlText w:val="%2."/>
      <w:lvlJc w:val="left"/>
      <w:pPr>
        <w:tabs>
          <w:tab w:val="num" w:pos="0"/>
        </w:tabs>
        <w:ind w:left="1866" w:hanging="360"/>
      </w:pPr>
      <w:rPr/>
    </w:lvl>
    <w:lvl w:ilvl="2">
      <w:start w:val="1"/>
      <w:numFmt w:val="lowerRoman"/>
      <w:lvlText w:val="%3."/>
      <w:lvlJc w:val="right"/>
      <w:pPr>
        <w:tabs>
          <w:tab w:val="num" w:pos="0"/>
        </w:tabs>
        <w:ind w:left="2586" w:hanging="180"/>
      </w:pPr>
      <w:rPr/>
    </w:lvl>
    <w:lvl w:ilvl="3">
      <w:start w:val="1"/>
      <w:numFmt w:val="decimal"/>
      <w:lvlText w:val="%4."/>
      <w:lvlJc w:val="left"/>
      <w:pPr>
        <w:tabs>
          <w:tab w:val="num" w:pos="0"/>
        </w:tabs>
        <w:ind w:left="3306" w:hanging="360"/>
      </w:pPr>
      <w:rPr/>
    </w:lvl>
    <w:lvl w:ilvl="4">
      <w:start w:val="1"/>
      <w:numFmt w:val="lowerLetter"/>
      <w:lvlText w:val="%5."/>
      <w:lvlJc w:val="left"/>
      <w:pPr>
        <w:tabs>
          <w:tab w:val="num" w:pos="0"/>
        </w:tabs>
        <w:ind w:left="4026" w:hanging="360"/>
      </w:pPr>
      <w:rPr/>
    </w:lvl>
    <w:lvl w:ilvl="5">
      <w:start w:val="1"/>
      <w:numFmt w:val="lowerRoman"/>
      <w:lvlText w:val="%6."/>
      <w:lvlJc w:val="right"/>
      <w:pPr>
        <w:tabs>
          <w:tab w:val="num" w:pos="0"/>
        </w:tabs>
        <w:ind w:left="4746" w:hanging="180"/>
      </w:pPr>
      <w:rPr/>
    </w:lvl>
    <w:lvl w:ilvl="6">
      <w:start w:val="1"/>
      <w:numFmt w:val="decimal"/>
      <w:lvlText w:val="%7."/>
      <w:lvlJc w:val="left"/>
      <w:pPr>
        <w:tabs>
          <w:tab w:val="num" w:pos="0"/>
        </w:tabs>
        <w:ind w:left="5466" w:hanging="360"/>
      </w:pPr>
      <w:rPr/>
    </w:lvl>
    <w:lvl w:ilvl="7">
      <w:start w:val="1"/>
      <w:numFmt w:val="lowerLetter"/>
      <w:lvlText w:val="%8."/>
      <w:lvlJc w:val="left"/>
      <w:pPr>
        <w:tabs>
          <w:tab w:val="num" w:pos="0"/>
        </w:tabs>
        <w:ind w:left="6186" w:hanging="360"/>
      </w:pPr>
      <w:rPr/>
    </w:lvl>
    <w:lvl w:ilvl="8">
      <w:start w:val="1"/>
      <w:numFmt w:val="lowerRoman"/>
      <w:lvlText w:val="%9."/>
      <w:lvlJc w:val="right"/>
      <w:pPr>
        <w:tabs>
          <w:tab w:val="num" w:pos="0"/>
        </w:tabs>
        <w:ind w:left="6906" w:hanging="180"/>
      </w:pPr>
      <w:rPr/>
    </w:lvl>
  </w:abstractNum>
  <w:abstractNum w:abstractNumId="6">
    <w:lvl w:ilvl="0">
      <w:start w:val="1"/>
      <w:numFmt w:val="bullet"/>
      <w:lvlText w:val="-"/>
      <w:lvlJc w:val="left"/>
      <w:pPr>
        <w:tabs>
          <w:tab w:val="num" w:pos="0"/>
        </w:tabs>
        <w:ind w:left="720" w:hanging="360"/>
      </w:pPr>
      <w:rPr>
        <w:rFonts w:ascii="Garamond" w:hAnsi="Garamond" w:cs="Garamond" w:hint="default"/>
        <w:b/>
        <w:i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Garamond" w:hAnsi="Garamond" w:cs="Garamond" w:hint="default"/>
        <w:b/>
        <w:i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lowerLetter"/>
      <w:lvlText w:val="%1."/>
      <w:lvlJc w:val="left"/>
      <w:pPr>
        <w:tabs>
          <w:tab w:val="num" w:pos="0"/>
        </w:tabs>
        <w:ind w:left="1429" w:hanging="360"/>
      </w:pPr>
      <w:rPr>
        <w:i w:val="false"/>
        <w:iCs w:val="false"/>
        <w:sz w:val="18"/>
        <w:szCs w:val="18"/>
      </w:rPr>
    </w:lvl>
    <w:lvl w:ilvl="1">
      <w:start w:val="1"/>
      <w:numFmt w:val="lowerLetter"/>
      <w:lvlText w:val="%2)"/>
      <w:lvlJc w:val="left"/>
      <w:pPr>
        <w:tabs>
          <w:tab w:val="num" w:pos="0"/>
        </w:tabs>
        <w:ind w:left="2149" w:hanging="360"/>
      </w:pPr>
      <w:rPr>
        <w:i w:val="false"/>
        <w:iCs w:val="false"/>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2487"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9">
    <w:lvl w:ilvl="0">
      <w:start w:val="1"/>
      <w:numFmt w:val="bullet"/>
      <w:lvlText w:val="-"/>
      <w:lvlJc w:val="left"/>
      <w:pPr>
        <w:tabs>
          <w:tab w:val="num" w:pos="0"/>
        </w:tabs>
        <w:ind w:left="720" w:hanging="360"/>
      </w:pPr>
      <w:rPr>
        <w:rFonts w:ascii="Garamond" w:hAnsi="Garamond" w:cs="Garamond" w:hint="default"/>
        <w:b/>
        <w:i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360" w:hanging="360"/>
      </w:pPr>
      <w:rPr/>
    </w:lvl>
    <w:lvl w:ilvl="1">
      <w:start w:val="1"/>
      <w:numFmt w:val="lowerLetter"/>
      <w:lvlText w:val="%1.%2)"/>
      <w:lvlJc w:val="left"/>
      <w:pPr>
        <w:tabs>
          <w:tab w:val="num" w:pos="0"/>
        </w:tabs>
        <w:ind w:left="792" w:hanging="432"/>
      </w:pPr>
      <w:rPr/>
    </w:lvl>
    <w:lvl w:ilvl="2">
      <w:start w:val="1"/>
      <w:numFmt w:val="decimal"/>
      <w:lvlText w:val="%1.%2.%3."/>
      <w:lvlJc w:val="left"/>
      <w:pPr>
        <w:tabs>
          <w:tab w:val="num" w:pos="0"/>
        </w:tabs>
        <w:ind w:left="1497" w:hanging="504"/>
      </w:pPr>
      <w:rPr>
        <w:b w:val="false"/>
        <w:i w:val="false"/>
        <w:strike w:val="false"/>
        <w:dstrike w:val="false"/>
        <w:sz w:val="24"/>
        <w:szCs w:val="24"/>
      </w:rPr>
    </w:lvl>
    <w:lvl w:ilvl="3">
      <w:start w:val="1"/>
      <w:numFmt w:val="lowerLetter"/>
      <w:lvlText w:val="%4."/>
      <w:lvlJc w:val="left"/>
      <w:pPr>
        <w:tabs>
          <w:tab w:val="num" w:pos="0"/>
        </w:tabs>
        <w:ind w:left="932" w:hanging="648"/>
      </w:pPr>
      <w:rPr>
        <w:b w:val="false"/>
        <w:strike w:val="false"/>
        <w:dstrike w:val="false"/>
        <w:color w:val="auto"/>
        <w:sz w:val="18"/>
        <w:szCs w:val="18"/>
      </w:rPr>
    </w:lvl>
    <w:lvl w:ilvl="4">
      <w:start w:val="1"/>
      <w:numFmt w:val="decimal"/>
      <w:lvlText w:val="%1.%2.%3.%4.%5."/>
      <w:lvlJc w:val="left"/>
      <w:pPr>
        <w:tabs>
          <w:tab w:val="num" w:pos="0"/>
        </w:tabs>
        <w:ind w:left="2069"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720" w:hanging="360"/>
      </w:pPr>
      <w:rPr>
        <w:rFonts w:ascii="Titillium" w:hAnsi="Titillium"/>
        <w:b w:val="false"/>
        <w:i w:val="false"/>
        <w:sz w:val="18"/>
        <w:szCs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b w:val="false"/>
        <w:i w:val="false"/>
        <w:strike w:val="false"/>
        <w:dstrike w:val="false"/>
        <w:sz w:val="24"/>
        <w:szCs w:val="24"/>
      </w:rPr>
    </w:lvl>
    <w:lvl w:ilvl="2">
      <w:start w:val="1"/>
      <w:numFmt w:val="decimal"/>
      <w:lvlText w:val="%3)"/>
      <w:lvlJc w:val="left"/>
      <w:pPr>
        <w:tabs>
          <w:tab w:val="num" w:pos="0"/>
        </w:tabs>
        <w:ind w:left="504" w:hanging="504"/>
      </w:pPr>
      <w:rPr>
        <w:rFonts w:ascii="Titillium" w:hAnsi="Titillium" w:eastAsia="Times New Roman" w:cs="Calibri"/>
        <w:b w:val="false"/>
        <w:i w:val="false"/>
        <w:strike w:val="false"/>
        <w:dstrike w:val="false"/>
        <w:sz w:val="18"/>
        <w:szCs w:val="18"/>
      </w:rPr>
    </w:lvl>
    <w:lvl w:ilvl="3">
      <w:start w:val="1"/>
      <w:numFmt w:val="lowerLetter"/>
      <w:lvlText w:val="%4)"/>
      <w:lvlJc w:val="left"/>
      <w:pPr>
        <w:tabs>
          <w:tab w:val="num" w:pos="0"/>
        </w:tabs>
        <w:ind w:left="932" w:hanging="648"/>
      </w:pPr>
      <w:rPr>
        <w:rFonts w:eastAsia="Times New Roman" w:cs="Arial"/>
        <w:b w:val="false"/>
        <w:strike w:val="false"/>
        <w:dstrike w:val="false"/>
        <w:color w:val="auto"/>
        <w:sz w:val="24"/>
        <w:szCs w:val="24"/>
      </w:rPr>
    </w:lvl>
    <w:lvl w:ilvl="4">
      <w:start w:val="1"/>
      <w:numFmt w:val="decimal"/>
      <w:lvlText w:val="%1.%2.%3.%4.%5."/>
      <w:lvlJc w:val="left"/>
      <w:pPr>
        <w:tabs>
          <w:tab w:val="num" w:pos="0"/>
        </w:tabs>
        <w:ind w:left="2069"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decimal"/>
      <w:lvlText w:val="%1."/>
      <w:lvlJc w:val="left"/>
      <w:pPr>
        <w:tabs>
          <w:tab w:val="num" w:pos="0"/>
        </w:tabs>
        <w:ind w:left="720" w:hanging="360"/>
      </w:pPr>
      <w:rPr/>
    </w:lvl>
    <w:lvl w:ilvl="1">
      <w:start w:val="1"/>
      <w:numFmt w:val="bullet"/>
      <w:lvlText w:val="-"/>
      <w:lvlJc w:val="left"/>
      <w:pPr>
        <w:tabs>
          <w:tab w:val="num" w:pos="0"/>
        </w:tabs>
        <w:ind w:left="1440" w:hanging="360"/>
      </w:pPr>
      <w:rPr>
        <w:rFonts w:ascii="Titilium" w:hAnsi="Titilium" w:cs="Titilium" w:hint="default"/>
        <w:color w:val="auto"/>
        <w:sz w:val="18"/>
      </w:rPr>
    </w:lvl>
    <w:lvl w:ilvl="2">
      <w:start w:val="1"/>
      <w:numFmt w:val="lowerLetter"/>
      <w:lvlText w:val="%3)"/>
      <w:lvlJc w:val="left"/>
      <w:pPr>
        <w:tabs>
          <w:tab w:val="num" w:pos="0"/>
        </w:tabs>
        <w:ind w:left="360" w:hanging="360"/>
      </w:pPr>
      <w:rPr>
        <w:rFonts w:ascii="Titillium" w:hAnsi="Titillium" w:eastAsia="Times New Roman"/>
        <w:i w:val="false"/>
        <w:color w:val="auto"/>
        <w:sz w:val="18"/>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Letter"/>
      <w:lvlText w:val="%3)"/>
      <w:lvlJc w:val="left"/>
      <w:pPr>
        <w:tabs>
          <w:tab w:val="num" w:pos="0"/>
        </w:tabs>
        <w:ind w:left="2591" w:hanging="180"/>
      </w:pPr>
      <w:rPr>
        <w:rFonts w:ascii="Titillium" w:hAnsi="Titillium"/>
        <w:sz w:val="18"/>
        <w:szCs w:val="18"/>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lowerLetter"/>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bullet"/>
      <w:lvlText w:val="-"/>
      <w:lvlJc w:val="left"/>
      <w:pPr>
        <w:tabs>
          <w:tab w:val="num" w:pos="0"/>
        </w:tabs>
        <w:ind w:left="1080" w:hanging="360"/>
      </w:pPr>
      <w:rPr>
        <w:rFonts w:ascii="Titilium" w:hAnsi="Titilium" w:cs="Titilium" w:hint="default"/>
        <w:color w:val="auto"/>
        <w:sz w:val="18"/>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Garamond" w:hAnsi="Garamond" w:cs="Garamond" w:hint="default"/>
        <w:b/>
        <w:i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o"/>
      <w:lvlJc w:val="left"/>
      <w:pPr>
        <w:tabs>
          <w:tab w:val="num" w:pos="0"/>
        </w:tabs>
        <w:ind w:left="3600" w:hanging="360"/>
      </w:pPr>
      <w:rPr>
        <w:rFonts w:ascii="Courier New" w:hAnsi="Courier New" w:cs="Courier New" w:hint="default"/>
      </w:rPr>
    </w:lvl>
    <w:lvl w:ilvl="3">
      <w:start w:val="1"/>
      <w:numFmt w:val="bullet"/>
      <w:lvlText w:val="o"/>
      <w:lvlJc w:val="left"/>
      <w:pPr>
        <w:tabs>
          <w:tab w:val="num" w:pos="0"/>
        </w:tabs>
        <w:ind w:left="5760" w:hanging="360"/>
      </w:pPr>
      <w:rPr>
        <w:rFonts w:ascii="Courier New" w:hAnsi="Courier New" w:cs="Courier New"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lowerLetter"/>
      <w:lvlText w:val="%1)"/>
      <w:lvlJc w:val="left"/>
      <w:pPr>
        <w:tabs>
          <w:tab w:val="num" w:pos="0"/>
        </w:tabs>
        <w:ind w:left="928" w:hanging="360"/>
      </w:pPr>
      <w:rPr>
        <w:rFonts w:ascii="Titillium" w:hAnsi="Titillium"/>
        <w:i w:val="false"/>
        <w:sz w:val="18"/>
        <w:szCs w:val="18"/>
      </w:rPr>
    </w:lvl>
    <w:lvl w:ilvl="1">
      <w:start w:val="1"/>
      <w:numFmt w:val="lowerLetter"/>
      <w:lvlText w:val="%2."/>
      <w:lvlJc w:val="left"/>
      <w:pPr>
        <w:tabs>
          <w:tab w:val="num" w:pos="0"/>
        </w:tabs>
        <w:ind w:left="1724" w:hanging="360"/>
      </w:pPr>
      <w:rPr/>
    </w:lvl>
    <w:lvl w:ilvl="2">
      <w:start w:val="1"/>
      <w:numFmt w:val="lowerRoman"/>
      <w:lvlText w:val="%3."/>
      <w:lvlJc w:val="right"/>
      <w:pPr>
        <w:tabs>
          <w:tab w:val="num" w:pos="0"/>
        </w:tabs>
        <w:ind w:left="2444" w:hanging="180"/>
      </w:pPr>
      <w:rPr/>
    </w:lvl>
    <w:lvl w:ilvl="3">
      <w:start w:val="1"/>
      <w:numFmt w:val="decimal"/>
      <w:lvlText w:val="%4."/>
      <w:lvlJc w:val="left"/>
      <w:pPr>
        <w:tabs>
          <w:tab w:val="num" w:pos="0"/>
        </w:tabs>
        <w:ind w:left="3164" w:hanging="360"/>
      </w:pPr>
      <w:rPr/>
    </w:lvl>
    <w:lvl w:ilvl="4">
      <w:start w:val="1"/>
      <w:numFmt w:val="lowerLetter"/>
      <w:lvlText w:val="%5."/>
      <w:lvlJc w:val="left"/>
      <w:pPr>
        <w:tabs>
          <w:tab w:val="num" w:pos="0"/>
        </w:tabs>
        <w:ind w:left="3884" w:hanging="360"/>
      </w:pPr>
      <w:rPr/>
    </w:lvl>
    <w:lvl w:ilvl="5">
      <w:start w:val="1"/>
      <w:numFmt w:val="lowerRoman"/>
      <w:lvlText w:val="%6."/>
      <w:lvlJc w:val="right"/>
      <w:pPr>
        <w:tabs>
          <w:tab w:val="num" w:pos="0"/>
        </w:tabs>
        <w:ind w:left="4604" w:hanging="180"/>
      </w:pPr>
      <w:rPr/>
    </w:lvl>
    <w:lvl w:ilvl="6">
      <w:start w:val="1"/>
      <w:numFmt w:val="decimal"/>
      <w:lvlText w:val="%7."/>
      <w:lvlJc w:val="left"/>
      <w:pPr>
        <w:tabs>
          <w:tab w:val="num" w:pos="0"/>
        </w:tabs>
        <w:ind w:left="5324" w:hanging="360"/>
      </w:pPr>
      <w:rPr/>
    </w:lvl>
    <w:lvl w:ilvl="7">
      <w:start w:val="1"/>
      <w:numFmt w:val="lowerLetter"/>
      <w:lvlText w:val="%8."/>
      <w:lvlJc w:val="left"/>
      <w:pPr>
        <w:tabs>
          <w:tab w:val="num" w:pos="0"/>
        </w:tabs>
        <w:ind w:left="6044" w:hanging="360"/>
      </w:pPr>
      <w:rPr/>
    </w:lvl>
    <w:lvl w:ilvl="8">
      <w:start w:val="1"/>
      <w:numFmt w:val="lowerRoman"/>
      <w:lvlText w:val="%9."/>
      <w:lvlJc w:val="right"/>
      <w:pPr>
        <w:tabs>
          <w:tab w:val="num" w:pos="0"/>
        </w:tabs>
        <w:ind w:left="6764" w:hanging="180"/>
      </w:pPr>
      <w:rPr/>
    </w:lvl>
  </w:abstractNum>
  <w:abstractNum w:abstractNumId="20">
    <w:lvl w:ilvl="0">
      <w:start w:val="1"/>
      <w:numFmt w:val="none"/>
      <w:suff w:val="nothing"/>
      <w:lvlText w:val="."/>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lowerLetter"/>
      <w:lvlText w:val="%3)"/>
      <w:lvlJc w:val="left"/>
      <w:pPr>
        <w:tabs>
          <w:tab w:val="num" w:pos="360"/>
        </w:tabs>
        <w:ind w:left="360" w:hanging="360"/>
      </w:pPr>
      <w:rPr>
        <w:rFonts w:ascii="Titillium" w:hAnsi="Titillium"/>
        <w:sz w:val="18"/>
        <w:szCs w:val="18"/>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1">
    <w:lvl w:ilvl="0">
      <w:start w:val="7"/>
      <w:numFmt w:val="lowerLetter"/>
      <w:lvlText w:val="%1)"/>
      <w:lvlJc w:val="left"/>
      <w:pPr>
        <w:tabs>
          <w:tab w:val="num" w:pos="360"/>
        </w:tabs>
        <w:ind w:left="360" w:hanging="360"/>
      </w:pPr>
      <w:rPr>
        <w:rFonts w:ascii="Titillium" w:hAnsi="Titillium"/>
        <w:sz w:val="18"/>
        <w:szCs w:val="18"/>
      </w:rPr>
    </w:lvl>
    <w:lvl w:ilvl="1">
      <w:start w:val="1"/>
      <w:numFmt w:val="lowerLetter"/>
      <w:lvlText w:val="%2)"/>
      <w:lvlJc w:val="left"/>
      <w:pPr>
        <w:tabs>
          <w:tab w:val="num" w:pos="720"/>
        </w:tabs>
        <w:ind w:left="720" w:hanging="360"/>
      </w:pPr>
      <w:rPr/>
    </w:lvl>
    <w:lvl w:ilvl="2">
      <w:start w:val="1"/>
      <w:numFmt w:val="lowerLetter"/>
      <w:lvlText w:val="%3)"/>
      <w:lvlJc w:val="left"/>
      <w:pPr>
        <w:tabs>
          <w:tab w:val="num" w:pos="1080"/>
        </w:tabs>
        <w:ind w:left="1080" w:hanging="360"/>
      </w:pPr>
      <w:rPr/>
    </w:lvl>
    <w:lvl w:ilvl="3">
      <w:start w:val="1"/>
      <w:numFmt w:val="lowerLetter"/>
      <w:lvlText w:val="%4)"/>
      <w:lvlJc w:val="left"/>
      <w:pPr>
        <w:tabs>
          <w:tab w:val="num" w:pos="1440"/>
        </w:tabs>
        <w:ind w:left="1440" w:hanging="360"/>
      </w:pPr>
      <w:rPr/>
    </w:lvl>
    <w:lvl w:ilvl="4">
      <w:start w:val="1"/>
      <w:numFmt w:val="lowerLetter"/>
      <w:lvlText w:val="%5)"/>
      <w:lvlJc w:val="left"/>
      <w:pPr>
        <w:tabs>
          <w:tab w:val="num" w:pos="1800"/>
        </w:tabs>
        <w:ind w:left="1800" w:hanging="360"/>
      </w:pPr>
      <w:rPr/>
    </w:lvl>
    <w:lvl w:ilvl="5">
      <w:start w:val="1"/>
      <w:numFmt w:val="lowerLetter"/>
      <w:lvlText w:val="%6)"/>
      <w:lvlJc w:val="left"/>
      <w:pPr>
        <w:tabs>
          <w:tab w:val="num" w:pos="2160"/>
        </w:tabs>
        <w:ind w:left="2160" w:hanging="360"/>
      </w:pPr>
      <w:rPr/>
    </w:lvl>
    <w:lvl w:ilvl="6">
      <w:start w:val="1"/>
      <w:numFmt w:val="lowerLetter"/>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Letter"/>
      <w:lvlText w:val="%9)"/>
      <w:lvlJc w:val="left"/>
      <w:pPr>
        <w:tabs>
          <w:tab w:val="num" w:pos="3240"/>
        </w:tabs>
        <w:ind w:left="3240" w:hanging="360"/>
      </w:pPr>
      <w:rPr/>
    </w:lvl>
  </w:abstractNum>
  <w:abstractNum w:abstractNumId="22">
    <w:lvl w:ilvl="0">
      <w:start w:val="1"/>
      <w:numFmt w:val="lowerLetter"/>
      <w:lvlText w:val="%1)"/>
      <w:lvlJc w:val="left"/>
      <w:pPr>
        <w:tabs>
          <w:tab w:val="num" w:pos="0"/>
        </w:tabs>
        <w:ind w:left="1146" w:hanging="360"/>
      </w:pPr>
      <w:rPr/>
    </w:lvl>
    <w:lvl w:ilvl="1">
      <w:start w:val="1"/>
      <w:numFmt w:val="bullet"/>
      <w:lvlText w:val=""/>
      <w:lvlJc w:val="left"/>
      <w:pPr>
        <w:tabs>
          <w:tab w:val="num" w:pos="0"/>
        </w:tabs>
        <w:ind w:left="862" w:hanging="360"/>
      </w:pPr>
      <w:rPr>
        <w:rFonts w:ascii="Symbol" w:hAnsi="Symbol" w:cs="Symbol" w:hint="default"/>
      </w:rPr>
    </w:lvl>
    <w:lvl w:ilvl="2">
      <w:start w:val="1"/>
      <w:numFmt w:val="decimal"/>
      <w:lvlText w:val="%3)"/>
      <w:lvlJc w:val="left"/>
      <w:pPr>
        <w:tabs>
          <w:tab w:val="num" w:pos="0"/>
        </w:tabs>
        <w:ind w:left="2766" w:hanging="360"/>
      </w:pPr>
      <w:rPr/>
    </w:lvl>
    <w:lvl w:ilvl="3">
      <w:start w:val="2"/>
      <w:numFmt w:val="decimal"/>
      <w:lvlText w:val="%4"/>
      <w:lvlJc w:val="left"/>
      <w:pPr>
        <w:tabs>
          <w:tab w:val="num" w:pos="0"/>
        </w:tabs>
        <w:ind w:left="3306" w:hanging="360"/>
      </w:pPr>
      <w:rPr/>
    </w:lvl>
    <w:lvl w:ilvl="4">
      <w:start w:val="1"/>
      <w:numFmt w:val="lowerLetter"/>
      <w:lvlText w:val="%5."/>
      <w:lvlJc w:val="left"/>
      <w:pPr>
        <w:tabs>
          <w:tab w:val="num" w:pos="0"/>
        </w:tabs>
        <w:ind w:left="4026" w:hanging="360"/>
      </w:pPr>
      <w:rPr/>
    </w:lvl>
    <w:lvl w:ilvl="5">
      <w:start w:val="1"/>
      <w:numFmt w:val="lowerRoman"/>
      <w:lvlText w:val="%6."/>
      <w:lvlJc w:val="right"/>
      <w:pPr>
        <w:tabs>
          <w:tab w:val="num" w:pos="0"/>
        </w:tabs>
        <w:ind w:left="4746" w:hanging="180"/>
      </w:pPr>
      <w:rPr/>
    </w:lvl>
    <w:lvl w:ilvl="6">
      <w:start w:val="1"/>
      <w:numFmt w:val="decimal"/>
      <w:lvlText w:val="%7."/>
      <w:lvlJc w:val="left"/>
      <w:pPr>
        <w:tabs>
          <w:tab w:val="num" w:pos="0"/>
        </w:tabs>
        <w:ind w:left="5466" w:hanging="360"/>
      </w:pPr>
      <w:rPr/>
    </w:lvl>
    <w:lvl w:ilvl="7">
      <w:start w:val="1"/>
      <w:numFmt w:val="lowerLetter"/>
      <w:lvlText w:val="%8."/>
      <w:lvlJc w:val="left"/>
      <w:pPr>
        <w:tabs>
          <w:tab w:val="num" w:pos="0"/>
        </w:tabs>
        <w:ind w:left="6186" w:hanging="360"/>
      </w:pPr>
      <w:rPr/>
    </w:lvl>
    <w:lvl w:ilvl="8">
      <w:start w:val="1"/>
      <w:numFmt w:val="lowerRoman"/>
      <w:lvlText w:val="%9."/>
      <w:lvlJc w:val="right"/>
      <w:pPr>
        <w:tabs>
          <w:tab w:val="num" w:pos="0"/>
        </w:tabs>
        <w:ind w:left="6906" w:hanging="180"/>
      </w:pPr>
      <w:rPr/>
    </w:lvl>
  </w:abstractNum>
  <w:abstractNum w:abstractNumId="23">
    <w:lvl w:ilvl="0">
      <w:start w:val="1"/>
      <w:numFmt w:val="lowerRoman"/>
      <w:lvlText w:val="%1."/>
      <w:lvlJc w:val="right"/>
      <w:pPr>
        <w:tabs>
          <w:tab w:val="num" w:pos="0"/>
        </w:tabs>
        <w:ind w:left="1637" w:hanging="360"/>
      </w:pPr>
      <w:rPr>
        <w:color w:themeColor="text1" w:val="000000"/>
        <w:sz w:val="18"/>
        <w:szCs w:val="18"/>
      </w:rPr>
    </w:lvl>
    <w:lvl w:ilvl="1">
      <w:start w:val="1"/>
      <w:numFmt w:val="lowerLetter"/>
      <w:lvlText w:val="%2."/>
      <w:lvlJc w:val="left"/>
      <w:pPr>
        <w:tabs>
          <w:tab w:val="num" w:pos="0"/>
        </w:tabs>
        <w:ind w:left="2961" w:hanging="360"/>
      </w:pPr>
      <w:rPr/>
    </w:lvl>
    <w:lvl w:ilvl="2">
      <w:start w:val="1"/>
      <w:numFmt w:val="lowerRoman"/>
      <w:lvlText w:val="%3."/>
      <w:lvlJc w:val="right"/>
      <w:pPr>
        <w:tabs>
          <w:tab w:val="num" w:pos="0"/>
        </w:tabs>
        <w:ind w:left="3681" w:hanging="180"/>
      </w:pPr>
      <w:rPr/>
    </w:lvl>
    <w:lvl w:ilvl="3">
      <w:start w:val="1"/>
      <w:numFmt w:val="decimal"/>
      <w:lvlText w:val="%4."/>
      <w:lvlJc w:val="left"/>
      <w:pPr>
        <w:tabs>
          <w:tab w:val="num" w:pos="0"/>
        </w:tabs>
        <w:ind w:left="4401" w:hanging="360"/>
      </w:pPr>
      <w:rPr/>
    </w:lvl>
    <w:lvl w:ilvl="4">
      <w:start w:val="1"/>
      <w:numFmt w:val="lowerLetter"/>
      <w:lvlText w:val="%5."/>
      <w:lvlJc w:val="left"/>
      <w:pPr>
        <w:tabs>
          <w:tab w:val="num" w:pos="0"/>
        </w:tabs>
        <w:ind w:left="5121" w:hanging="360"/>
      </w:pPr>
      <w:rPr/>
    </w:lvl>
    <w:lvl w:ilvl="5">
      <w:start w:val="1"/>
      <w:numFmt w:val="lowerRoman"/>
      <w:lvlText w:val="%6."/>
      <w:lvlJc w:val="right"/>
      <w:pPr>
        <w:tabs>
          <w:tab w:val="num" w:pos="0"/>
        </w:tabs>
        <w:ind w:left="5841" w:hanging="180"/>
      </w:pPr>
      <w:rPr/>
    </w:lvl>
    <w:lvl w:ilvl="6">
      <w:start w:val="1"/>
      <w:numFmt w:val="decimal"/>
      <w:lvlText w:val="%7."/>
      <w:lvlJc w:val="left"/>
      <w:pPr>
        <w:tabs>
          <w:tab w:val="num" w:pos="0"/>
        </w:tabs>
        <w:ind w:left="6561" w:hanging="360"/>
      </w:pPr>
      <w:rPr/>
    </w:lvl>
    <w:lvl w:ilvl="7">
      <w:start w:val="1"/>
      <w:numFmt w:val="lowerLetter"/>
      <w:lvlText w:val="%8."/>
      <w:lvlJc w:val="left"/>
      <w:pPr>
        <w:tabs>
          <w:tab w:val="num" w:pos="0"/>
        </w:tabs>
        <w:ind w:left="7281" w:hanging="360"/>
      </w:pPr>
      <w:rPr/>
    </w:lvl>
    <w:lvl w:ilvl="8">
      <w:start w:val="1"/>
      <w:numFmt w:val="lowerRoman"/>
      <w:lvlText w:val="%9."/>
      <w:lvlJc w:val="right"/>
      <w:pPr>
        <w:tabs>
          <w:tab w:val="num" w:pos="0"/>
        </w:tabs>
        <w:ind w:left="8001" w:hanging="180"/>
      </w:pPr>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6">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decimal"/>
      <w:lvlText w:val="%1."/>
      <w:lvlJc w:val="left"/>
      <w:pPr>
        <w:tabs>
          <w:tab w:val="num" w:pos="0"/>
        </w:tabs>
        <w:ind w:left="720" w:hanging="360"/>
      </w:pPr>
      <w:rPr/>
    </w:lvl>
    <w:lvl w:ilvl="1">
      <w:start w:val="1"/>
      <w:numFmt w:val="bullet"/>
      <w:lvlText w:val="-"/>
      <w:lvlJc w:val="left"/>
      <w:pPr>
        <w:tabs>
          <w:tab w:val="num" w:pos="0"/>
        </w:tabs>
        <w:ind w:left="1440" w:hanging="360"/>
      </w:pPr>
      <w:rPr>
        <w:rFonts w:ascii="Titilium" w:hAnsi="Titilium" w:cs="Titilium" w:hint="default"/>
        <w:color w:val="auto"/>
        <w:sz w:val="18"/>
      </w:rPr>
    </w:lvl>
    <w:lvl w:ilvl="2">
      <w:start w:val="1"/>
      <w:numFmt w:val="lowerLetter"/>
      <w:lvlText w:val="%3)"/>
      <w:lvlJc w:val="left"/>
      <w:pPr>
        <w:tabs>
          <w:tab w:val="num" w:pos="0"/>
        </w:tabs>
        <w:ind w:left="360" w:hanging="360"/>
      </w:pPr>
      <w:rPr>
        <w:rFonts w:ascii="Titillium" w:hAnsi="Titillium"/>
        <w:sz w:val="18"/>
        <w:szCs w:val="18"/>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8">
    <w:lvl w:ilvl="0">
      <w:start w:val="1"/>
      <w:numFmt w:val="decimal"/>
      <w:lvlText w:val="%1."/>
      <w:lvlJc w:val="left"/>
      <w:pPr>
        <w:tabs>
          <w:tab w:val="num" w:pos="0"/>
        </w:tabs>
        <w:ind w:left="720" w:hanging="360"/>
      </w:pPr>
      <w:rPr/>
    </w:lvl>
    <w:lvl w:ilvl="1">
      <w:start w:val="1"/>
      <w:numFmt w:val="bullet"/>
      <w:lvlText w:val="-"/>
      <w:lvlJc w:val="left"/>
      <w:pPr>
        <w:tabs>
          <w:tab w:val="num" w:pos="0"/>
        </w:tabs>
        <w:ind w:left="1440" w:hanging="360"/>
      </w:pPr>
      <w:rPr>
        <w:rFonts w:ascii="Titilium" w:hAnsi="Titilium" w:cs="Titilium" w:hint="default"/>
        <w:color w:val="auto"/>
        <w:sz w:val="18"/>
      </w:rPr>
    </w:lvl>
    <w:lvl w:ilvl="2">
      <w:start w:val="1"/>
      <w:numFmt w:val="lowerLetter"/>
      <w:lvlText w:val="%3)"/>
      <w:lvlJc w:val="left"/>
      <w:pPr>
        <w:tabs>
          <w:tab w:val="num" w:pos="0"/>
        </w:tabs>
        <w:ind w:left="360" w:hanging="360"/>
      </w:pPr>
      <w:rPr>
        <w:rFonts w:ascii="Titillium" w:hAnsi="Titillium"/>
        <w:sz w:val="18"/>
        <w:szCs w:val="18"/>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9">
    <w:lvl w:ilvl="0">
      <w:start w:val="1"/>
      <w:numFmt w:val="upperLetter"/>
      <w:lvlText w:val="%1)"/>
      <w:lvlJc w:val="left"/>
      <w:pPr>
        <w:tabs>
          <w:tab w:val="num" w:pos="0"/>
        </w:tabs>
        <w:ind w:left="3468" w:hanging="360"/>
      </w:pPr>
      <w:rPr>
        <w:rFonts w:ascii="Titillium" w:hAnsi="Titillium"/>
        <w:b/>
        <w:sz w:val="18"/>
      </w:rPr>
    </w:lvl>
    <w:lvl w:ilvl="1">
      <w:start w:val="1"/>
      <w:numFmt w:val="lowerLetter"/>
      <w:lvlText w:val="%2."/>
      <w:lvlJc w:val="left"/>
      <w:pPr>
        <w:tabs>
          <w:tab w:val="num" w:pos="0"/>
        </w:tabs>
        <w:ind w:left="4188" w:hanging="360"/>
      </w:pPr>
      <w:rPr/>
    </w:lvl>
    <w:lvl w:ilvl="2">
      <w:start w:val="1"/>
      <w:numFmt w:val="lowerRoman"/>
      <w:lvlText w:val="%3."/>
      <w:lvlJc w:val="right"/>
      <w:pPr>
        <w:tabs>
          <w:tab w:val="num" w:pos="0"/>
        </w:tabs>
        <w:ind w:left="4908" w:hanging="180"/>
      </w:pPr>
      <w:rPr/>
    </w:lvl>
    <w:lvl w:ilvl="3">
      <w:start w:val="1"/>
      <w:numFmt w:val="decimal"/>
      <w:lvlText w:val="%4."/>
      <w:lvlJc w:val="left"/>
      <w:pPr>
        <w:tabs>
          <w:tab w:val="num" w:pos="0"/>
        </w:tabs>
        <w:ind w:left="5628" w:hanging="360"/>
      </w:pPr>
      <w:rPr/>
    </w:lvl>
    <w:lvl w:ilvl="4">
      <w:start w:val="1"/>
      <w:numFmt w:val="lowerLetter"/>
      <w:lvlText w:val="%5."/>
      <w:lvlJc w:val="left"/>
      <w:pPr>
        <w:tabs>
          <w:tab w:val="num" w:pos="0"/>
        </w:tabs>
        <w:ind w:left="6348" w:hanging="360"/>
      </w:pPr>
      <w:rPr/>
    </w:lvl>
    <w:lvl w:ilvl="5">
      <w:start w:val="1"/>
      <w:numFmt w:val="lowerRoman"/>
      <w:lvlText w:val="%6."/>
      <w:lvlJc w:val="right"/>
      <w:pPr>
        <w:tabs>
          <w:tab w:val="num" w:pos="0"/>
        </w:tabs>
        <w:ind w:left="7068" w:hanging="180"/>
      </w:pPr>
      <w:rPr/>
    </w:lvl>
    <w:lvl w:ilvl="6">
      <w:start w:val="1"/>
      <w:numFmt w:val="decimal"/>
      <w:lvlText w:val="%7."/>
      <w:lvlJc w:val="left"/>
      <w:pPr>
        <w:tabs>
          <w:tab w:val="num" w:pos="0"/>
        </w:tabs>
        <w:ind w:left="7788" w:hanging="360"/>
      </w:pPr>
      <w:rPr/>
    </w:lvl>
    <w:lvl w:ilvl="7">
      <w:start w:val="1"/>
      <w:numFmt w:val="lowerLetter"/>
      <w:lvlText w:val="%8."/>
      <w:lvlJc w:val="left"/>
      <w:pPr>
        <w:tabs>
          <w:tab w:val="num" w:pos="0"/>
        </w:tabs>
        <w:ind w:left="8508" w:hanging="360"/>
      </w:pPr>
      <w:rPr/>
    </w:lvl>
    <w:lvl w:ilvl="8">
      <w:start w:val="1"/>
      <w:numFmt w:val="lowerRoman"/>
      <w:lvlText w:val="%9."/>
      <w:lvlJc w:val="right"/>
      <w:pPr>
        <w:tabs>
          <w:tab w:val="num" w:pos="0"/>
        </w:tabs>
        <w:ind w:left="9228" w:hanging="180"/>
      </w:pPr>
      <w:rPr/>
    </w:lvl>
  </w:abstractNum>
  <w:abstractNum w:abstractNumId="30">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1">
    <w:lvl w:ilvl="0">
      <w:start w:val="4"/>
      <w:numFmt w:val="bullet"/>
      <w:lvlText w:val="-"/>
      <w:lvlJc w:val="left"/>
      <w:pPr>
        <w:tabs>
          <w:tab w:val="num" w:pos="0"/>
        </w:tabs>
        <w:ind w:left="1080" w:hanging="360"/>
      </w:pPr>
      <w:rPr>
        <w:rFonts w:ascii="Titillium-Regular" w:hAnsi="Titillium-Regular" w:cs="Titillium-Regular"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2">
    <w:lvl w:ilvl="0">
      <w:start w:val="1"/>
      <w:numFmt w:val="bullet"/>
      <w:lvlText w:val="-"/>
      <w:lvlJc w:val="left"/>
      <w:pPr>
        <w:tabs>
          <w:tab w:val="num" w:pos="0"/>
        </w:tabs>
        <w:ind w:left="720" w:hanging="360"/>
      </w:pPr>
      <w:rPr>
        <w:rFonts w:ascii="Garamond" w:hAnsi="Garamond" w:cs="Garamond" w:hint="default"/>
        <w:b/>
        <w:i w:val="false"/>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lvl w:ilvl="0">
      <w:numFmt w:val="bullet"/>
      <w:lvlText w:val="-"/>
      <w:lvlJc w:val="left"/>
      <w:pPr>
        <w:tabs>
          <w:tab w:val="num" w:pos="0"/>
        </w:tabs>
        <w:ind w:left="720" w:hanging="360"/>
      </w:pPr>
      <w:rPr>
        <w:rFonts w:ascii="Garamond" w:hAnsi="Garamond" w:cs="Garamond" w:hint="default"/>
      </w:rPr>
    </w:lvl>
    <w:lvl w:ilvl="1">
      <w:start w:val="0"/>
      <w:numFmt w:val="bullet"/>
      <w:lvlText w:val="-"/>
      <w:lvlJc w:val="left"/>
      <w:pPr>
        <w:tabs>
          <w:tab w:val="num" w:pos="0"/>
        </w:tabs>
        <w:ind w:left="1440" w:hanging="360"/>
      </w:pPr>
      <w:rPr>
        <w:rFonts w:ascii="Garamond" w:hAnsi="Garamond" w:cs="Garamond" w:hint="default"/>
        <w:sz w:val="24"/>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lvl w:ilvl="0">
      <w:numFmt w:val="bullet"/>
      <w:lvlText w:val="-"/>
      <w:lvlJc w:val="left"/>
      <w:pPr>
        <w:tabs>
          <w:tab w:val="num" w:pos="0"/>
        </w:tabs>
        <w:ind w:left="786" w:hanging="360"/>
      </w:pPr>
      <w:rPr>
        <w:rFonts w:ascii="Garamond" w:hAnsi="Garamond" w:cs="Garamond" w:hint="default"/>
        <w:sz w:val="24"/>
      </w:rPr>
    </w:lvl>
    <w:lvl w:ilvl="1">
      <w:start w:val="0"/>
      <w:numFmt w:val="bullet"/>
      <w:lvlText w:val="-"/>
      <w:lvlJc w:val="left"/>
      <w:pPr>
        <w:tabs>
          <w:tab w:val="num" w:pos="0"/>
        </w:tabs>
        <w:ind w:left="720" w:hanging="360"/>
      </w:pPr>
      <w:rPr>
        <w:rFonts w:ascii="Garamond" w:hAnsi="Garamond" w:cs="Garamond"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36">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lvl w:ilvl="0">
      <w:start w:val="1"/>
      <w:numFmt w:val="lowerLetter"/>
      <w:lvlText w:val="%1)"/>
      <w:lvlJc w:val="left"/>
      <w:pPr>
        <w:tabs>
          <w:tab w:val="num" w:pos="0"/>
        </w:tabs>
        <w:ind w:left="1004" w:hanging="360"/>
      </w:pPr>
      <w:rPr/>
    </w:lvl>
    <w:lvl w:ilvl="1">
      <w:start w:val="1"/>
      <w:numFmt w:val="lowerLetter"/>
      <w:lvlText w:val="%2."/>
      <w:lvlJc w:val="left"/>
      <w:pPr>
        <w:tabs>
          <w:tab w:val="num" w:pos="0"/>
        </w:tabs>
        <w:ind w:left="1724" w:hanging="360"/>
      </w:pPr>
      <w:rPr/>
    </w:lvl>
    <w:lvl w:ilvl="2">
      <w:start w:val="1"/>
      <w:numFmt w:val="lowerRoman"/>
      <w:lvlText w:val="%3."/>
      <w:lvlJc w:val="right"/>
      <w:pPr>
        <w:tabs>
          <w:tab w:val="num" w:pos="0"/>
        </w:tabs>
        <w:ind w:left="2444" w:hanging="180"/>
      </w:pPr>
      <w:rPr/>
    </w:lvl>
    <w:lvl w:ilvl="3">
      <w:start w:val="1"/>
      <w:numFmt w:val="lowerLetter"/>
      <w:lvlText w:val="%4)"/>
      <w:lvlJc w:val="left"/>
      <w:pPr>
        <w:tabs>
          <w:tab w:val="num" w:pos="0"/>
        </w:tabs>
        <w:ind w:left="2880" w:hanging="360"/>
      </w:pPr>
      <w:rPr/>
    </w:lvl>
    <w:lvl w:ilvl="4">
      <w:start w:val="1"/>
      <w:numFmt w:val="lowerLetter"/>
      <w:lvlText w:val="%5."/>
      <w:lvlJc w:val="left"/>
      <w:pPr>
        <w:tabs>
          <w:tab w:val="num" w:pos="0"/>
        </w:tabs>
        <w:ind w:left="3884" w:hanging="360"/>
      </w:pPr>
      <w:rPr/>
    </w:lvl>
    <w:lvl w:ilvl="5">
      <w:start w:val="1"/>
      <w:numFmt w:val="lowerRoman"/>
      <w:lvlText w:val="%6."/>
      <w:lvlJc w:val="right"/>
      <w:pPr>
        <w:tabs>
          <w:tab w:val="num" w:pos="0"/>
        </w:tabs>
        <w:ind w:left="4604" w:hanging="180"/>
      </w:pPr>
      <w:rPr/>
    </w:lvl>
    <w:lvl w:ilvl="6">
      <w:start w:val="1"/>
      <w:numFmt w:val="decimal"/>
      <w:lvlText w:val="%7."/>
      <w:lvlJc w:val="left"/>
      <w:pPr>
        <w:tabs>
          <w:tab w:val="num" w:pos="0"/>
        </w:tabs>
        <w:ind w:left="5324" w:hanging="360"/>
      </w:pPr>
      <w:rPr/>
    </w:lvl>
    <w:lvl w:ilvl="7">
      <w:start w:val="1"/>
      <w:numFmt w:val="lowerLetter"/>
      <w:lvlText w:val="%8."/>
      <w:lvlJc w:val="left"/>
      <w:pPr>
        <w:tabs>
          <w:tab w:val="num" w:pos="0"/>
        </w:tabs>
        <w:ind w:left="6044" w:hanging="360"/>
      </w:pPr>
      <w:rPr/>
    </w:lvl>
    <w:lvl w:ilvl="8">
      <w:start w:val="1"/>
      <w:numFmt w:val="lowerRoman"/>
      <w:lvlText w:val="%9."/>
      <w:lvlJc w:val="right"/>
      <w:pPr>
        <w:tabs>
          <w:tab w:val="num" w:pos="0"/>
        </w:tabs>
        <w:ind w:left="6764" w:hanging="180"/>
      </w:pPr>
      <w:rPr/>
    </w:lvl>
  </w:abstractNum>
  <w:abstractNum w:abstractNumId="39">
    <w:lvl w:ilvl="0">
      <w:numFmt w:val="bullet"/>
      <w:lvlText w:val="-"/>
      <w:lvlJc w:val="left"/>
      <w:pPr>
        <w:tabs>
          <w:tab w:val="num" w:pos="0"/>
        </w:tabs>
        <w:ind w:left="1080" w:hanging="360"/>
      </w:pPr>
      <w:rPr>
        <w:rFonts w:ascii="Garamond" w:hAnsi="Garamond" w:cs="Garamond"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0">
    <w:lvl w:ilvl="0">
      <w:start w:val="1"/>
      <w:numFmt w:val="bullet"/>
      <w:lvlText w:val="-"/>
      <w:lvlJc w:val="left"/>
      <w:pPr>
        <w:tabs>
          <w:tab w:val="num" w:pos="0"/>
        </w:tabs>
        <w:ind w:left="720" w:hanging="360"/>
      </w:pPr>
      <w:rPr>
        <w:rFonts w:ascii="Garamond" w:hAnsi="Garamond" w:cs="Garamond" w:hint="default"/>
        <w:b/>
        <w:i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lvl w:ilvl="0">
      <w:start w:val="1"/>
      <w:numFmt w:val="decimal"/>
      <w:lvlText w:val=""/>
      <w:lvlJc w:val="left"/>
      <w:pPr>
        <w:tabs>
          <w:tab w:val="num" w:pos="0"/>
        </w:tabs>
        <w:ind w:left="720" w:hanging="360"/>
      </w:pPr>
      <w:rPr>
        <w:rFonts w:ascii="Arial" w:hAnsi="Arial" w:cs="Garamond"/>
        <w:b/>
        <w:i w:val="false"/>
      </w:rPr>
    </w:lvl>
    <w:lvl w:ilvl="1">
      <w:start w:val="1"/>
      <w:numFmt w:val="decimal"/>
      <w:lvlText w:val=""/>
      <w:lvlJc w:val="left"/>
      <w:pPr>
        <w:tabs>
          <w:tab w:val="num" w:pos="0"/>
        </w:tabs>
        <w:ind w:left="1440" w:hanging="360"/>
      </w:pPr>
      <w:rPr>
        <w:rFonts w:ascii="Arial" w:hAnsi="Arial" w:cs="Courier New"/>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lvl w:ilvl="0">
      <w:start w:val="1"/>
      <w:numFmt w:val="decimal"/>
      <w:lvlText w:val=""/>
      <w:lvlJc w:val="left"/>
      <w:pPr>
        <w:tabs>
          <w:tab w:val="num" w:pos="0"/>
        </w:tabs>
        <w:ind w:left="720" w:hanging="360"/>
      </w:pPr>
      <w:rPr>
        <w:rFonts w:ascii="Arial" w:hAnsi="Arial" w:cs="Garamond"/>
        <w:b/>
        <w:i w:val="false"/>
      </w:rPr>
    </w:lvl>
    <w:lvl w:ilvl="1">
      <w:start w:val="1"/>
      <w:numFmt w:val="decimal"/>
      <w:lvlText w:val=""/>
      <w:lvlJc w:val="left"/>
      <w:pPr>
        <w:tabs>
          <w:tab w:val="num" w:pos="0"/>
        </w:tabs>
        <w:ind w:left="1440" w:hanging="360"/>
      </w:pPr>
      <w:rPr>
        <w:rFonts w:ascii="Arial" w:hAnsi="Arial" w:cs="Courier New"/>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lvl w:ilvl="0">
      <w:start w:val="1"/>
      <w:numFmt w:val="decimal"/>
      <w:lvlText w:val=""/>
      <w:lvlJc w:val="left"/>
      <w:pPr>
        <w:tabs>
          <w:tab w:val="num" w:pos="0"/>
        </w:tabs>
        <w:ind w:left="720" w:hanging="360"/>
      </w:pPr>
      <w:rPr>
        <w:rFonts w:ascii="Arial" w:hAnsi="Arial" w:cs="Garamond"/>
        <w:b/>
        <w:i w:val="false"/>
      </w:rPr>
    </w:lvl>
    <w:lvl w:ilvl="1">
      <w:start w:val="1"/>
      <w:numFmt w:val="decimal"/>
      <w:lvlText w:val=""/>
      <w:lvlJc w:val="left"/>
      <w:pPr>
        <w:tabs>
          <w:tab w:val="num" w:pos="0"/>
        </w:tabs>
        <w:ind w:left="1440" w:hanging="360"/>
      </w:pPr>
      <w:rPr>
        <w:rFonts w:ascii="Arial" w:hAnsi="Arial" w:cs="Courier New"/>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lvl w:ilvl="0">
      <w:start w:val="1"/>
      <w:numFmt w:val="decimal"/>
      <w:lvlText w:val=""/>
      <w:lvlJc w:val="left"/>
      <w:pPr>
        <w:tabs>
          <w:tab w:val="num" w:pos="0"/>
        </w:tabs>
        <w:ind w:left="720" w:hanging="360"/>
      </w:pPr>
      <w:rPr>
        <w:rFonts w:ascii="Arial" w:hAnsi="Arial" w:cs="Garamond"/>
        <w:b/>
        <w:i w:val="false"/>
      </w:rPr>
    </w:lvl>
    <w:lvl w:ilvl="1">
      <w:start w:val="1"/>
      <w:numFmt w:val="decimal"/>
      <w:lvlText w:val=""/>
      <w:lvlJc w:val="left"/>
      <w:pPr>
        <w:tabs>
          <w:tab w:val="num" w:pos="0"/>
        </w:tabs>
        <w:ind w:left="1440" w:hanging="360"/>
      </w:pPr>
      <w:rPr>
        <w:rFonts w:ascii="Arial" w:hAnsi="Arial" w:cs="Courier New"/>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18"/>
    <w:lvlOverride w:ilvl="0">
      <w:startOverride w:val="1"/>
      <w:lvl w:ilvl="0">
        <w:start w:val="1"/>
        <w:numFmt w:val="decimal"/>
        <w:lvlText w:val=""/>
        <w:lvlJc w:val="left"/>
        <w:pPr>
          <w:tabs>
            <w:tab w:val="num" w:pos="0"/>
          </w:tabs>
          <w:ind w:left="720" w:hanging="360"/>
        </w:pPr>
        <w:rPr>
          <w:rFonts w:ascii="Arial" w:hAnsi="Arial" w:cs="Garamond"/>
          <w:b/>
          <w:i w:val="false"/>
        </w:rPr>
      </w:lvl>
    </w:lvlOverride>
    <w:lvlOverride w:ilvl="0">
      <w:startOverride w:val="1"/>
    </w:lvlOverride>
    <w:lvlOverride w:ilvl="1">
      <w:lvl w:ilvl="1">
        <w:start w:val="1"/>
        <w:numFmt w:val="decimal"/>
        <w:lvlText w:val=""/>
        <w:lvlJc w:val="left"/>
        <w:pPr>
          <w:tabs>
            <w:tab w:val="num" w:pos="0"/>
          </w:tabs>
          <w:ind w:left="1440" w:hanging="360"/>
        </w:pPr>
        <w:rPr>
          <w:rFonts w:ascii="Arial" w:hAnsi="Arial" w:cs="Courier New"/>
        </w:rPr>
      </w:lvl>
    </w:lvlOverride>
    <w:lvlOverride w:ilvl="1">
      <w:startOverride w:val="1"/>
    </w:lvlOverride>
    <w:lvlOverride w:ilvl="2">
      <w:lvl w:ilvl="2">
        <w:start w:val="1"/>
        <w:numFmt w:val="bullet"/>
        <w:lvlText w:val=""/>
        <w:lvlJc w:val="left"/>
        <w:pPr>
          <w:tabs>
            <w:tab w:val="num" w:pos="0"/>
          </w:tabs>
          <w:ind w:left="2160" w:hanging="360"/>
        </w:pPr>
        <w:rPr>
          <w:rFonts w:ascii="Wingdings" w:hAnsi="Wingdings" w:cs="Wingdings" w:hint="default"/>
        </w:rPr>
      </w:lvl>
    </w:lvlOverride>
    <w:lvlOverride w:ilvl="2">
      <w:startOverride w:val="1"/>
    </w:lvlOverride>
    <w:lvlOverride w:ilvl="3">
      <w:lvl w:ilvl="3">
        <w:start w:val="1"/>
        <w:numFmt w:val="bullet"/>
        <w:lvlText w:val=""/>
        <w:lvlJc w:val="left"/>
        <w:pPr>
          <w:tabs>
            <w:tab w:val="num" w:pos="0"/>
          </w:tabs>
          <w:ind w:left="2880" w:hanging="360"/>
        </w:pPr>
        <w:rPr>
          <w:rFonts w:ascii="Symbol" w:hAnsi="Symbol" w:cs="Symbol" w:hint="default"/>
        </w:rPr>
      </w:lvl>
    </w:lvlOverride>
  </w:num>
  <w:num w:numId="47">
    <w:abstractNumId w:val="18"/>
    <w:lvlOverride w:ilvl="0">
      <w:startOverride w:val="1"/>
      <w:lvl w:ilvl="0">
        <w:start w:val="1"/>
        <w:numFmt w:val="decimal"/>
        <w:lvlText w:val=""/>
        <w:lvlJc w:val="left"/>
        <w:pPr>
          <w:tabs>
            <w:tab w:val="num" w:pos="0"/>
          </w:tabs>
          <w:ind w:left="720" w:hanging="360"/>
        </w:pPr>
        <w:rPr>
          <w:rFonts w:ascii="Arial" w:hAnsi="Arial" w:cs="Garamond"/>
          <w:b/>
          <w:i w:val="false"/>
        </w:rPr>
      </w:lvl>
    </w:lvlOverride>
    <w:lvlOverride w:ilvl="0">
      <w:startOverride w:val="1"/>
    </w:lvlOverride>
    <w:lvlOverride w:ilvl="1">
      <w:lvl w:ilvl="1">
        <w:start w:val="1"/>
        <w:numFmt w:val="decimal"/>
        <w:lvlText w:val=""/>
        <w:lvlJc w:val="left"/>
        <w:pPr>
          <w:tabs>
            <w:tab w:val="num" w:pos="0"/>
          </w:tabs>
          <w:ind w:left="1440" w:hanging="360"/>
        </w:pPr>
        <w:rPr>
          <w:rFonts w:ascii="Arial" w:hAnsi="Arial" w:cs="Courier New"/>
        </w:rPr>
      </w:lvl>
    </w:lvlOverride>
    <w:lvlOverride w:ilvl="1">
      <w:startOverride w:val="1"/>
    </w:lvlOverride>
    <w:lvlOverride w:ilvl="2">
      <w:lvl w:ilvl="2">
        <w:start w:val="1"/>
        <w:numFmt w:val="bullet"/>
        <w:lvlText w:val=""/>
        <w:lvlJc w:val="left"/>
        <w:pPr>
          <w:tabs>
            <w:tab w:val="num" w:pos="0"/>
          </w:tabs>
          <w:ind w:left="2160" w:hanging="360"/>
        </w:pPr>
        <w:rPr>
          <w:rFonts w:ascii="Wingdings" w:hAnsi="Wingdings" w:cs="Wingdings" w:hint="default"/>
        </w:rPr>
      </w:lvl>
    </w:lvlOverride>
    <w:lvlOverride w:ilvl="2">
      <w:startOverride w:val="1"/>
    </w:lvlOverride>
    <w:lvlOverride w:ilvl="3">
      <w:lvl w:ilvl="3">
        <w:start w:val="1"/>
        <w:numFmt w:val="bullet"/>
        <w:lvlText w:val=""/>
        <w:lvlJc w:val="left"/>
        <w:pPr>
          <w:tabs>
            <w:tab w:val="num" w:pos="0"/>
          </w:tabs>
          <w:ind w:left="2880" w:hanging="360"/>
        </w:pPr>
        <w:rPr>
          <w:rFonts w:ascii="Symbol" w:hAnsi="Symbol" w:cs="Symbol" w:hint="default"/>
        </w:rPr>
      </w:lvl>
    </w:lvlOverride>
  </w:num>
  <w:num w:numId="48">
    <w:abstractNumId w:val="18"/>
    <w:lvlOverride w:ilvl="0">
      <w:startOverride w:val="1"/>
      <w:lvl w:ilvl="0">
        <w:start w:val="1"/>
        <w:numFmt w:val="decimal"/>
        <w:lvlText w:val=""/>
        <w:lvlJc w:val="left"/>
        <w:pPr>
          <w:tabs>
            <w:tab w:val="num" w:pos="0"/>
          </w:tabs>
          <w:ind w:left="720" w:hanging="360"/>
        </w:pPr>
        <w:rPr>
          <w:rFonts w:ascii="Arial" w:hAnsi="Arial" w:cs="Garamond"/>
          <w:b/>
          <w:i w:val="false"/>
        </w:rPr>
      </w:lvl>
    </w:lvlOverride>
    <w:lvlOverride w:ilvl="0">
      <w:startOverride w:val="1"/>
    </w:lvlOverride>
    <w:lvlOverride w:ilvl="1">
      <w:lvl w:ilvl="1">
        <w:start w:val="1"/>
        <w:numFmt w:val="decimal"/>
        <w:lvlText w:val=""/>
        <w:lvlJc w:val="left"/>
        <w:pPr>
          <w:tabs>
            <w:tab w:val="num" w:pos="0"/>
          </w:tabs>
          <w:ind w:left="1440" w:hanging="360"/>
        </w:pPr>
        <w:rPr>
          <w:rFonts w:ascii="Arial" w:hAnsi="Arial" w:cs="Courier New"/>
        </w:rPr>
      </w:lvl>
    </w:lvlOverride>
    <w:lvlOverride w:ilvl="1">
      <w:startOverride w:val="1"/>
    </w:lvlOverride>
    <w:lvlOverride w:ilvl="2">
      <w:lvl w:ilvl="2">
        <w:start w:val="1"/>
        <w:numFmt w:val="bullet"/>
        <w:lvlText w:val=""/>
        <w:lvlJc w:val="left"/>
        <w:pPr>
          <w:tabs>
            <w:tab w:val="num" w:pos="0"/>
          </w:tabs>
          <w:ind w:left="2160" w:hanging="360"/>
        </w:pPr>
        <w:rPr>
          <w:rFonts w:ascii="Wingdings" w:hAnsi="Wingdings" w:cs="Wingdings" w:hint="default"/>
        </w:rPr>
      </w:lvl>
    </w:lvlOverride>
    <w:lvlOverride w:ilvl="2">
      <w:startOverride w:val="1"/>
    </w:lvlOverride>
    <w:lvlOverride w:ilvl="3">
      <w:lvl w:ilvl="3">
        <w:start w:val="1"/>
        <w:numFmt w:val="bullet"/>
        <w:lvlText w:val=""/>
        <w:lvlJc w:val="left"/>
        <w:pPr>
          <w:tabs>
            <w:tab w:val="num" w:pos="0"/>
          </w:tabs>
          <w:ind w:left="2880" w:hanging="360"/>
        </w:pPr>
        <w:rPr>
          <w:rFonts w:ascii="Symbol" w:hAnsi="Symbol" w:cs="Symbol" w:hint="default"/>
        </w:rPr>
      </w:lvl>
    </w:lvlOverride>
  </w:num>
  <w:num w:numId="49">
    <w:abstractNumId w:val="18"/>
    <w:lvlOverride w:ilvl="0">
      <w:startOverride w:val="1"/>
      <w:lvl w:ilvl="0">
        <w:start w:val="1"/>
        <w:numFmt w:val="decimal"/>
        <w:lvlText w:val=""/>
        <w:lvlJc w:val="left"/>
        <w:pPr>
          <w:tabs>
            <w:tab w:val="num" w:pos="0"/>
          </w:tabs>
          <w:ind w:left="720" w:hanging="360"/>
        </w:pPr>
        <w:rPr>
          <w:rFonts w:ascii="Arial" w:hAnsi="Arial" w:cs="Garamond"/>
          <w:b/>
          <w:i w:val="false"/>
        </w:rPr>
      </w:lvl>
    </w:lvlOverride>
    <w:lvlOverride w:ilvl="0">
      <w:startOverride w:val="1"/>
    </w:lvlOverride>
    <w:lvlOverride w:ilvl="1">
      <w:lvl w:ilvl="1">
        <w:start w:val="1"/>
        <w:numFmt w:val="decimal"/>
        <w:lvlText w:val=""/>
        <w:lvlJc w:val="left"/>
        <w:pPr>
          <w:tabs>
            <w:tab w:val="num" w:pos="0"/>
          </w:tabs>
          <w:ind w:left="1440" w:hanging="360"/>
        </w:pPr>
        <w:rPr>
          <w:rFonts w:ascii="Arial" w:hAnsi="Arial" w:cs="Courier New"/>
        </w:rPr>
      </w:lvl>
    </w:lvlOverride>
    <w:lvlOverride w:ilvl="1">
      <w:startOverride w:val="1"/>
    </w:lvlOverride>
    <w:lvlOverride w:ilvl="2">
      <w:lvl w:ilvl="2">
        <w:start w:val="1"/>
        <w:numFmt w:val="bullet"/>
        <w:lvlText w:val=""/>
        <w:lvlJc w:val="left"/>
        <w:pPr>
          <w:tabs>
            <w:tab w:val="num" w:pos="0"/>
          </w:tabs>
          <w:ind w:left="2160" w:hanging="360"/>
        </w:pPr>
        <w:rPr>
          <w:rFonts w:ascii="Wingdings" w:hAnsi="Wingdings" w:cs="Wingdings" w:hint="default"/>
        </w:rPr>
      </w:lvl>
    </w:lvlOverride>
    <w:lvlOverride w:ilvl="2">
      <w:startOverride w:val="1"/>
    </w:lvlOverride>
    <w:lvlOverride w:ilvl="3">
      <w:lvl w:ilvl="3">
        <w:start w:val="1"/>
        <w:numFmt w:val="bullet"/>
        <w:lvlText w:val=""/>
        <w:lvlJc w:val="left"/>
        <w:pPr>
          <w:tabs>
            <w:tab w:val="num" w:pos="0"/>
          </w:tabs>
          <w:ind w:left="2880" w:hanging="360"/>
        </w:pPr>
        <w:rPr>
          <w:rFonts w:ascii="Symbol" w:hAnsi="Symbol" w:cs="Symbol" w:hint="default"/>
        </w:rPr>
      </w:lvl>
    </w:lvlOverride>
  </w:num>
</w:numbering>
</file>

<file path=word/settings.xml><?xml version="1.0" encoding="utf-8"?>
<w:settings xmlns:w="http://schemas.openxmlformats.org/wordprocessingml/2006/main">
  <w:zoom w:percent="100"/>
  <w:defaultTabStop w:val="708"/>
  <w:autoHyphenation w:val="true"/>
  <w:hyphenationZone w:val="360"/>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semiHidden="1" w:unhideWhenUsed="1" w:qFormat="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semiHidden="1" w:unhideWhenUsed="1" w:qFormat="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uiPriority="0" w:semiHidden="1" w:unhideWhenUsed="1" w:qFormat="1"/>
    <w:lsdException w:name="Body Text Indent 3" w:uiPriority="0" w:semiHidden="1"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qFormat="1"/>
    <w:lsdException w:name="Plain Text" w:uiPriority="0"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qFormat="1"/>
    <w:lsdException w:name="Table Grid" w:uiPriority="39"/>
    <w:lsdException w:name="Table Theme" w:semiHidden="1" w:unhideWhenUsed="1"/>
    <w:lsdException w:name="Placeholder Text" w:uiPriority="0"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0"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28ad"/>
    <w:pPr>
      <w:widowControl/>
      <w:suppressAutoHyphens w:val="true"/>
      <w:bidi w:val="0"/>
      <w:spacing w:lineRule="auto" w:line="276" w:before="0" w:after="0"/>
      <w:jc w:val="both"/>
    </w:pPr>
    <w:rPr>
      <w:rFonts w:ascii="Garamond" w:hAnsi="Garamond" w:eastAsia="Times New Roman" w:cs="Times New Roman"/>
      <w:color w:val="auto"/>
      <w:kern w:val="0"/>
      <w:sz w:val="24"/>
      <w:szCs w:val="22"/>
      <w:lang w:val="it-IT" w:eastAsia="en-US" w:bidi="ar-SA"/>
      <w14:ligatures w14:val="none"/>
    </w:rPr>
  </w:style>
  <w:style w:type="paragraph" w:styleId="Heading1">
    <w:name w:val="heading 1"/>
    <w:basedOn w:val="Normal"/>
    <w:next w:val="Normal"/>
    <w:link w:val="Titolo1Carattere"/>
    <w:qFormat/>
    <w:rsid w:val="00604c9a"/>
    <w:pPr>
      <w:keepNext w:val="true"/>
      <w:keepLines/>
      <w:spacing w:before="100" w:after="100"/>
      <w:outlineLvl w:val="0"/>
    </w:pPr>
    <w:rPr>
      <w:rFonts w:ascii="Titillium" w:hAnsi="Titillium" w:eastAsia="DejaVu Sans" w:cs="DejaVu Sans" w:cstheme="majorBidi" w:eastAsiaTheme="majorEastAsia"/>
      <w:color w:themeColor="accent1" w:themeShade="bf" w:val="0F4761"/>
      <w:sz w:val="22"/>
    </w:rPr>
  </w:style>
  <w:style w:type="paragraph" w:styleId="Heading2">
    <w:name w:val="heading 2"/>
    <w:basedOn w:val="Normal"/>
    <w:next w:val="Normal"/>
    <w:link w:val="Titolo2Carattere"/>
    <w:unhideWhenUsed/>
    <w:qFormat/>
    <w:rsid w:val="00604c9a"/>
    <w:pPr>
      <w:keepNext w:val="true"/>
      <w:keepLines/>
      <w:spacing w:before="160" w:after="80"/>
      <w:outlineLvl w:val="1"/>
    </w:pPr>
    <w:rPr>
      <w:rFonts w:ascii="Titillium" w:hAnsi="Titillium" w:eastAsia="DejaVu Sans" w:cs="DejaVu Sans" w:cstheme="majorBidi" w:eastAsiaTheme="majorEastAsia"/>
      <w:color w:themeColor="accent1" w:themeShade="bf" w:val="0F4761"/>
      <w:sz w:val="20"/>
      <w:szCs w:val="20"/>
    </w:rPr>
  </w:style>
  <w:style w:type="paragraph" w:styleId="Heading3">
    <w:name w:val="heading 3"/>
    <w:basedOn w:val="Normal"/>
    <w:next w:val="Normal"/>
    <w:link w:val="Titolo3Carattere"/>
    <w:unhideWhenUsed/>
    <w:qFormat/>
    <w:rsid w:val="00382f18"/>
    <w:pPr>
      <w:keepNext w:val="true"/>
      <w:keepLines/>
      <w:spacing w:before="160" w:after="80"/>
      <w:outlineLvl w:val="2"/>
    </w:pPr>
    <w:rPr>
      <w:rFonts w:eastAsia="DejaVu Sans" w:cs="DejaVu Sans" w:cstheme="majorBidi" w:eastAsiaTheme="majorEastAsia"/>
      <w:color w:themeColor="accent1" w:themeShade="bf" w:val="0F4761"/>
      <w:sz w:val="28"/>
      <w:szCs w:val="28"/>
    </w:rPr>
  </w:style>
  <w:style w:type="paragraph" w:styleId="Heading4">
    <w:name w:val="heading 4"/>
    <w:basedOn w:val="Normal"/>
    <w:next w:val="Normal"/>
    <w:link w:val="Titolo4Carattere"/>
    <w:unhideWhenUsed/>
    <w:qFormat/>
    <w:rsid w:val="00382f18"/>
    <w:pPr>
      <w:keepNext w:val="true"/>
      <w:keepLines/>
      <w:spacing w:before="80" w:after="40"/>
      <w:outlineLvl w:val="3"/>
    </w:pPr>
    <w:rPr>
      <w:rFonts w:eastAsia="DejaVu Sans" w:cs="DejaVu Sans" w:cstheme="majorBidi" w:eastAsiaTheme="majorEastAsia"/>
      <w:i/>
      <w:iCs/>
      <w:color w:themeColor="accent1" w:themeShade="bf" w:val="0F4761"/>
    </w:rPr>
  </w:style>
  <w:style w:type="paragraph" w:styleId="Heading5">
    <w:name w:val="heading 5"/>
    <w:basedOn w:val="Normal"/>
    <w:next w:val="Normal"/>
    <w:link w:val="Titolo5Carattere"/>
    <w:unhideWhenUsed/>
    <w:qFormat/>
    <w:rsid w:val="00382f18"/>
    <w:pPr>
      <w:keepNext w:val="true"/>
      <w:keepLines/>
      <w:spacing w:before="80" w:after="40"/>
      <w:outlineLvl w:val="4"/>
    </w:pPr>
    <w:rPr>
      <w:rFonts w:eastAsia="DejaVu Sans" w:cs="DejaVu Sans" w:cstheme="majorBidi" w:eastAsiaTheme="majorEastAsia"/>
      <w:color w:themeColor="accent1" w:themeShade="bf" w:val="0F4761"/>
    </w:rPr>
  </w:style>
  <w:style w:type="paragraph" w:styleId="Heading6">
    <w:name w:val="heading 6"/>
    <w:basedOn w:val="Normal"/>
    <w:next w:val="Normal"/>
    <w:link w:val="Titolo6Carattere"/>
    <w:uiPriority w:val="9"/>
    <w:semiHidden/>
    <w:unhideWhenUsed/>
    <w:qFormat/>
    <w:rsid w:val="00382f18"/>
    <w:pPr>
      <w:keepNext w:val="true"/>
      <w:keepLines/>
      <w:spacing w:before="40" w:after="0"/>
      <w:outlineLvl w:val="5"/>
    </w:pPr>
    <w:rPr>
      <w:rFonts w:eastAsia="DejaVu Sans" w:cs="DejaVu Sans" w:cstheme="majorBidi" w:eastAsiaTheme="majorEastAsia"/>
      <w:i/>
      <w:iCs/>
      <w:color w:themeColor="text1" w:themeTint="a6" w:val="595959"/>
    </w:rPr>
  </w:style>
  <w:style w:type="paragraph" w:styleId="Heading7">
    <w:name w:val="heading 7"/>
    <w:basedOn w:val="Normal"/>
    <w:next w:val="Normal"/>
    <w:link w:val="Titolo7Carattere"/>
    <w:uiPriority w:val="9"/>
    <w:semiHidden/>
    <w:unhideWhenUsed/>
    <w:qFormat/>
    <w:rsid w:val="00382f18"/>
    <w:pPr>
      <w:keepNext w:val="true"/>
      <w:keepLines/>
      <w:spacing w:before="40" w:after="0"/>
      <w:outlineLvl w:val="6"/>
    </w:pPr>
    <w:rPr>
      <w:rFonts w:eastAsia="DejaVu Sans" w:cs="DejaVu Sans" w:cstheme="majorBidi" w:eastAsiaTheme="majorEastAsia"/>
      <w:color w:themeColor="text1" w:themeTint="a6" w:val="595959"/>
    </w:rPr>
  </w:style>
  <w:style w:type="paragraph" w:styleId="Heading8">
    <w:name w:val="heading 8"/>
    <w:basedOn w:val="Normal"/>
    <w:next w:val="Normal"/>
    <w:link w:val="Titolo8Carattere"/>
    <w:uiPriority w:val="9"/>
    <w:semiHidden/>
    <w:unhideWhenUsed/>
    <w:qFormat/>
    <w:rsid w:val="00382f18"/>
    <w:pPr>
      <w:keepNext w:val="true"/>
      <w:keepLines/>
      <w:outlineLvl w:val="7"/>
    </w:pPr>
    <w:rPr>
      <w:rFonts w:eastAsia="DejaVu Sans" w:cs="DejaVu Sans" w:cstheme="majorBidi" w:eastAsiaTheme="majorEastAsia"/>
      <w:i/>
      <w:iCs/>
      <w:color w:themeColor="text1" w:themeTint="d8" w:val="272727"/>
    </w:rPr>
  </w:style>
  <w:style w:type="paragraph" w:styleId="Heading9">
    <w:name w:val="heading 9"/>
    <w:basedOn w:val="Normal"/>
    <w:next w:val="Normal"/>
    <w:link w:val="Titolo9Carattere"/>
    <w:uiPriority w:val="9"/>
    <w:semiHidden/>
    <w:unhideWhenUsed/>
    <w:qFormat/>
    <w:rsid w:val="00382f18"/>
    <w:pPr>
      <w:keepNext w:val="true"/>
      <w:keepLines/>
      <w:outlineLvl w:val="8"/>
    </w:pPr>
    <w:rPr>
      <w:rFonts w:eastAsia="DejaVu Sans" w:cs="DejaVu San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qFormat/>
    <w:rsid w:val="00604c9a"/>
    <w:rPr>
      <w:rFonts w:ascii="Titillium" w:hAnsi="Titillium" w:eastAsia="DejaVu Sans" w:cs="DejaVu Sans" w:cstheme="majorBidi" w:eastAsiaTheme="majorEastAsia"/>
      <w:color w:themeColor="accent1" w:themeShade="bf" w:val="0F4761"/>
      <w:kern w:val="0"/>
      <w:sz w:val="22"/>
      <w:szCs w:val="22"/>
      <w14:ligatures w14:val="none"/>
    </w:rPr>
  </w:style>
  <w:style w:type="character" w:styleId="Titolo2Carattere" w:customStyle="1">
    <w:name w:val="Titolo 2 Carattere"/>
    <w:basedOn w:val="DefaultParagraphFont"/>
    <w:qFormat/>
    <w:rsid w:val="00604c9a"/>
    <w:rPr>
      <w:rFonts w:ascii="Titillium" w:hAnsi="Titillium" w:eastAsia="DejaVu Sans" w:cs="DejaVu Sans" w:cstheme="majorBidi" w:eastAsiaTheme="majorEastAsia"/>
      <w:color w:themeColor="accent1" w:themeShade="bf" w:val="0F4761"/>
      <w:kern w:val="0"/>
      <w:sz w:val="20"/>
      <w:szCs w:val="20"/>
      <w14:ligatures w14:val="none"/>
    </w:rPr>
  </w:style>
  <w:style w:type="character" w:styleId="Titolo3Carattere" w:customStyle="1">
    <w:name w:val="Titolo 3 Carattere"/>
    <w:basedOn w:val="DefaultParagraphFont"/>
    <w:qFormat/>
    <w:rsid w:val="00382f18"/>
    <w:rPr>
      <w:rFonts w:eastAsia="DejaVu Sans" w:cs="DejaVu Sans" w:cstheme="majorBidi" w:eastAsiaTheme="majorEastAsia"/>
      <w:color w:themeColor="accent1" w:themeShade="bf" w:val="0F4761"/>
      <w:sz w:val="28"/>
      <w:szCs w:val="28"/>
    </w:rPr>
  </w:style>
  <w:style w:type="character" w:styleId="Titolo4Carattere" w:customStyle="1">
    <w:name w:val="Titolo 4 Carattere"/>
    <w:basedOn w:val="DefaultParagraphFont"/>
    <w:qFormat/>
    <w:rsid w:val="00382f18"/>
    <w:rPr>
      <w:rFonts w:eastAsia="DejaVu Sans" w:cs="DejaVu Sans" w:cstheme="majorBidi" w:eastAsiaTheme="majorEastAsia"/>
      <w:i/>
      <w:iCs/>
      <w:color w:themeColor="accent1" w:themeShade="bf" w:val="0F4761"/>
    </w:rPr>
  </w:style>
  <w:style w:type="character" w:styleId="Titolo5Carattere" w:customStyle="1">
    <w:name w:val="Titolo 5 Carattere"/>
    <w:basedOn w:val="DefaultParagraphFont"/>
    <w:qFormat/>
    <w:rsid w:val="00382f18"/>
    <w:rPr>
      <w:rFonts w:eastAsia="DejaVu Sans" w:cs="DejaVu Sans" w:cstheme="majorBidi" w:eastAsiaTheme="majorEastAsia"/>
      <w:color w:themeColor="accent1" w:themeShade="bf" w:val="0F4761"/>
    </w:rPr>
  </w:style>
  <w:style w:type="character" w:styleId="Titolo6Carattere" w:customStyle="1">
    <w:name w:val="Titolo 6 Carattere"/>
    <w:basedOn w:val="DefaultParagraphFont"/>
    <w:qFormat/>
    <w:rsid w:val="00382f18"/>
    <w:rPr>
      <w:rFonts w:eastAsia="DejaVu Sans" w:cs="DejaVu Sans" w:cstheme="majorBidi" w:eastAsiaTheme="majorEastAsia"/>
      <w:i/>
      <w:iCs/>
      <w:color w:themeColor="text1" w:themeTint="a6" w:val="595959"/>
    </w:rPr>
  </w:style>
  <w:style w:type="character" w:styleId="Titolo7Carattere" w:customStyle="1">
    <w:name w:val="Titolo 7 Carattere"/>
    <w:basedOn w:val="DefaultParagraphFont"/>
    <w:qFormat/>
    <w:rsid w:val="00382f18"/>
    <w:rPr>
      <w:rFonts w:eastAsia="DejaVu Sans" w:cs="DejaVu Sans" w:cstheme="majorBidi" w:eastAsiaTheme="majorEastAsia"/>
      <w:color w:themeColor="text1" w:themeTint="a6" w:val="595959"/>
    </w:rPr>
  </w:style>
  <w:style w:type="character" w:styleId="Titolo8Carattere" w:customStyle="1">
    <w:name w:val="Titolo 8 Carattere"/>
    <w:basedOn w:val="DefaultParagraphFont"/>
    <w:uiPriority w:val="9"/>
    <w:semiHidden/>
    <w:qFormat/>
    <w:rsid w:val="00382f18"/>
    <w:rPr>
      <w:rFonts w:eastAsia="DejaVu Sans" w:cs="DejaVu Sans" w:cstheme="majorBidi" w:eastAsiaTheme="majorEastAsia"/>
      <w:i/>
      <w:iCs/>
      <w:color w:themeColor="text1" w:themeTint="d8" w:val="272727"/>
    </w:rPr>
  </w:style>
  <w:style w:type="character" w:styleId="Titolo9Carattere" w:customStyle="1">
    <w:name w:val="Titolo 9 Carattere"/>
    <w:basedOn w:val="DefaultParagraphFont"/>
    <w:uiPriority w:val="9"/>
    <w:semiHidden/>
    <w:qFormat/>
    <w:rsid w:val="00382f18"/>
    <w:rPr>
      <w:rFonts w:eastAsia="DejaVu Sans" w:cs="DejaVu Sans" w:cstheme="majorBidi" w:eastAsiaTheme="majorEastAsia"/>
      <w:color w:themeColor="text1" w:themeTint="d8" w:val="272727"/>
    </w:rPr>
  </w:style>
  <w:style w:type="character" w:styleId="TitoloCarattere" w:customStyle="1">
    <w:name w:val="Titolo Carattere"/>
    <w:basedOn w:val="DefaultParagraphFont"/>
    <w:qFormat/>
    <w:rsid w:val="00382f18"/>
    <w:rPr>
      <w:rFonts w:ascii="Arial" w:hAnsi="Arial" w:eastAsia="DejaVu Sans" w:cs="DejaVu San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qFormat/>
    <w:rsid w:val="00382f18"/>
    <w:rPr>
      <w:rFonts w:eastAsia="DejaVu Sans" w:cs="DejaVu Sans" w:cstheme="majorBidi" w:eastAsiaTheme="majorEastAsia"/>
      <w:color w:themeColor="text1" w:themeTint="a6" w:val="595959"/>
      <w:spacing w:val="15"/>
      <w:sz w:val="28"/>
      <w:szCs w:val="28"/>
    </w:rPr>
  </w:style>
  <w:style w:type="character" w:styleId="CitazioneCarattere" w:customStyle="1">
    <w:name w:val="Citazione Carattere"/>
    <w:basedOn w:val="DefaultParagraphFont"/>
    <w:link w:val="Quote"/>
    <w:uiPriority w:val="29"/>
    <w:qFormat/>
    <w:rsid w:val="00382f18"/>
    <w:rPr>
      <w:i/>
      <w:iCs/>
      <w:color w:themeColor="text1" w:themeTint="bf" w:val="404040"/>
    </w:rPr>
  </w:style>
  <w:style w:type="character" w:styleId="IntenseEmphasis">
    <w:name w:val="Intense Emphasis"/>
    <w:basedOn w:val="DefaultParagraphFont"/>
    <w:uiPriority w:val="21"/>
    <w:qFormat/>
    <w:rsid w:val="00382f18"/>
    <w:rPr>
      <w:i/>
      <w:iCs/>
      <w:color w:themeColor="accent1" w:themeShade="bf" w:val="0F4761"/>
    </w:rPr>
  </w:style>
  <w:style w:type="character" w:styleId="CitazioneintensaCarattere" w:customStyle="1">
    <w:name w:val="Citazione intensa Carattere"/>
    <w:basedOn w:val="DefaultParagraphFont"/>
    <w:link w:val="IntenseQuote"/>
    <w:uiPriority w:val="30"/>
    <w:qFormat/>
    <w:rsid w:val="00382f18"/>
    <w:rPr>
      <w:i/>
      <w:iCs/>
      <w:color w:themeColor="accent1" w:themeShade="bf" w:val="0F4761"/>
    </w:rPr>
  </w:style>
  <w:style w:type="character" w:styleId="IntenseReference">
    <w:name w:val="Intense Reference"/>
    <w:basedOn w:val="DefaultParagraphFont"/>
    <w:uiPriority w:val="32"/>
    <w:qFormat/>
    <w:rsid w:val="00382f18"/>
    <w:rPr>
      <w:b/>
      <w:bCs/>
      <w:smallCaps/>
      <w:color w:themeColor="accent1" w:themeShade="bf" w:val="0F4761"/>
      <w:spacing w:val="5"/>
    </w:rPr>
  </w:style>
  <w:style w:type="character" w:styleId="TestofumettoCarattere" w:customStyle="1">
    <w:name w:val="Testo fumetto Carattere"/>
    <w:qFormat/>
    <w:rsid w:val="00ae28ad"/>
    <w:rPr>
      <w:rFonts w:ascii="Tahoma" w:hAnsi="Tahoma" w:cs="Tahoma"/>
      <w:sz w:val="16"/>
      <w:szCs w:val="16"/>
    </w:rPr>
  </w:style>
  <w:style w:type="character" w:styleId="IntestazioneCarattere" w:customStyle="1">
    <w:name w:val="Intestazione Carattere"/>
    <w:qFormat/>
    <w:rsid w:val="00ae28ad"/>
    <w:rPr>
      <w:rFonts w:eastAsia="Times New Roman" w:cs="Times New Roman"/>
      <w:lang w:val="x-none" w:eastAsia="it-IT"/>
    </w:rPr>
  </w:style>
  <w:style w:type="character" w:styleId="PidipaginaCarattere" w:customStyle="1">
    <w:name w:val="Piè di pagina Carattere"/>
    <w:qFormat/>
    <w:rsid w:val="00ae28ad"/>
    <w:rPr>
      <w:rFonts w:eastAsia="Times New Roman" w:cs="Times New Roman"/>
      <w:lang w:val="x-none" w:eastAsia="it-IT"/>
    </w:rPr>
  </w:style>
  <w:style w:type="character" w:styleId="TestonotaapidipaginaCarattere" w:customStyle="1">
    <w:name w:val="Testo nota a piè di pagina Carattere"/>
    <w:qFormat/>
    <w:rsid w:val="00ae28ad"/>
    <w:rPr>
      <w:rFonts w:eastAsia="Times New Roman" w:cs="Times New Roman"/>
      <w:sz w:val="20"/>
      <w:szCs w:val="20"/>
      <w:lang w:val="x-none" w:eastAsia="it-IT"/>
    </w:rPr>
  </w:style>
  <w:style w:type="character" w:styleId="Caratterinotaapidipaginauser" w:customStyle="1">
    <w:name w:val="Caratteri nota a piè di pagina (user)"/>
    <w:qFormat/>
    <w:rsid w:val="00ae28ad"/>
    <w:rPr>
      <w:rFonts w:cs="Times New Roman"/>
      <w:vertAlign w:val="superscript"/>
    </w:rPr>
  </w:style>
  <w:style w:type="character" w:styleId="FootnoteCharacters" w:customStyle="1">
    <w:name w:val="Footnote Characters"/>
    <w:basedOn w:val="DefaultParagraphFont"/>
    <w:uiPriority w:val="99"/>
    <w:semiHidden/>
    <w:unhideWhenUsed/>
    <w:qFormat/>
    <w:rsid w:val="00ae28ad"/>
    <w:rPr>
      <w:vertAlign w:val="superscript"/>
    </w:rPr>
  </w:style>
  <w:style w:type="character" w:styleId="Caratterinotaapidipagina">
    <w:name w:val="Caratteri nota a piè di pagina"/>
    <w:qFormat/>
    <w:rPr>
      <w:rFonts w:cs="Times New Roman"/>
      <w:vertAlign w:val="superscript"/>
    </w:rPr>
  </w:style>
  <w:style w:type="character" w:styleId="FootnoteReference">
    <w:name w:val="footnote reference"/>
    <w:rPr>
      <w:rFonts w:cs="Times New Roman"/>
      <w:vertAlign w:val="superscript"/>
    </w:rPr>
  </w:style>
  <w:style w:type="character" w:styleId="Hyperlink">
    <w:name w:val="Hyperlink"/>
    <w:basedOn w:val="DefaultParagraphFont"/>
    <w:qFormat/>
    <w:rPr>
      <w:color w:themeColor="hyperlink" w:val="467886"/>
      <w:u w:val="single"/>
    </w:rPr>
  </w:style>
  <w:style w:type="character" w:styleId="Stile1Carattere" w:customStyle="1">
    <w:name w:val="Stile1 Carattere"/>
    <w:qFormat/>
    <w:rsid w:val="00ae28ad"/>
    <w:rPr>
      <w:rFonts w:ascii="Times New Roman" w:hAnsi="Times New Roman" w:cs="Times New Roman"/>
      <w:b/>
      <w:bCs/>
      <w:color w:val="365F91"/>
      <w:sz w:val="28"/>
      <w:szCs w:val="28"/>
      <w:lang w:val="x-none" w:eastAsia="it-IT"/>
    </w:rPr>
  </w:style>
  <w:style w:type="character" w:styleId="NoSpacingChar" w:customStyle="1">
    <w:name w:val="No Spacing Char"/>
    <w:qFormat/>
    <w:rsid w:val="00ae28ad"/>
    <w:rPr>
      <w:sz w:val="22"/>
      <w:szCs w:val="22"/>
      <w:lang w:val="it-IT" w:eastAsia="en-US" w:bidi="ar-SA"/>
    </w:rPr>
  </w:style>
  <w:style w:type="character" w:styleId="Emphasis">
    <w:name w:val="Emphasis"/>
    <w:qFormat/>
    <w:rPr>
      <w:rFonts w:cs="Times New Roman"/>
      <w:i/>
      <w:iCs/>
    </w:rPr>
  </w:style>
  <w:style w:type="character" w:styleId="TestonotadichiusuraCarattere" w:customStyle="1">
    <w:name w:val="Testo nota di chiusura Carattere"/>
    <w:qFormat/>
    <w:rsid w:val="00ae28ad"/>
    <w:rPr>
      <w:rFonts w:eastAsia="Times New Roman"/>
      <w:lang w:eastAsia="en-US"/>
    </w:rPr>
  </w:style>
  <w:style w:type="character" w:styleId="Caratterinotadichiusurauser" w:customStyle="1">
    <w:name w:val="Caratteri nota di chiusura (user)"/>
    <w:qFormat/>
    <w:rsid w:val="00ae28ad"/>
    <w:rPr>
      <w:vertAlign w:val="superscript"/>
    </w:rPr>
  </w:style>
  <w:style w:type="character" w:styleId="EndnoteCharacters" w:customStyle="1">
    <w:name w:val="Endnote Characters"/>
    <w:qFormat/>
    <w:rsid w:val="00ae28ad"/>
    <w:rPr>
      <w:vertAlign w:val="superscript"/>
    </w:rPr>
  </w:style>
  <w:style w:type="character" w:styleId="Caratterinotadichiusura">
    <w:name w:val="Caratteri nota di chiusura"/>
    <w:qFormat/>
    <w:rPr>
      <w:vertAlign w:val="superscript"/>
    </w:rPr>
  </w:style>
  <w:style w:type="character" w:styleId="EndnoteReference">
    <w:name w:val="endnote reference"/>
    <w:rPr>
      <w:vertAlign w:val="superscript"/>
    </w:rPr>
  </w:style>
  <w:style w:type="character" w:styleId="descrizione" w:customStyle="1">
    <w:name w:val="descrizione"/>
    <w:qFormat/>
    <w:rsid w:val="00ae28ad"/>
    <w:rPr>
      <w:b/>
      <w:bCs/>
      <w:color w:val="5B76A0"/>
      <w:sz w:val="28"/>
      <w:szCs w:val="28"/>
    </w:rPr>
  </w:style>
  <w:style w:type="character" w:styleId="Strong">
    <w:name w:val="Strong"/>
    <w:qFormat/>
    <w:rsid w:val="00ae28ad"/>
    <w:rPr>
      <w:b/>
      <w:bCs/>
    </w:rPr>
  </w:style>
  <w:style w:type="character" w:styleId="provvrubrica" w:customStyle="1">
    <w:name w:val="provv_rubrica"/>
    <w:qFormat/>
    <w:rsid w:val="00ae28ad"/>
    <w:rPr>
      <w:i/>
      <w:iCs/>
    </w:rPr>
  </w:style>
  <w:style w:type="character" w:styleId="CommentReference">
    <w:name w:val="annotation reference"/>
    <w:uiPriority w:val="99"/>
    <w:qFormat/>
    <w:rsid w:val="00ae28ad"/>
    <w:rPr>
      <w:sz w:val="16"/>
      <w:szCs w:val="16"/>
    </w:rPr>
  </w:style>
  <w:style w:type="character" w:styleId="TestocommentoCarattere" w:customStyle="1">
    <w:name w:val="Testo commento Carattere"/>
    <w:uiPriority w:val="99"/>
    <w:qFormat/>
    <w:rsid w:val="00ae28ad"/>
    <w:rPr>
      <w:rFonts w:eastAsia="Times New Roman"/>
      <w:lang w:eastAsia="en-US"/>
    </w:rPr>
  </w:style>
  <w:style w:type="character" w:styleId="SoggettocommentoCarattere" w:customStyle="1">
    <w:name w:val="Soggetto commento Carattere"/>
    <w:qFormat/>
    <w:rsid w:val="00ae28ad"/>
    <w:rPr>
      <w:rFonts w:eastAsia="Times New Roman"/>
      <w:b/>
      <w:bCs/>
      <w:lang w:eastAsia="en-US"/>
    </w:rPr>
  </w:style>
  <w:style w:type="character" w:styleId="provvnumcomma" w:customStyle="1">
    <w:name w:val="provv_numcomma"/>
    <w:basedOn w:val="DefaultParagraphFont"/>
    <w:qFormat/>
    <w:rsid w:val="00ae28ad"/>
    <w:rPr/>
  </w:style>
  <w:style w:type="character" w:styleId="anchorantimarker" w:customStyle="1">
    <w:name w:val="anchor_anti_marker"/>
    <w:qFormat/>
    <w:rsid w:val="00ae28ad"/>
    <w:rPr>
      <w:color w:val="000000"/>
    </w:rPr>
  </w:style>
  <w:style w:type="character" w:styleId="linkneltesto" w:customStyle="1">
    <w:name w:val="link_nel_testo"/>
    <w:qFormat/>
    <w:rsid w:val="00ae28ad"/>
    <w:rPr>
      <w:i/>
      <w:iCs/>
    </w:rPr>
  </w:style>
  <w:style w:type="character" w:styleId="CorpotestoCarattere1" w:customStyle="1">
    <w:name w:val="Corpo testo Carattere1"/>
    <w:qFormat/>
    <w:rsid w:val="00ae28ad"/>
    <w:rPr>
      <w:rFonts w:ascii="Times New Roman" w:hAnsi="Times New Roman" w:eastAsia="Times New Roman"/>
      <w:sz w:val="26"/>
    </w:rPr>
  </w:style>
  <w:style w:type="character" w:styleId="Rientrocorpodeltesto3Carattere" w:customStyle="1">
    <w:name w:val="Rientro corpo del testo 3 Carattere"/>
    <w:qFormat/>
    <w:rsid w:val="00ae28ad"/>
    <w:rPr>
      <w:rFonts w:eastAsia="Times New Roman"/>
      <w:sz w:val="16"/>
      <w:szCs w:val="16"/>
      <w:lang w:eastAsia="en-US"/>
    </w:rPr>
  </w:style>
  <w:style w:type="character" w:styleId="Corpodeltesto2Carattere" w:customStyle="1">
    <w:name w:val="Corpo del testo 2 Carattere"/>
    <w:qFormat/>
    <w:rsid w:val="00ae28ad"/>
    <w:rPr>
      <w:rFonts w:eastAsia="Times New Roman"/>
      <w:sz w:val="22"/>
      <w:szCs w:val="22"/>
      <w:lang w:eastAsia="en-US"/>
    </w:rPr>
  </w:style>
  <w:style w:type="character" w:styleId="noteapiCarattere" w:customStyle="1">
    <w:name w:val="note a piè Carattere"/>
    <w:qFormat/>
    <w:rsid w:val="00ae28ad"/>
    <w:rPr>
      <w:rFonts w:ascii="Times New Roman" w:hAnsi="Times New Roman" w:eastAsia="Times New Roman" w:cs="Times New Roman"/>
      <w:sz w:val="20"/>
      <w:szCs w:val="20"/>
      <w:lang w:val="x-none" w:eastAsia="it-IT"/>
    </w:rPr>
  </w:style>
  <w:style w:type="character" w:styleId="provvnumart" w:customStyle="1">
    <w:name w:val="provv_numart"/>
    <w:qFormat/>
    <w:rsid w:val="00ae28ad"/>
    <w:rPr>
      <w:b/>
      <w:bCs/>
    </w:rPr>
  </w:style>
  <w:style w:type="character" w:styleId="MappadocumentoCarattere" w:customStyle="1">
    <w:name w:val="Mappa documento Carattere"/>
    <w:qFormat/>
    <w:rsid w:val="00ae28ad"/>
    <w:rPr>
      <w:rFonts w:ascii="Tahoma" w:hAnsi="Tahoma" w:eastAsia="Times New Roman" w:cs="Tahoma"/>
      <w:sz w:val="16"/>
      <w:szCs w:val="16"/>
      <w:lang w:eastAsia="en-US"/>
    </w:rPr>
  </w:style>
  <w:style w:type="character" w:styleId="provvvigore" w:customStyle="1">
    <w:name w:val="provv_vigore"/>
    <w:qFormat/>
    <w:rsid w:val="00ae28ad"/>
    <w:rPr>
      <w:vanish w:val="false"/>
    </w:rPr>
  </w:style>
  <w:style w:type="character" w:styleId="riferimento1" w:customStyle="1">
    <w:name w:val="riferimento1"/>
    <w:qFormat/>
    <w:rsid w:val="00ae28ad"/>
    <w:rPr>
      <w:i/>
      <w:iCs/>
      <w:color w:val="058940"/>
    </w:rPr>
  </w:style>
  <w:style w:type="character" w:styleId="FollowedHyperlink">
    <w:name w:val="FollowedHyperlink"/>
    <w:qFormat/>
    <w:rPr>
      <w:color w:val="800080"/>
      <w:u w:val="single"/>
    </w:rPr>
  </w:style>
  <w:style w:type="character" w:styleId="Rientrocorpodeltesto2Carattere" w:customStyle="1">
    <w:name w:val="Rientro corpo del testo 2 Carattere"/>
    <w:qFormat/>
    <w:rsid w:val="00ae28ad"/>
    <w:rPr>
      <w:rFonts w:ascii="Times New Roman" w:hAnsi="Times New Roman" w:eastAsia="Times New Roman"/>
      <w:sz w:val="24"/>
      <w:szCs w:val="24"/>
    </w:rPr>
  </w:style>
  <w:style w:type="character" w:styleId="CorpotestoCarattere" w:customStyle="1">
    <w:name w:val="Corpo testo Carattere"/>
    <w:qFormat/>
    <w:rsid w:val="00ae28ad"/>
    <w:rPr>
      <w:rFonts w:ascii="Times New Roman" w:hAnsi="Times New Roman" w:eastAsia="Times New Roman" w:cs="Times New Roman"/>
      <w:sz w:val="26"/>
      <w:szCs w:val="24"/>
      <w:lang w:eastAsia="it-IT"/>
    </w:rPr>
  </w:style>
  <w:style w:type="character" w:styleId="PageNumber">
    <w:name w:val="page number"/>
    <w:qFormat/>
    <w:rsid w:val="00ae28ad"/>
    <w:rPr/>
  </w:style>
  <w:style w:type="character" w:styleId="RientrocorpodeltestoCarattere" w:customStyle="1">
    <w:name w:val="Rientro corpo del testo Carattere"/>
    <w:qFormat/>
    <w:rsid w:val="00ae28ad"/>
    <w:rPr>
      <w:rFonts w:ascii="Times New Roman" w:hAnsi="Times New Roman" w:eastAsia="Times New Roman"/>
      <w:b/>
      <w:bCs/>
      <w:i/>
      <w:iCs/>
    </w:rPr>
  </w:style>
  <w:style w:type="character" w:styleId="Corpodeltesto3Carattere" w:customStyle="1">
    <w:name w:val="Corpo del testo 3 Carattere"/>
    <w:qFormat/>
    <w:rsid w:val="00ae28ad"/>
    <w:rPr>
      <w:rFonts w:ascii="Times New Roman" w:hAnsi="Times New Roman" w:eastAsia="Times New Roman"/>
      <w:b/>
      <w:bCs/>
      <w:i/>
      <w:iCs/>
      <w:szCs w:val="24"/>
    </w:rPr>
  </w:style>
  <w:style w:type="character" w:styleId="CarattereCarattere2" w:customStyle="1">
    <w:name w:val="Carattere Carattere2"/>
    <w:qFormat/>
    <w:rsid w:val="00ae28ad"/>
    <w:rPr>
      <w:sz w:val="26"/>
      <w:szCs w:val="24"/>
      <w:lang w:val="it-IT" w:eastAsia="it-IT" w:bidi="ar-SA"/>
    </w:rPr>
  </w:style>
  <w:style w:type="character" w:styleId="st1" w:customStyle="1">
    <w:name w:val="st1"/>
    <w:qFormat/>
    <w:rsid w:val="00ae28ad"/>
    <w:rPr/>
  </w:style>
  <w:style w:type="character" w:styleId="TestonormaleCarattere" w:customStyle="1">
    <w:name w:val="Testo normale Carattere"/>
    <w:basedOn w:val="DefaultParagraphFont"/>
    <w:qFormat/>
    <w:rsid w:val="00ae28ad"/>
    <w:rPr>
      <w:rFonts w:ascii="Garamond" w:hAnsi="Garamond" w:eastAsia="Times New Roman" w:cs="Consolas"/>
      <w:sz w:val="24"/>
      <w:szCs w:val="21"/>
      <w:lang w:eastAsia="en-US"/>
    </w:rPr>
  </w:style>
  <w:style w:type="character" w:styleId="PlaceholderText">
    <w:name w:val="Placeholder Text"/>
    <w:basedOn w:val="DefaultParagraphFont"/>
    <w:qFormat/>
    <w:rsid w:val="00ae28ad"/>
    <w:rPr>
      <w:color w:val="808080"/>
    </w:rPr>
  </w:style>
  <w:style w:type="character" w:styleId="SommariodisciplinareCarattere" w:customStyle="1">
    <w:name w:val="Sommario disciplinare Carattere"/>
    <w:basedOn w:val="Titolo1Carattere"/>
    <w:qFormat/>
    <w:rsid w:val="00ae28ad"/>
    <w:rPr>
      <w:rFonts w:ascii="Garamond" w:hAnsi="Garamond" w:eastAsia="Times New Roman" w:cs="Calibri"/>
      <w:b/>
      <w:bCs/>
      <w:color w:themeColor="accent1" w:themeShade="bf" w:val="0F4761"/>
      <w:kern w:val="0"/>
      <w:sz w:val="22"/>
      <w:szCs w:val="24"/>
      <w:lang w:val="x-none" w:eastAsia="x-none"/>
      <w14:ligatures w14:val="none"/>
    </w:rPr>
  </w:style>
  <w:style w:type="character" w:styleId="apple-converted-space" w:customStyle="1">
    <w:name w:val="apple-converted-space"/>
    <w:basedOn w:val="DefaultParagraphFont"/>
    <w:qFormat/>
    <w:rsid w:val="00ae28ad"/>
    <w:rPr/>
  </w:style>
  <w:style w:type="character" w:styleId="Saltoaindice" w:customStyle="1">
    <w:name w:val="Salto a indice"/>
    <w:qFormat/>
    <w:rsid w:val="00ae28ad"/>
    <w:rPr/>
  </w:style>
  <w:style w:type="character" w:styleId="WW8Num27z0" w:customStyle="1">
    <w:name w:val="WW8Num27z0"/>
    <w:qFormat/>
    <w:rsid w:val="00ae28ad"/>
    <w:rPr>
      <w:rFonts w:ascii="Calibri" w:hAnsi="Calibri" w:cs="Calibri"/>
      <w:sz w:val="22"/>
      <w:szCs w:val="22"/>
    </w:rPr>
  </w:style>
  <w:style w:type="character" w:styleId="WW8Num27z1" w:customStyle="1">
    <w:name w:val="WW8Num27z1"/>
    <w:qFormat/>
    <w:rsid w:val="00ae28ad"/>
    <w:rPr/>
  </w:style>
  <w:style w:type="character" w:styleId="WW8Num27z2" w:customStyle="1">
    <w:name w:val="WW8Num27z2"/>
    <w:qFormat/>
    <w:rsid w:val="00ae28ad"/>
    <w:rPr/>
  </w:style>
  <w:style w:type="character" w:styleId="WW8Num27z3" w:customStyle="1">
    <w:name w:val="WW8Num27z3"/>
    <w:qFormat/>
    <w:rsid w:val="00ae28ad"/>
    <w:rPr/>
  </w:style>
  <w:style w:type="character" w:styleId="WW8Num27z4" w:customStyle="1">
    <w:name w:val="WW8Num27z4"/>
    <w:qFormat/>
    <w:rsid w:val="00ae28ad"/>
    <w:rPr/>
  </w:style>
  <w:style w:type="character" w:styleId="WW8Num27z5" w:customStyle="1">
    <w:name w:val="WW8Num27z5"/>
    <w:qFormat/>
    <w:rsid w:val="00ae28ad"/>
    <w:rPr/>
  </w:style>
  <w:style w:type="character" w:styleId="WW8Num27z6" w:customStyle="1">
    <w:name w:val="WW8Num27z6"/>
    <w:qFormat/>
    <w:rsid w:val="00ae28ad"/>
    <w:rPr/>
  </w:style>
  <w:style w:type="character" w:styleId="WW8Num27z7" w:customStyle="1">
    <w:name w:val="WW8Num27z7"/>
    <w:qFormat/>
    <w:rsid w:val="00ae28ad"/>
    <w:rPr/>
  </w:style>
  <w:style w:type="character" w:styleId="WW8Num27z8" w:customStyle="1">
    <w:name w:val="WW8Num27z8"/>
    <w:qFormat/>
    <w:rsid w:val="00ae28ad"/>
    <w:rPr/>
  </w:style>
  <w:style w:type="character" w:styleId="ParagrafoelencoCarattere" w:customStyle="1">
    <w:name w:val="Paragrafo elenco Carattere"/>
    <w:uiPriority w:val="34"/>
    <w:qFormat/>
    <w:rsid w:val="00ae28ad"/>
    <w:rPr/>
  </w:style>
  <w:style w:type="character" w:styleId="ANAC-TitoloSottoparagrafoCarattere" w:customStyle="1">
    <w:name w:val="ANAC - Titolo Sottoparagrafo Carattere"/>
    <w:qFormat/>
    <w:rsid w:val="00ae28ad"/>
    <w:rPr>
      <w:rFonts w:ascii="Calibri Light" w:hAnsi="Calibri Light" w:eastAsia="0"/>
      <w:color w:val="2F5496"/>
      <w:sz w:val="28"/>
      <w:szCs w:val="22"/>
    </w:rPr>
  </w:style>
  <w:style w:type="character" w:styleId="ANAC-TitoloParagrafoCarattere" w:customStyle="1">
    <w:name w:val="ANAC - Titolo Paragrafo Carattere"/>
    <w:qFormat/>
    <w:rsid w:val="00ae28ad"/>
    <w:rPr>
      <w:rFonts w:ascii="Gotham Light" w:hAnsi="Gotham Light" w:eastAsia="0"/>
      <w:color w:val="2770B7"/>
      <w:sz w:val="28"/>
    </w:rPr>
  </w:style>
  <w:style w:type="character" w:styleId="ANAC-TitoloCapitoloCarattere" w:customStyle="1">
    <w:name w:val="ANAC - Titolo Capitolo Carattere"/>
    <w:qFormat/>
    <w:rsid w:val="00ae28ad"/>
    <w:rPr>
      <w:rFonts w:ascii="Gotham Light" w:hAnsi="Gotham Light" w:eastAsia="0"/>
      <w:iCs/>
      <w:color w:val="2F5496"/>
      <w:sz w:val="36"/>
      <w:szCs w:val="40"/>
    </w:rPr>
  </w:style>
  <w:style w:type="character" w:styleId="ANAC-CapitoloCarattere" w:customStyle="1">
    <w:name w:val="ANAC - Capitolo Carattere"/>
    <w:qFormat/>
    <w:rsid w:val="00ae28ad"/>
    <w:rPr>
      <w:rFonts w:ascii="Calibri Light" w:hAnsi="Calibri Light" w:eastAsia="0"/>
      <w:color w:val="2F5496"/>
      <w:sz w:val="32"/>
      <w:szCs w:val="32"/>
    </w:rPr>
  </w:style>
  <w:style w:type="character" w:styleId="TitoloParagrafoChar" w:customStyle="1">
    <w:name w:val="Titolo Paragrafo Char"/>
    <w:qFormat/>
    <w:rsid w:val="00ae28ad"/>
    <w:rPr>
      <w:rFonts w:ascii="Calibri Light" w:hAnsi="Calibri Light" w:eastAsia="0"/>
      <w:color w:val="2F5496"/>
      <w:sz w:val="28"/>
    </w:rPr>
  </w:style>
  <w:style w:type="character" w:styleId="TitoloCapitoloChar" w:customStyle="1">
    <w:name w:val="Titolo Capitolo Char"/>
    <w:qFormat/>
    <w:rsid w:val="00ae28ad"/>
    <w:rPr>
      <w:rFonts w:ascii="Gotham Light" w:hAnsi="Gotham Light" w:eastAsia="0"/>
      <w:iCs/>
      <w:color w:val="2F5496"/>
      <w:sz w:val="36"/>
      <w:szCs w:val="40"/>
    </w:rPr>
  </w:style>
  <w:style w:type="character" w:styleId="NumeroCapitoloChar" w:customStyle="1">
    <w:name w:val="Numero Capitolo Char"/>
    <w:qFormat/>
    <w:rsid w:val="00ae28ad"/>
    <w:rPr>
      <w:rFonts w:ascii="Gotham Light" w:hAnsi="Gotham Light" w:eastAsia="0"/>
      <w:color w:val="2770B7"/>
      <w:sz w:val="48"/>
      <w:szCs w:val="36"/>
    </w:rPr>
  </w:style>
  <w:style w:type="character" w:styleId="TitoloParteChar" w:customStyle="1">
    <w:name w:val="Titolo Parte Char"/>
    <w:qFormat/>
    <w:rsid w:val="00ae28ad"/>
    <w:rPr>
      <w:rFonts w:ascii="Gotham Book" w:hAnsi="Gotham Book" w:eastAsia="Times New Roman (Corpo CS)"/>
      <w:caps/>
      <w:color w:val="FFFFFF"/>
      <w:sz w:val="40"/>
      <w:szCs w:val="40"/>
      <w:lang w:eastAsia="zh-CN"/>
    </w:rPr>
  </w:style>
  <w:style w:type="character" w:styleId="ParteNumeroChar" w:customStyle="1">
    <w:name w:val="Parte Numero Char"/>
    <w:qFormat/>
    <w:rsid w:val="00ae28ad"/>
    <w:rPr>
      <w:rFonts w:ascii="Gotham Medium" w:hAnsi="Gotham Medium" w:eastAsia="Times New Roman (Corpo CS)"/>
      <w:caps/>
      <w:color w:val="FFFFFF"/>
      <w:sz w:val="28"/>
      <w:szCs w:val="28"/>
    </w:rPr>
  </w:style>
  <w:style w:type="character" w:styleId="ParagrafobaseChar" w:customStyle="1">
    <w:name w:val="[Paragrafo base] Char"/>
    <w:qFormat/>
    <w:rsid w:val="00ae28ad"/>
    <w:rPr>
      <w:rFonts w:ascii="Minion Pro" w:hAnsi="Minion Pro" w:eastAsia="Minion Pro"/>
      <w:color w:val="000000"/>
    </w:rPr>
  </w:style>
  <w:style w:type="character" w:styleId="NessunaspaziaturaCarattere" w:customStyle="1">
    <w:name w:val="Nessuna spaziatura Carattere"/>
    <w:qFormat/>
    <w:rsid w:val="00ae28ad"/>
    <w:rPr>
      <w:rFonts w:eastAsia="0"/>
      <w:szCs w:val="22"/>
      <w:lang w:eastAsia="en-US"/>
    </w:rPr>
  </w:style>
  <w:style w:type="character" w:styleId="Caratteridinumerazioneuser" w:customStyle="1">
    <w:name w:val="Caratteri di numerazione (user)"/>
    <w:qFormat/>
    <w:rPr/>
  </w:style>
  <w:style w:type="character" w:styleId="Menzionenonrisolta1" w:customStyle="1">
    <w:name w:val="Menzione non risolta1"/>
    <w:basedOn w:val="DefaultParagraphFont"/>
    <w:qFormat/>
    <w:rsid w:val="00ae28ad"/>
    <w:rPr>
      <w:color w:val="605E5C"/>
    </w:rPr>
  </w:style>
  <w:style w:type="character" w:styleId="Puntiuser" w:customStyle="1">
    <w:name w:val="Punti (user)"/>
    <w:qFormat/>
    <w:rPr>
      <w:rFonts w:ascii="OpenSymbol" w:hAnsi="OpenSymbol" w:eastAsia="OpenSymbol" w:cs="OpenSymbol"/>
    </w:rPr>
  </w:style>
  <w:style w:type="character" w:styleId="CITE" w:customStyle="1">
    <w:name w:val="CITE"/>
    <w:qFormat/>
    <w:rsid w:val="00ae28ad"/>
    <w:rPr>
      <w:i/>
    </w:rPr>
  </w:style>
  <w:style w:type="character" w:styleId="CODE" w:customStyle="1">
    <w:name w:val="CODE"/>
    <w:qFormat/>
    <w:rsid w:val="00ae28ad"/>
    <w:rPr>
      <w:rFonts w:ascii="Courier New" w:hAnsi="Courier New"/>
      <w:sz w:val="20"/>
    </w:rPr>
  </w:style>
  <w:style w:type="character" w:styleId="Keyboard" w:customStyle="1">
    <w:name w:val="Keyboard"/>
    <w:qFormat/>
    <w:rsid w:val="00ae28ad"/>
    <w:rPr>
      <w:rFonts w:ascii="Courier New" w:hAnsi="Courier New"/>
      <w:b/>
      <w:sz w:val="20"/>
    </w:rPr>
  </w:style>
  <w:style w:type="character" w:styleId="Sample" w:customStyle="1">
    <w:name w:val="Sample"/>
    <w:qFormat/>
    <w:rsid w:val="00ae28ad"/>
    <w:rPr>
      <w:rFonts w:ascii="Courier New" w:hAnsi="Courier New"/>
    </w:rPr>
  </w:style>
  <w:style w:type="character" w:styleId="Typewriter" w:customStyle="1">
    <w:name w:val="Typewriter"/>
    <w:qFormat/>
    <w:rsid w:val="00ae28ad"/>
    <w:rPr>
      <w:rFonts w:ascii="Courier New" w:hAnsi="Courier New"/>
      <w:sz w:val="20"/>
    </w:rPr>
  </w:style>
  <w:style w:type="character" w:styleId="HTMLMarkup" w:customStyle="1">
    <w:name w:val="HTML Markup"/>
    <w:qFormat/>
    <w:rsid w:val="00ae28ad"/>
    <w:rPr>
      <w:vanish/>
      <w:color w:val="FF0000"/>
    </w:rPr>
  </w:style>
  <w:style w:type="character" w:styleId="Comment" w:customStyle="1">
    <w:name w:val="Comment"/>
    <w:qFormat/>
    <w:rsid w:val="00ae28ad"/>
    <w:rPr>
      <w:vanish/>
    </w:rPr>
  </w:style>
  <w:style w:type="character" w:styleId="CorpotestoCarattere2" w:customStyle="1">
    <w:name w:val="Corpo testo Carattere2"/>
    <w:basedOn w:val="DefaultParagraphFont"/>
    <w:qFormat/>
    <w:rsid w:val="00ae28ad"/>
    <w:rPr>
      <w:rFonts w:ascii="Times New Roman" w:hAnsi="Times New Roman" w:eastAsia="Times New Roman" w:cs="Times New Roman"/>
      <w:kern w:val="0"/>
      <w:sz w:val="26"/>
      <w:szCs w:val="20"/>
      <w:lang w:val="x-none" w:eastAsia="x-none"/>
      <w14:ligatures w14:val="none"/>
    </w:rPr>
  </w:style>
  <w:style w:type="character" w:styleId="TestofumettoCarattere1" w:customStyle="1">
    <w:name w:val="Testo fumetto Carattere1"/>
    <w:basedOn w:val="DefaultParagraphFont"/>
    <w:link w:val="BalloonText"/>
    <w:qFormat/>
    <w:rsid w:val="00ae28ad"/>
    <w:rPr>
      <w:rFonts w:ascii="Tahoma" w:hAnsi="Tahoma" w:eastAsia="Calibri" w:cs="Times New Roman"/>
      <w:kern w:val="0"/>
      <w:sz w:val="16"/>
      <w:szCs w:val="16"/>
      <w:lang w:val="x-none" w:eastAsia="x-none"/>
      <w14:ligatures w14:val="none"/>
    </w:rPr>
  </w:style>
  <w:style w:type="character" w:styleId="IntestazioneCarattere1" w:customStyle="1">
    <w:name w:val="Intestazione Carattere1"/>
    <w:basedOn w:val="DefaultParagraphFont"/>
    <w:qFormat/>
    <w:rsid w:val="00ae28ad"/>
    <w:rPr>
      <w:rFonts w:ascii="Garamond" w:hAnsi="Garamond" w:eastAsia="Times New Roman" w:cs="Times New Roman"/>
      <w:kern w:val="0"/>
      <w:sz w:val="20"/>
      <w:szCs w:val="20"/>
      <w:lang w:val="x-none" w:eastAsia="it-IT"/>
      <w14:ligatures w14:val="none"/>
    </w:rPr>
  </w:style>
  <w:style w:type="character" w:styleId="PidipaginaCarattere1" w:customStyle="1">
    <w:name w:val="Piè di pagina Carattere1"/>
    <w:basedOn w:val="DefaultParagraphFont"/>
    <w:qFormat/>
    <w:rsid w:val="00ae28ad"/>
    <w:rPr>
      <w:rFonts w:ascii="Garamond" w:hAnsi="Garamond" w:eastAsia="Times New Roman" w:cs="Times New Roman"/>
      <w:kern w:val="0"/>
      <w:sz w:val="20"/>
      <w:szCs w:val="20"/>
      <w:lang w:val="x-none" w:eastAsia="it-IT"/>
      <w14:ligatures w14:val="none"/>
    </w:rPr>
  </w:style>
  <w:style w:type="character" w:styleId="TestonotaapidipaginaCarattere1" w:customStyle="1">
    <w:name w:val="Testo nota a piè di pagina Carattere1"/>
    <w:basedOn w:val="DefaultParagraphFont"/>
    <w:qFormat/>
    <w:rsid w:val="00ae28ad"/>
    <w:rPr>
      <w:rFonts w:ascii="Garamond" w:hAnsi="Garamond" w:eastAsia="Times New Roman" w:cs="Times New Roman"/>
      <w:kern w:val="0"/>
      <w:sz w:val="20"/>
      <w:szCs w:val="20"/>
      <w:lang w:val="x-none" w:eastAsia="it-IT"/>
      <w14:ligatures w14:val="none"/>
    </w:rPr>
  </w:style>
  <w:style w:type="character" w:styleId="TestonotadichiusuraCarattere1" w:customStyle="1">
    <w:name w:val="Testo nota di chiusura Carattere1"/>
    <w:basedOn w:val="DefaultParagraphFont"/>
    <w:qFormat/>
    <w:rsid w:val="00ae28ad"/>
    <w:rPr>
      <w:rFonts w:ascii="Garamond" w:hAnsi="Garamond" w:eastAsia="Times New Roman" w:cs="Times New Roman"/>
      <w:kern w:val="0"/>
      <w:sz w:val="20"/>
      <w:szCs w:val="20"/>
      <w:lang w:val="x-none"/>
      <w14:ligatures w14:val="none"/>
    </w:rPr>
  </w:style>
  <w:style w:type="character" w:styleId="TestocommentoCarattere1" w:customStyle="1">
    <w:name w:val="Testo commento Carattere1"/>
    <w:basedOn w:val="DefaultParagraphFont"/>
    <w:qFormat/>
    <w:rsid w:val="00ae28ad"/>
    <w:rPr>
      <w:rFonts w:ascii="Garamond" w:hAnsi="Garamond" w:eastAsia="Times New Roman" w:cs="Times New Roman"/>
      <w:kern w:val="0"/>
      <w:sz w:val="20"/>
      <w:szCs w:val="20"/>
      <w:lang w:val="x-none"/>
      <w14:ligatures w14:val="none"/>
    </w:rPr>
  </w:style>
  <w:style w:type="character" w:styleId="SoggettocommentoCarattere1" w:customStyle="1">
    <w:name w:val="Soggetto commento Carattere1"/>
    <w:basedOn w:val="TestocommentoCarattere1"/>
    <w:link w:val="annotationsubject"/>
    <w:qFormat/>
    <w:rsid w:val="00ae28ad"/>
    <w:rPr>
      <w:rFonts w:ascii="Garamond" w:hAnsi="Garamond" w:eastAsia="Times New Roman" w:cs="Times New Roman"/>
      <w:b/>
      <w:bCs/>
      <w:kern w:val="0"/>
      <w:sz w:val="20"/>
      <w:szCs w:val="20"/>
      <w:lang w:val="x-none"/>
      <w14:ligatures w14:val="none"/>
    </w:rPr>
  </w:style>
  <w:style w:type="character" w:styleId="Rientrocorpodeltesto3Carattere1" w:customStyle="1">
    <w:name w:val="Rientro corpo del testo 3 Carattere1"/>
    <w:basedOn w:val="DefaultParagraphFont"/>
    <w:link w:val="BodyTextIndent3"/>
    <w:qFormat/>
    <w:rsid w:val="00ae28ad"/>
    <w:rPr>
      <w:rFonts w:ascii="Garamond" w:hAnsi="Garamond" w:eastAsia="Times New Roman" w:cs="Times New Roman"/>
      <w:kern w:val="0"/>
      <w:sz w:val="16"/>
      <w:szCs w:val="16"/>
      <w:lang w:val="x-none"/>
      <w14:ligatures w14:val="none"/>
    </w:rPr>
  </w:style>
  <w:style w:type="character" w:styleId="Corpodeltesto2Carattere1" w:customStyle="1">
    <w:name w:val="Corpo del testo 2 Carattere1"/>
    <w:basedOn w:val="DefaultParagraphFont"/>
    <w:link w:val="BodyText2"/>
    <w:qFormat/>
    <w:rsid w:val="00ae28ad"/>
    <w:rPr>
      <w:rFonts w:ascii="Garamond" w:hAnsi="Garamond" w:eastAsia="Times New Roman" w:cs="Times New Roman"/>
      <w:kern w:val="0"/>
      <w:szCs w:val="22"/>
      <w:lang w:val="x-none"/>
      <w14:ligatures w14:val="none"/>
    </w:rPr>
  </w:style>
  <w:style w:type="character" w:styleId="MappadocumentoCarattere1" w:customStyle="1">
    <w:name w:val="Mappa documento Carattere1"/>
    <w:basedOn w:val="DefaultParagraphFont"/>
    <w:link w:val="DocumentMap"/>
    <w:qFormat/>
    <w:rsid w:val="00ae28ad"/>
    <w:rPr>
      <w:rFonts w:ascii="Tahoma" w:hAnsi="Tahoma" w:eastAsia="Times New Roman" w:cs="Times New Roman"/>
      <w:kern w:val="0"/>
      <w:sz w:val="16"/>
      <w:szCs w:val="16"/>
      <w:lang w:val="x-none"/>
      <w14:ligatures w14:val="none"/>
    </w:rPr>
  </w:style>
  <w:style w:type="character" w:styleId="Rientrocorpodeltesto2Carattere1" w:customStyle="1">
    <w:name w:val="Rientro corpo del testo 2 Carattere1"/>
    <w:basedOn w:val="DefaultParagraphFont"/>
    <w:link w:val="BodyTextIndent2"/>
    <w:qFormat/>
    <w:rsid w:val="00ae28ad"/>
    <w:rPr>
      <w:rFonts w:ascii="Times New Roman" w:hAnsi="Times New Roman" w:eastAsia="Times New Roman" w:cs="Times New Roman"/>
      <w:kern w:val="0"/>
      <w:lang w:eastAsia="it-IT"/>
      <w14:ligatures w14:val="none"/>
    </w:rPr>
  </w:style>
  <w:style w:type="character" w:styleId="RientrocorpodeltestoCarattere1" w:customStyle="1">
    <w:name w:val="Rientro corpo del testo Carattere1"/>
    <w:basedOn w:val="DefaultParagraphFont"/>
    <w:qFormat/>
    <w:rsid w:val="00ae28ad"/>
    <w:rPr>
      <w:rFonts w:ascii="Times New Roman" w:hAnsi="Times New Roman" w:eastAsia="Times New Roman" w:cs="Times New Roman"/>
      <w:b/>
      <w:bCs/>
      <w:i/>
      <w:iCs/>
      <w:kern w:val="0"/>
      <w:sz w:val="20"/>
      <w:szCs w:val="20"/>
      <w:lang w:eastAsia="it-IT"/>
      <w14:ligatures w14:val="none"/>
    </w:rPr>
  </w:style>
  <w:style w:type="character" w:styleId="Corpodeltesto3Carattere1" w:customStyle="1">
    <w:name w:val="Corpo del testo 3 Carattere1"/>
    <w:basedOn w:val="DefaultParagraphFont"/>
    <w:link w:val="BodyText3"/>
    <w:qFormat/>
    <w:rsid w:val="00ae28ad"/>
    <w:rPr>
      <w:rFonts w:ascii="Times New Roman" w:hAnsi="Times New Roman" w:eastAsia="Times New Roman" w:cs="Times New Roman"/>
      <w:b/>
      <w:bCs/>
      <w:i/>
      <w:iCs/>
      <w:kern w:val="0"/>
      <w:sz w:val="20"/>
      <w:lang w:eastAsia="it-IT"/>
      <w14:ligatures w14:val="none"/>
    </w:rPr>
  </w:style>
  <w:style w:type="character" w:styleId="TestonormaleCarattere1" w:customStyle="1">
    <w:name w:val="Testo normale Carattere1"/>
    <w:basedOn w:val="DefaultParagraphFont"/>
    <w:link w:val="PlainText"/>
    <w:qFormat/>
    <w:rsid w:val="00ae28ad"/>
    <w:rPr>
      <w:rFonts w:ascii="Garamond" w:hAnsi="Garamond" w:eastAsia="Times New Roman" w:cs="Consolas"/>
      <w:kern w:val="0"/>
      <w:szCs w:val="21"/>
      <w14:ligatures w14:val="none"/>
    </w:rPr>
  </w:style>
  <w:style w:type="character" w:styleId="Menzionenonrisolta2" w:customStyle="1">
    <w:name w:val="Menzione non risolta2"/>
    <w:basedOn w:val="DefaultParagraphFont"/>
    <w:uiPriority w:val="99"/>
    <w:semiHidden/>
    <w:unhideWhenUsed/>
    <w:qFormat/>
    <w:rsid w:val="00ae28ad"/>
    <w:rPr>
      <w:color w:val="605E5C"/>
      <w:shd w:fill="E1DFDD" w:val="clear"/>
    </w:rPr>
  </w:style>
  <w:style w:type="character" w:styleId="Menzionenonrisolta3" w:customStyle="1">
    <w:name w:val="Menzione non risolta3"/>
    <w:basedOn w:val="DefaultParagraphFont"/>
    <w:uiPriority w:val="99"/>
    <w:semiHidden/>
    <w:unhideWhenUsed/>
    <w:qFormat/>
    <w:rsid w:val="00ae28ad"/>
    <w:rPr>
      <w:color w:val="605E5C"/>
      <w:shd w:fill="E1DFDD" w:val="clear"/>
    </w:rPr>
  </w:style>
  <w:style w:type="character" w:styleId="Menzionenonrisolta4" w:customStyle="1">
    <w:name w:val="Menzione non risolta4"/>
    <w:basedOn w:val="DefaultParagraphFont"/>
    <w:uiPriority w:val="99"/>
    <w:semiHidden/>
    <w:unhideWhenUsed/>
    <w:qFormat/>
    <w:rsid w:val="00ae28ad"/>
    <w:rPr>
      <w:color w:val="605E5C"/>
      <w:shd w:fill="E1DFDD" w:val="clear"/>
    </w:rPr>
  </w:style>
  <w:style w:type="character" w:styleId="Menzionenonrisolta5" w:customStyle="1">
    <w:name w:val="Menzione non risolta5"/>
    <w:basedOn w:val="DefaultParagraphFont"/>
    <w:uiPriority w:val="99"/>
    <w:semiHidden/>
    <w:unhideWhenUsed/>
    <w:qFormat/>
    <w:rsid w:val="00ae28ad"/>
    <w:rPr>
      <w:color w:val="605E5C"/>
      <w:shd w:fill="E1DFDD" w:val="clear"/>
    </w:rPr>
  </w:style>
  <w:style w:type="character" w:styleId="Menzionenonrisolta6" w:customStyle="1">
    <w:name w:val="Menzione non risolta6"/>
    <w:basedOn w:val="DefaultParagraphFont"/>
    <w:uiPriority w:val="99"/>
    <w:semiHidden/>
    <w:unhideWhenUsed/>
    <w:qFormat/>
    <w:rsid w:val="00ed690a"/>
    <w:rPr>
      <w:color w:val="605E5C"/>
      <w:shd w:fill="E1DFDD" w:val="clear"/>
    </w:rPr>
  </w:style>
  <w:style w:type="character" w:styleId="Menzionenonrisolta7" w:customStyle="1">
    <w:name w:val="Menzione non risolta7"/>
    <w:basedOn w:val="DefaultParagraphFont"/>
    <w:uiPriority w:val="99"/>
    <w:semiHidden/>
    <w:unhideWhenUsed/>
    <w:qFormat/>
    <w:rsid w:val="00351283"/>
    <w:rPr>
      <w:color w:val="605E5C"/>
      <w:shd w:fill="E1DFDD" w:val="clear"/>
    </w:rPr>
  </w:style>
  <w:style w:type="character" w:styleId="Menzionenonrisolta8" w:customStyle="1">
    <w:name w:val="Menzione non risolta8"/>
    <w:basedOn w:val="DefaultParagraphFont"/>
    <w:uiPriority w:val="99"/>
    <w:semiHidden/>
    <w:unhideWhenUsed/>
    <w:qFormat/>
    <w:rsid w:val="001f640f"/>
    <w:rPr>
      <w:color w:val="605E5C"/>
      <w:shd w:fill="E1DFDD" w:val="clear"/>
    </w:rPr>
  </w:style>
  <w:style w:type="character" w:styleId="Menzionenonrisolta9" w:customStyle="1">
    <w:name w:val="Menzione non risolta9"/>
    <w:basedOn w:val="DefaultParagraphFont"/>
    <w:qFormat/>
    <w:rPr>
      <w:color w:val="605E5C"/>
      <w:shd w:fill="E1DFDD" w:val="clear"/>
    </w:rPr>
  </w:style>
  <w:style w:type="character" w:styleId="Collegamentoindiceuser" w:customStyle="1">
    <w:name w:val="Collegamento indice (user)"/>
    <w:qFormat/>
    <w:rPr/>
  </w:style>
  <w:style w:type="character" w:styleId="WW8Num2z0" w:customStyle="1">
    <w:name w:val="WW8Num2z0"/>
    <w:qFormat/>
    <w:rPr>
      <w:rFonts w:ascii="Symbol" w:hAnsi="Symbol" w:cs="Symbol"/>
      <w:szCs w:val="22"/>
    </w:rPr>
  </w:style>
  <w:style w:type="character" w:styleId="WW8Num3z0" w:customStyle="1">
    <w:name w:val="WW8Num3z0"/>
    <w:qFormat/>
    <w:rPr>
      <w:rFonts w:ascii="Arial" w:hAnsi="Arial" w:cs="Arial"/>
    </w:rPr>
  </w:style>
  <w:style w:type="character" w:styleId="WW8Num4z0" w:customStyle="1">
    <w:name w:val="WW8Num4z0"/>
    <w:qFormat/>
    <w:rPr>
      <w:rFonts w:ascii="Symbol" w:hAnsi="Symbol" w:cs="Symbol"/>
    </w:rPr>
  </w:style>
  <w:style w:type="character" w:styleId="WW8Num5z0" w:customStyle="1">
    <w:name w:val="WW8Num5z0"/>
    <w:qFormat/>
    <w:rPr>
      <w:color w:val="000000"/>
    </w:rPr>
  </w:style>
  <w:style w:type="character" w:styleId="WW8Num6z0" w:customStyle="1">
    <w:name w:val="WW8Num6z0"/>
    <w:qFormat/>
    <w:rPr/>
  </w:style>
  <w:style w:type="character" w:styleId="WW8Num7z0" w:customStyle="1">
    <w:name w:val="WW8Num7z0"/>
    <w:qFormat/>
    <w:rPr>
      <w:rFonts w:ascii="Liberation Serif;Times New Roma" w:hAnsi="Liberation Serif;Times New Roma" w:cs="Liberation Serif;Times New Roma"/>
    </w:rPr>
  </w:style>
  <w:style w:type="character" w:styleId="WW8Num8z0" w:customStyle="1">
    <w:name w:val="WW8Num8z0"/>
    <w:qFormat/>
    <w:rPr>
      <w:rFonts w:ascii="Symbol" w:hAnsi="Symbol" w:cs="Symbol"/>
    </w:rPr>
  </w:style>
  <w:style w:type="character" w:styleId="WW8Num9z0" w:customStyle="1">
    <w:name w:val="WW8Num9z0"/>
    <w:qFormat/>
    <w:rPr>
      <w:rFonts w:ascii="Titillium;Cambria" w:hAnsi="Titillium;Cambria" w:cs="Titillium;Cambria"/>
      <w:b/>
      <w:sz w:val="18"/>
    </w:rPr>
  </w:style>
  <w:style w:type="character" w:styleId="WW8Num10z0" w:customStyle="1">
    <w:name w:val="WW8Num10z0"/>
    <w:qFormat/>
    <w:rPr>
      <w:rFonts w:ascii="Times New Roman" w:hAnsi="Times New Roman" w:cs="Times New Roman"/>
    </w:rPr>
  </w:style>
  <w:style w:type="character" w:styleId="WW8Num11z0" w:customStyle="1">
    <w:name w:val="WW8Num11z0"/>
    <w:qFormat/>
    <w:rPr>
      <w:rFonts w:ascii="Symbol" w:hAnsi="Symbol" w:cs="Symbol"/>
    </w:rPr>
  </w:style>
  <w:style w:type="character" w:styleId="WW8Num12z0" w:customStyle="1">
    <w:name w:val="WW8Num12z0"/>
    <w:qFormat/>
    <w:rPr>
      <w:rFonts w:ascii="Symbol" w:hAnsi="Symbol" w:cs="Symbol"/>
    </w:rPr>
  </w:style>
  <w:style w:type="character" w:styleId="WW8Num13z0" w:customStyle="1">
    <w:name w:val="WW8Num13z0"/>
    <w:qFormat/>
    <w:rPr>
      <w:rFonts w:ascii="Symbol" w:hAnsi="Symbol" w:cs="Symbol"/>
      <w:sz w:val="20"/>
    </w:rPr>
  </w:style>
  <w:style w:type="character" w:styleId="WW8Num14z0" w:customStyle="1">
    <w:name w:val="WW8Num14z0"/>
    <w:qFormat/>
    <w:rPr>
      <w:rFonts w:ascii="Times New Roman" w:hAnsi="Times New Roman" w:cs="Times New Roman"/>
      <w:b/>
      <w:bCs/>
      <w:i w:val="false"/>
      <w:iCs w:val="false"/>
      <w:caps w:val="false"/>
      <w:smallCaps w:val="false"/>
      <w:strike w:val="false"/>
      <w:dstrike w:val="false"/>
      <w:outline w:val="false"/>
      <w:shadow w:val="false"/>
      <w:color w:val="000000"/>
      <w:spacing w:val="0"/>
      <w:w w:val="100"/>
      <w:kern w:val="2"/>
      <w:position w:val="0"/>
      <w:sz w:val="24"/>
      <w:szCs w:val="28"/>
      <w:u w:val="none"/>
      <w:shd w:fill="auto" w:val="clear"/>
      <w:vertAlign w:val="baseline"/>
      <w:em w:val="none"/>
    </w:rPr>
  </w:style>
  <w:style w:type="character" w:styleId="WW8Num14z1" w:customStyle="1">
    <w:name w:val="WW8Num14z1"/>
    <w:qFormat/>
    <w:rPr>
      <w:rFonts w:ascii="Times New Roman" w:hAnsi="Times New Roman" w:cs="Times New Roman"/>
      <w:sz w:val="24"/>
      <w:szCs w:val="24"/>
    </w:rPr>
  </w:style>
  <w:style w:type="character" w:styleId="WW8Num14z2" w:customStyle="1">
    <w:name w:val="WW8Num14z2"/>
    <w:qFormat/>
    <w:rPr/>
  </w:style>
  <w:style w:type="character" w:styleId="Carpredefinitoparagrafo3" w:customStyle="1">
    <w:name w:val="Car. predefinito paragrafo3"/>
    <w:qFormat/>
    <w:rPr/>
  </w:style>
  <w:style w:type="character" w:styleId="Carpredefinitoparagrafo2" w:customStyle="1">
    <w:name w:val="Car. predefinito paragrafo2"/>
    <w:qFormat/>
    <w:rPr/>
  </w:style>
  <w:style w:type="character" w:styleId="WW8Num1z0" w:customStyle="1">
    <w:name w:val="WW8Num1z0"/>
    <w:qFormat/>
    <w:rPr>
      <w:rFonts w:ascii="Symbol" w:hAnsi="Symbol" w:cs="Symbol"/>
      <w:szCs w:val="22"/>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4z3" w:customStyle="1">
    <w:name w:val="WW8Num4z3"/>
    <w:qFormat/>
    <w:rPr>
      <w:rFonts w:ascii="Symbol" w:hAnsi="Symbol" w:cs="Symbol"/>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5z0" w:customStyle="1">
    <w:name w:val="WW8Num15z0"/>
    <w:qFormat/>
    <w:rPr>
      <w:rFonts w:ascii="Symbol" w:hAnsi="Symbol" w:cs="Symbol"/>
      <w:sz w:val="20"/>
    </w:rPr>
  </w:style>
  <w:style w:type="character" w:styleId="WW8Num16z0" w:customStyle="1">
    <w:name w:val="WW8Num16z0"/>
    <w:qFormat/>
    <w:rPr>
      <w:rFonts w:ascii="Times New Roman" w:hAnsi="Times New Roman" w:cs="Times New Roman"/>
      <w:b/>
      <w:bCs/>
      <w:i w:val="false"/>
      <w:iCs w:val="false"/>
      <w:caps w:val="false"/>
      <w:smallCaps w:val="false"/>
      <w:strike w:val="false"/>
      <w:dstrike w:val="false"/>
      <w:outline w:val="false"/>
      <w:shadow w:val="false"/>
      <w:color w:val="000000"/>
      <w:spacing w:val="0"/>
      <w:w w:val="100"/>
      <w:kern w:val="2"/>
      <w:position w:val="0"/>
      <w:sz w:val="24"/>
      <w:szCs w:val="28"/>
      <w:u w:val="none"/>
      <w:shd w:fill="auto" w:val="clear"/>
      <w:vertAlign w:val="baseline"/>
      <w:em w:val="none"/>
    </w:rPr>
  </w:style>
  <w:style w:type="character" w:styleId="WW8Num16z1" w:customStyle="1">
    <w:name w:val="WW8Num16z1"/>
    <w:qFormat/>
    <w:rPr>
      <w:rFonts w:ascii="Times New Roman" w:hAnsi="Times New Roman" w:cs="Times New Roman"/>
      <w:sz w:val="24"/>
      <w:szCs w:val="24"/>
    </w:rPr>
  </w:style>
  <w:style w:type="character" w:styleId="WW8Num16z2" w:customStyle="1">
    <w:name w:val="WW8Num16z2"/>
    <w:qFormat/>
    <w:rPr/>
  </w:style>
  <w:style w:type="character" w:styleId="Carpredefinitoparagrafo1" w:customStyle="1">
    <w:name w:val="Car. predefinito paragrafo1"/>
    <w:qFormat/>
    <w:rPr/>
  </w:style>
  <w:style w:type="character" w:styleId="CorpodeltestoCarattere" w:customStyle="1">
    <w:name w:val="Corpo del testo Carattere"/>
    <w:qFormat/>
    <w:rPr>
      <w:rFonts w:eastAsia="Times New Roman" w:cs="Arial"/>
      <w:b/>
      <w:bCs/>
      <w:szCs w:val="24"/>
    </w:rPr>
  </w:style>
  <w:style w:type="character" w:styleId="Rimandonotadichiusura1" w:customStyle="1">
    <w:name w:val="Rimando nota di chiusura1"/>
    <w:qFormat/>
    <w:rPr>
      <w:vertAlign w:val="superscript"/>
    </w:rPr>
  </w:style>
  <w:style w:type="character" w:styleId="Enfasicorsivo1" w:customStyle="1">
    <w:name w:val="Enfasi (corsivo)1"/>
    <w:qFormat/>
    <w:rPr>
      <w:rFonts w:cs="Times New Roman"/>
      <w:i/>
      <w:iCs/>
    </w:rPr>
  </w:style>
  <w:style w:type="character" w:styleId="Rimandonotaapidipagina1" w:customStyle="1">
    <w:name w:val="Rimando nota a piè di pagina1"/>
    <w:qFormat/>
    <w:rPr>
      <w:rFonts w:cs="Times New Roman"/>
      <w:vertAlign w:val="superscript"/>
    </w:rPr>
  </w:style>
  <w:style w:type="character" w:styleId="Collegamentoindice">
    <w:name w:val="Collegamento indice"/>
    <w:qFormat/>
    <w:rPr/>
  </w:style>
  <w:style w:type="character" w:styleId="HTMLCode">
    <w:name w:val="HTML Code"/>
    <w:basedOn w:val="DefaultParagraphFont"/>
    <w:qFormat/>
    <w:rPr>
      <w:rFonts w:ascii="Courier New" w:hAnsi="Courier New" w:eastAsia="Times New Roman" w:cs="Courier New"/>
      <w:sz w:val="20"/>
      <w:szCs w:val="20"/>
    </w:rPr>
  </w:style>
  <w:style w:type="character" w:styleId="object">
    <w:name w:val="object"/>
    <w:qFormat/>
    <w:rPr/>
  </w:style>
  <w:style w:type="character" w:styleId="DefaultCarattere">
    <w:name w:val="Default Carattere"/>
    <w:qFormat/>
    <w:rPr>
      <w:rFonts w:ascii="Book-Antiqua,Bold" w:hAnsi="Book-Antiqua,Bold" w:eastAsia="Calibri" w:cs="Book-Antiqua,Bold"/>
      <w:color w:val="000000"/>
      <w:kern w:val="0"/>
      <w:lang w:eastAsia="it-IT"/>
    </w:rPr>
  </w:style>
  <w:style w:type="character" w:styleId="CollegamentoInternetvisitatouser">
    <w:name w:val="Collegamento Internet visitato (user)"/>
    <w:qFormat/>
    <w:rPr>
      <w:color w:val="800080"/>
      <w:u w:val="single"/>
    </w:rPr>
  </w:style>
  <w:style w:type="character" w:styleId="Richiamoallanotadichiusurauser">
    <w:name w:val="Richiamo alla nota di chiusura (user)"/>
    <w:qFormat/>
    <w:rPr>
      <w:vertAlign w:val="superscript"/>
    </w:rPr>
  </w:style>
  <w:style w:type="character" w:styleId="Enfasiuser">
    <w:name w:val="Enfasi (user)"/>
    <w:qFormat/>
    <w:rPr>
      <w:rFonts w:cs="Times New Roman"/>
      <w:i/>
      <w:iCs/>
    </w:rPr>
  </w:style>
  <w:style w:type="character" w:styleId="CollegamentoInternetuser">
    <w:name w:val="Collegamento Internet (user)"/>
    <w:basedOn w:val="DefaultParagraphFont"/>
    <w:qFormat/>
    <w:rPr>
      <w:color w:themeColor="hyperlink" w:val="467886"/>
      <w:u w:val="single"/>
    </w:rPr>
  </w:style>
  <w:style w:type="character" w:styleId="Richiamoallanotaapidipaginauser">
    <w:name w:val="Richiamo alla nota a piè di pagina (user)"/>
    <w:qFormat/>
    <w:rPr>
      <w:rFonts w:cs="Times New Roman"/>
      <w:vertAlign w:val="superscrip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2"/>
    <w:rsid w:val="00ae28ad"/>
    <w:pPr>
      <w:widowControl w:val="false"/>
      <w:spacing w:lineRule="exact" w:line="259"/>
    </w:pPr>
    <w:rPr>
      <w:rFonts w:ascii="Times New Roman" w:hAnsi="Times New Roman"/>
      <w:sz w:val="26"/>
      <w:szCs w:val="20"/>
      <w:lang w:val="x-none" w:eastAsia="x-none"/>
    </w:rPr>
  </w:style>
  <w:style w:type="paragraph" w:styleId="List">
    <w:name w:val="List"/>
    <w:basedOn w:val="BodyText"/>
    <w:rsid w:val="00ae28ad"/>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caption1">
    <w:name w:val="caption1"/>
    <w:basedOn w:val="Normal"/>
    <w:next w:val="Normal"/>
    <w:qFormat/>
    <w:rsid w:val="00ae28ad"/>
    <w:pPr>
      <w:spacing w:before="120" w:after="0"/>
    </w:pPr>
    <w:rPr>
      <w:iCs/>
      <w:szCs w:val="18"/>
    </w:rPr>
  </w:style>
  <w:style w:type="paragraph" w:styleId="Indiceuser" w:customStyle="1">
    <w:name w:val="Indice (user)"/>
    <w:basedOn w:val="Normal"/>
    <w:qFormat/>
    <w:rsid w:val="00ae28ad"/>
    <w:pPr>
      <w:suppressLineNumbers/>
    </w:pPr>
    <w:rPr>
      <w:rFonts w:cs="Lucida Sans"/>
    </w:rPr>
  </w:style>
  <w:style w:type="paragraph" w:styleId="Titolo1" w:customStyle="1">
    <w:name w:val="Titolo1"/>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Title">
    <w:name w:val="Title"/>
    <w:basedOn w:val="Normal"/>
    <w:next w:val="BodyText"/>
    <w:link w:val="TitoloCarattere"/>
    <w:qFormat/>
    <w:rsid w:val="00382f18"/>
    <w:pPr>
      <w:spacing w:lineRule="auto" w:line="240" w:before="0" w:after="80"/>
      <w:contextualSpacing/>
    </w:pPr>
    <w:rPr>
      <w:rFonts w:ascii="Arial" w:hAnsi="Arial" w:eastAsia="DejaVu Sans" w:cs="DejaVu San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qFormat/>
    <w:rsid w:val="00382f18"/>
    <w:pPr/>
    <w:rPr>
      <w:rFonts w:eastAsia="DejaVu Sans" w:cs="DejaVu Sans" w:cstheme="majorBidi" w:eastAsiaTheme="majorEastAsia"/>
      <w:color w:themeColor="text1" w:themeTint="a6" w:val="595959"/>
      <w:spacing w:val="15"/>
      <w:sz w:val="28"/>
      <w:szCs w:val="28"/>
    </w:rPr>
  </w:style>
  <w:style w:type="paragraph" w:styleId="Quote">
    <w:name w:val="Quote"/>
    <w:basedOn w:val="Normal"/>
    <w:next w:val="Normal"/>
    <w:link w:val="CitazioneCarattere"/>
    <w:uiPriority w:val="29"/>
    <w:qFormat/>
    <w:rsid w:val="00382f18"/>
    <w:pPr>
      <w:spacing w:before="160" w:after="0"/>
      <w:jc w:val="center"/>
    </w:pPr>
    <w:rPr>
      <w:i/>
      <w:iCs/>
      <w:color w:themeColor="text1" w:themeTint="bf" w:val="404040"/>
    </w:rPr>
  </w:style>
  <w:style w:type="paragraph" w:styleId="ListParagraph">
    <w:name w:val="List Paragraph"/>
    <w:basedOn w:val="Normal"/>
    <w:qFormat/>
    <w:pPr>
      <w:spacing w:before="0" w:after="0"/>
      <w:ind w:left="720"/>
      <w:contextualSpacing/>
    </w:pPr>
    <w:rPr/>
  </w:style>
  <w:style w:type="paragraph" w:styleId="IntenseQuote">
    <w:name w:val="Intense Quote"/>
    <w:basedOn w:val="Normal"/>
    <w:next w:val="Normal"/>
    <w:link w:val="CitazioneintensaCarattere"/>
    <w:uiPriority w:val="30"/>
    <w:qFormat/>
    <w:rsid w:val="00382f18"/>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Default" w:customStyle="1">
    <w:name w:val="Default"/>
    <w:qFormat/>
    <w:rsid w:val="00ae28ad"/>
    <w:pPr>
      <w:widowControl w:val="false"/>
      <w:suppressAutoHyphens w:val="true"/>
      <w:bidi w:val="0"/>
      <w:spacing w:lineRule="auto" w:line="276" w:before="0" w:after="0"/>
      <w:jc w:val="both"/>
    </w:pPr>
    <w:rPr>
      <w:rFonts w:ascii="Book-Antiqua,Bold" w:hAnsi="Book-Antiqua,Bold" w:eastAsia="Calibri" w:cs="Book-Antiqua,Bold"/>
      <w:color w:val="000000"/>
      <w:kern w:val="0"/>
      <w:sz w:val="24"/>
      <w:szCs w:val="24"/>
      <w:lang w:val="it-IT" w:eastAsia="it-IT" w:bidi="ar-SA"/>
      <w14:ligatures w14:val="none"/>
    </w:rPr>
  </w:style>
  <w:style w:type="paragraph" w:styleId="BalloonText">
    <w:name w:val="Balloon Text"/>
    <w:basedOn w:val="Normal"/>
    <w:link w:val="TestofumettoCarattere1"/>
    <w:qFormat/>
    <w:pPr/>
    <w:rPr>
      <w:rFonts w:ascii="Tahoma" w:hAnsi="Tahoma" w:cs="Tahoma"/>
      <w:sz w:val="16"/>
      <w:szCs w:val="16"/>
    </w:rPr>
  </w:style>
  <w:style w:type="paragraph" w:styleId="Paragrafoelenco1" w:customStyle="1">
    <w:name w:val="Paragrafo elenco1"/>
    <w:basedOn w:val="Normal"/>
    <w:qFormat/>
    <w:rsid w:val="00ae28ad"/>
    <w:pPr>
      <w:spacing w:lineRule="atLeast" w:line="240" w:before="280" w:after="280"/>
      <w:ind w:left="720"/>
      <w:contextualSpacing/>
    </w:pPr>
    <w:rPr>
      <w:rFonts w:eastAsia="Calibri"/>
      <w:lang w:eastAsia="it-IT"/>
    </w:rPr>
  </w:style>
  <w:style w:type="paragraph" w:styleId="Intestazioneepidipaginauser" w:customStyle="1">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Normal"/>
    <w:link w:val="IntestazioneCarattere1"/>
    <w:rsid w:val="00ae28ad"/>
    <w:pPr>
      <w:tabs>
        <w:tab w:val="clear" w:pos="708"/>
        <w:tab w:val="center" w:pos="4819" w:leader="none"/>
        <w:tab w:val="right" w:pos="9638" w:leader="none"/>
      </w:tabs>
      <w:spacing w:lineRule="auto" w:line="240" w:before="280" w:after="280"/>
    </w:pPr>
    <w:rPr>
      <w:sz w:val="20"/>
      <w:szCs w:val="20"/>
      <w:lang w:val="x-none" w:eastAsia="it-IT"/>
    </w:rPr>
  </w:style>
  <w:style w:type="paragraph" w:styleId="Footer">
    <w:name w:val="footer"/>
    <w:basedOn w:val="Normal"/>
    <w:link w:val="PidipaginaCarattere1"/>
    <w:rsid w:val="00ae28ad"/>
    <w:pPr>
      <w:tabs>
        <w:tab w:val="clear" w:pos="708"/>
        <w:tab w:val="center" w:pos="4819" w:leader="none"/>
        <w:tab w:val="right" w:pos="9638" w:leader="none"/>
      </w:tabs>
      <w:spacing w:lineRule="auto" w:line="240" w:before="280" w:after="280"/>
    </w:pPr>
    <w:rPr>
      <w:sz w:val="20"/>
      <w:szCs w:val="20"/>
      <w:lang w:val="x-none" w:eastAsia="it-IT"/>
    </w:rPr>
  </w:style>
  <w:style w:type="paragraph" w:styleId="FootnoteText">
    <w:name w:val="footnote text"/>
    <w:basedOn w:val="Normal"/>
    <w:link w:val="TestonotaapidipaginaCarattere1"/>
    <w:rsid w:val="00ae28ad"/>
    <w:pPr>
      <w:spacing w:lineRule="auto" w:line="240" w:before="280" w:after="280"/>
    </w:pPr>
    <w:rPr>
      <w:sz w:val="20"/>
      <w:szCs w:val="20"/>
      <w:lang w:val="x-none" w:eastAsia="it-IT"/>
    </w:rPr>
  </w:style>
  <w:style w:type="paragraph" w:styleId="provvr0" w:customStyle="1">
    <w:name w:val="provv_r0"/>
    <w:basedOn w:val="Normal"/>
    <w:qFormat/>
    <w:rsid w:val="00ae28ad"/>
    <w:pPr>
      <w:spacing w:lineRule="auto" w:line="240" w:before="280" w:after="280"/>
    </w:pPr>
    <w:rPr>
      <w:rFonts w:ascii="Times New Roman" w:hAnsi="Times New Roman" w:eastAsia="Calibri"/>
      <w:szCs w:val="24"/>
      <w:lang w:eastAsia="it-IT"/>
    </w:rPr>
  </w:style>
  <w:style w:type="paragraph" w:styleId="popolo" w:customStyle="1">
    <w:name w:val="popolo"/>
    <w:basedOn w:val="Normal"/>
    <w:qFormat/>
    <w:rsid w:val="00ae28ad"/>
    <w:pPr>
      <w:spacing w:lineRule="auto" w:line="240" w:before="280" w:after="280"/>
    </w:pPr>
    <w:rPr>
      <w:rFonts w:eastAsia="Calibri"/>
      <w:sz w:val="30"/>
      <w:szCs w:val="30"/>
      <w:lang w:eastAsia="it-IT"/>
    </w:rPr>
  </w:style>
  <w:style w:type="paragraph" w:styleId="Stile1" w:customStyle="1">
    <w:name w:val="Stile1"/>
    <w:basedOn w:val="Heading1"/>
    <w:qFormat/>
    <w:rsid w:val="00ae28ad"/>
    <w:pPr>
      <w:spacing w:lineRule="atLeast" w:line="240" w:before="280" w:after="280"/>
      <w:jc w:val="center"/>
    </w:pPr>
    <w:rPr>
      <w:rFonts w:ascii="Times New Roman" w:hAnsi="Times New Roman" w:eastAsia="Calibri" w:cs="Times New Roman"/>
      <w:b/>
      <w:bCs/>
      <w:color w:themeColor="accent1" w:themeShade="bf" w:val="auto"/>
      <w:sz w:val="28"/>
      <w:szCs w:val="28"/>
      <w:lang w:val="x-none" w:eastAsia="it-IT"/>
    </w:rPr>
  </w:style>
  <w:style w:type="paragraph" w:styleId="TOC1">
    <w:name w:val="toc 1"/>
    <w:basedOn w:val="Normal"/>
    <w:next w:val="Normal"/>
    <w:autoRedefine/>
    <w:uiPriority w:val="39"/>
    <w:rsid w:val="00ae28ad"/>
    <w:pPr>
      <w:tabs>
        <w:tab w:val="clear" w:pos="708"/>
        <w:tab w:val="left" w:pos="284" w:leader="dot"/>
        <w:tab w:val="right" w:pos="9629" w:leader="dot"/>
      </w:tabs>
      <w:jc w:val="left"/>
    </w:pPr>
    <w:rPr>
      <w:bCs/>
      <w:sz w:val="20"/>
      <w:szCs w:val="20"/>
    </w:rPr>
  </w:style>
  <w:style w:type="paragraph" w:styleId="TOC2">
    <w:name w:val="toc 2"/>
    <w:basedOn w:val="Normal"/>
    <w:next w:val="TOC3"/>
    <w:autoRedefine/>
    <w:uiPriority w:val="39"/>
    <w:rsid w:val="00a61923"/>
    <w:pPr>
      <w:tabs>
        <w:tab w:val="clear" w:pos="708"/>
        <w:tab w:val="left" w:pos="440" w:leader="none"/>
        <w:tab w:val="right" w:pos="9629" w:leader="dot"/>
      </w:tabs>
      <w:spacing w:lineRule="auto" w:line="336"/>
      <w:ind w:hanging="442" w:left="442"/>
    </w:pPr>
    <w:rPr>
      <w:smallCaps/>
      <w:sz w:val="20"/>
      <w:szCs w:val="20"/>
    </w:rPr>
  </w:style>
  <w:style w:type="paragraph" w:styleId="Nessunaspaziatura1" w:customStyle="1">
    <w:name w:val="Nessuna spaziatura1"/>
    <w:qFormat/>
    <w:rsid w:val="00ae28ad"/>
    <w:pPr>
      <w:widowControl/>
      <w:suppressAutoHyphens w:val="true"/>
      <w:bidi w:val="0"/>
      <w:spacing w:lineRule="auto" w:line="276" w:before="0" w:after="0"/>
      <w:jc w:val="both"/>
    </w:pPr>
    <w:rPr>
      <w:rFonts w:ascii="Calibri" w:hAnsi="Calibri" w:eastAsia="Calibri" w:cs="Times New Roman"/>
      <w:color w:val="auto"/>
      <w:kern w:val="0"/>
      <w:sz w:val="22"/>
      <w:szCs w:val="22"/>
      <w:lang w:val="it-IT" w:eastAsia="en-US" w:bidi="ar-SA"/>
      <w14:ligatures w14:val="none"/>
    </w:rPr>
  </w:style>
  <w:style w:type="paragraph" w:styleId="NormalWeb">
    <w:name w:val="Normal (Web)"/>
    <w:basedOn w:val="Normal"/>
    <w:qFormat/>
    <w:pPr>
      <w:spacing w:before="280" w:after="280"/>
    </w:pPr>
    <w:rPr>
      <w:rFonts w:ascii="Arial Unicode MS" w:hAnsi="Arial Unicode MS" w:eastAsia="Arial Unicode MS" w:cs="Arial Unicode MS"/>
      <w:color w:val="000000"/>
    </w:rPr>
  </w:style>
  <w:style w:type="paragraph" w:styleId="Titolosommario1" w:customStyle="1">
    <w:name w:val="Titolo sommario1"/>
    <w:basedOn w:val="Heading1"/>
    <w:next w:val="Normal"/>
    <w:qFormat/>
    <w:rsid w:val="00ae28ad"/>
    <w:pPr>
      <w:spacing w:before="280" w:after="280"/>
      <w:jc w:val="center"/>
    </w:pPr>
    <w:rPr>
      <w:rFonts w:ascii="Garamond" w:hAnsi="Garamond" w:eastAsia="Calibri" w:cs="Times New Roman"/>
      <w:b/>
      <w:bCs/>
      <w:color w:themeColor="accent1" w:themeShade="bf" w:val="auto"/>
      <w:sz w:val="28"/>
      <w:szCs w:val="28"/>
      <w:lang w:val="x-none" w:eastAsia="x-none"/>
    </w:rPr>
  </w:style>
  <w:style w:type="paragraph" w:styleId="EndnoteText">
    <w:name w:val="endnote text"/>
    <w:basedOn w:val="Normal"/>
    <w:link w:val="TestonotadichiusuraCarattere1"/>
    <w:rsid w:val="00ae28ad"/>
    <w:pPr/>
    <w:rPr>
      <w:sz w:val="20"/>
      <w:szCs w:val="20"/>
      <w:lang w:val="x-none"/>
    </w:rPr>
  </w:style>
  <w:style w:type="paragraph" w:styleId="provvr1" w:customStyle="1">
    <w:name w:val="provv_r1"/>
    <w:basedOn w:val="Normal"/>
    <w:qFormat/>
    <w:rsid w:val="00ae28ad"/>
    <w:pPr>
      <w:spacing w:lineRule="auto" w:line="240" w:before="280" w:after="280"/>
      <w:ind w:firstLine="400"/>
    </w:pPr>
    <w:rPr>
      <w:rFonts w:ascii="Times New Roman" w:hAnsi="Times New Roman"/>
      <w:szCs w:val="24"/>
      <w:lang w:eastAsia="it-IT"/>
    </w:rPr>
  </w:style>
  <w:style w:type="paragraph" w:styleId="CommentText">
    <w:name w:val="annotation text"/>
    <w:basedOn w:val="Normal"/>
    <w:link w:val="TestocommentoCarattere1"/>
    <w:uiPriority w:val="99"/>
    <w:qFormat/>
    <w:rsid w:val="00ae28ad"/>
    <w:pPr/>
    <w:rPr>
      <w:sz w:val="20"/>
      <w:szCs w:val="20"/>
      <w:lang w:val="x-none"/>
    </w:rPr>
  </w:style>
  <w:style w:type="paragraph" w:styleId="annotationsubject">
    <w:name w:val="annotation subject"/>
    <w:basedOn w:val="CommentText"/>
    <w:next w:val="CommentText"/>
    <w:link w:val="SoggettocommentoCarattere1"/>
    <w:qFormat/>
    <w:rsid w:val="00ae28ad"/>
    <w:pPr/>
    <w:rPr>
      <w:b/>
      <w:bCs/>
    </w:rPr>
  </w:style>
  <w:style w:type="paragraph" w:styleId="stile11" w:customStyle="1">
    <w:name w:val="stile11"/>
    <w:basedOn w:val="Normal"/>
    <w:qFormat/>
    <w:rsid w:val="00ae28ad"/>
    <w:pPr>
      <w:spacing w:lineRule="auto" w:line="240" w:before="280" w:after="280"/>
    </w:pPr>
    <w:rPr>
      <w:rFonts w:ascii="Times New Roman" w:hAnsi="Times New Roman"/>
      <w:szCs w:val="24"/>
      <w:lang w:eastAsia="it-IT"/>
    </w:rPr>
  </w:style>
  <w:style w:type="paragraph" w:styleId="bollo" w:customStyle="1">
    <w:name w:val="bollo"/>
    <w:basedOn w:val="Normal"/>
    <w:qFormat/>
    <w:rsid w:val="00ae28ad"/>
    <w:pPr>
      <w:spacing w:lineRule="atLeast" w:line="567"/>
    </w:pPr>
    <w:rPr>
      <w:rFonts w:ascii="Times New Roman" w:hAnsi="Times New Roman"/>
      <w:szCs w:val="20"/>
      <w:lang w:eastAsia="it-IT"/>
    </w:rPr>
  </w:style>
  <w:style w:type="paragraph" w:styleId="provvnota" w:customStyle="1">
    <w:name w:val="provv_nota"/>
    <w:basedOn w:val="Normal"/>
    <w:qFormat/>
    <w:rsid w:val="00ae28ad"/>
    <w:pPr>
      <w:spacing w:lineRule="auto" w:line="240" w:before="280" w:after="280"/>
    </w:pPr>
    <w:rPr>
      <w:rFonts w:ascii="Times New Roman" w:hAnsi="Times New Roman"/>
      <w:szCs w:val="24"/>
      <w:lang w:eastAsia="it-IT"/>
    </w:rPr>
  </w:style>
  <w:style w:type="paragraph" w:styleId="provvestremo" w:customStyle="1">
    <w:name w:val="provv_estremo"/>
    <w:basedOn w:val="Normal"/>
    <w:qFormat/>
    <w:rsid w:val="00ae28ad"/>
    <w:pPr>
      <w:spacing w:lineRule="auto" w:line="240" w:before="280" w:after="280"/>
    </w:pPr>
    <w:rPr>
      <w:rFonts w:ascii="Times New Roman" w:hAnsi="Times New Roman"/>
      <w:b/>
      <w:bCs/>
      <w:szCs w:val="24"/>
      <w:lang w:eastAsia="it-IT"/>
    </w:rPr>
  </w:style>
  <w:style w:type="paragraph" w:styleId="Paragrafoelenco11" w:customStyle="1">
    <w:name w:val="Paragrafo elenco11"/>
    <w:basedOn w:val="Normal"/>
    <w:qFormat/>
    <w:rsid w:val="00ae28ad"/>
    <w:pPr>
      <w:spacing w:lineRule="atLeast" w:line="240" w:before="280" w:after="280"/>
      <w:ind w:left="720"/>
      <w:contextualSpacing/>
    </w:pPr>
    <w:rPr>
      <w:rFonts w:eastAsia="Calibri"/>
      <w:lang w:eastAsia="it-IT"/>
    </w:rPr>
  </w:style>
  <w:style w:type="paragraph" w:styleId="Revision">
    <w:name w:val="Revision"/>
    <w:qFormat/>
    <w:rsid w:val="00ae28ad"/>
    <w:pPr>
      <w:widowControl/>
      <w:suppressAutoHyphens w:val="true"/>
      <w:bidi w:val="0"/>
      <w:spacing w:lineRule="auto" w:line="276" w:before="0" w:after="0"/>
      <w:jc w:val="both"/>
    </w:pPr>
    <w:rPr>
      <w:rFonts w:ascii="Calibri" w:hAnsi="Calibri" w:eastAsia="Times New Roman" w:cs="Times New Roman"/>
      <w:color w:val="auto"/>
      <w:kern w:val="0"/>
      <w:sz w:val="22"/>
      <w:szCs w:val="22"/>
      <w:lang w:val="it-IT" w:eastAsia="en-US" w:bidi="ar-SA"/>
      <w14:ligatures w14:val="none"/>
    </w:rPr>
  </w:style>
  <w:style w:type="paragraph" w:styleId="BodyTextIndent3">
    <w:name w:val="Body Text Indent 3"/>
    <w:basedOn w:val="Normal"/>
    <w:link w:val="Rientrocorpodeltesto3Carattere1"/>
    <w:qFormat/>
    <w:rsid w:val="00ae28ad"/>
    <w:pPr>
      <w:spacing w:before="0" w:after="120"/>
      <w:ind w:left="283"/>
    </w:pPr>
    <w:rPr>
      <w:sz w:val="16"/>
      <w:szCs w:val="16"/>
      <w:lang w:val="x-none"/>
    </w:rPr>
  </w:style>
  <w:style w:type="paragraph" w:styleId="Rub1" w:customStyle="1">
    <w:name w:val="Rub1"/>
    <w:basedOn w:val="Normal"/>
    <w:qFormat/>
    <w:rsid w:val="00ae28ad"/>
    <w:pPr>
      <w:tabs>
        <w:tab w:val="clear" w:pos="708"/>
        <w:tab w:val="left" w:pos="1276" w:leader="none"/>
      </w:tabs>
      <w:spacing w:lineRule="auto" w:line="240"/>
    </w:pPr>
    <w:rPr>
      <w:rFonts w:ascii="Times New Roman" w:hAnsi="Times New Roman"/>
      <w:b/>
      <w:smallCaps/>
      <w:sz w:val="20"/>
      <w:szCs w:val="20"/>
      <w:lang w:eastAsia="it-IT"/>
    </w:rPr>
  </w:style>
  <w:style w:type="paragraph" w:styleId="BodyText2">
    <w:name w:val="Body Text 2"/>
    <w:basedOn w:val="Normal"/>
    <w:link w:val="Corpodeltesto2Carattere1"/>
    <w:qFormat/>
    <w:rsid w:val="00ae28ad"/>
    <w:pPr>
      <w:spacing w:lineRule="auto" w:line="480" w:before="0" w:after="120"/>
    </w:pPr>
    <w:rPr>
      <w:lang w:val="x-none"/>
    </w:rPr>
  </w:style>
  <w:style w:type="paragraph" w:styleId="Rientrocorpodeltesto21" w:customStyle="1">
    <w:name w:val="Rientro corpo del testo 21"/>
    <w:basedOn w:val="Normal"/>
    <w:qFormat/>
    <w:rsid w:val="00ae28ad"/>
    <w:pPr>
      <w:spacing w:lineRule="auto" w:line="240"/>
      <w:ind w:left="360"/>
    </w:pPr>
    <w:rPr>
      <w:rFonts w:ascii="Times New Roman" w:hAnsi="Times New Roman"/>
      <w:szCs w:val="20"/>
      <w:lang w:eastAsia="it-IT"/>
    </w:rPr>
  </w:style>
  <w:style w:type="paragraph" w:styleId="noteapi" w:customStyle="1">
    <w:name w:val="note a piè"/>
    <w:basedOn w:val="FootnoteText"/>
    <w:qFormat/>
    <w:rsid w:val="00ae28ad"/>
    <w:pPr/>
    <w:rPr>
      <w:rFonts w:ascii="Times New Roman" w:hAnsi="Times New Roman"/>
    </w:rPr>
  </w:style>
  <w:style w:type="paragraph" w:styleId="DocumentMap">
    <w:name w:val="Document Map"/>
    <w:basedOn w:val="Normal"/>
    <w:link w:val="MappadocumentoCarattere1"/>
    <w:qFormat/>
    <w:rsid w:val="00ae28ad"/>
    <w:pPr/>
    <w:rPr>
      <w:rFonts w:ascii="Tahoma" w:hAnsi="Tahoma"/>
      <w:sz w:val="16"/>
      <w:szCs w:val="16"/>
      <w:lang w:val="x-none"/>
    </w:rPr>
  </w:style>
  <w:style w:type="paragraph" w:styleId="grassetto1" w:customStyle="1">
    <w:name w:val="grassetto1"/>
    <w:basedOn w:val="Normal"/>
    <w:qFormat/>
    <w:rsid w:val="00ae28ad"/>
    <w:pPr>
      <w:spacing w:lineRule="auto" w:line="240" w:before="0" w:after="24"/>
      <w:jc w:val="left"/>
    </w:pPr>
    <w:rPr>
      <w:rFonts w:ascii="Times New Roman" w:hAnsi="Times New Roman"/>
      <w:b/>
      <w:bCs/>
      <w:szCs w:val="24"/>
      <w:lang w:eastAsia="it-IT"/>
    </w:rPr>
  </w:style>
  <w:style w:type="paragraph" w:styleId="indexheading1">
    <w:name w:val="index heading1"/>
    <w:basedOn w:val="Title"/>
    <w:qFormat/>
    <w:pPr/>
    <w:rPr/>
  </w:style>
  <w:style w:type="paragraph" w:styleId="IndexHeading">
    <w:name w:val="index heading"/>
    <w:basedOn w:val="Titolo"/>
    <w:pPr/>
    <w:rPr/>
  </w:style>
  <w:style w:type="paragraph" w:styleId="TOCHeading">
    <w:name w:val="TOC Heading"/>
    <w:basedOn w:val="Heading1"/>
    <w:next w:val="Normal"/>
    <w:qFormat/>
    <w:rsid w:val="00ae28ad"/>
    <w:pPr>
      <w:spacing w:before="280" w:after="280"/>
    </w:pPr>
    <w:rPr>
      <w:rFonts w:ascii="Garamond" w:hAnsi="Garamond" w:eastAsia="Times New Roman" w:cs="Times New Roman"/>
      <w:b/>
      <w:bCs/>
      <w:color w:themeColor="accent1" w:themeShade="bf" w:val="auto"/>
      <w:sz w:val="28"/>
      <w:szCs w:val="28"/>
      <w:lang w:eastAsia="it-IT"/>
    </w:rPr>
  </w:style>
  <w:style w:type="paragraph" w:styleId="provvc" w:customStyle="1">
    <w:name w:val="provv_c"/>
    <w:basedOn w:val="Normal"/>
    <w:qFormat/>
    <w:rsid w:val="00ae28ad"/>
    <w:pPr>
      <w:spacing w:lineRule="auto" w:line="240" w:before="280" w:after="280"/>
      <w:jc w:val="center"/>
    </w:pPr>
    <w:rPr>
      <w:rFonts w:ascii="Times New Roman" w:hAnsi="Times New Roman"/>
      <w:szCs w:val="24"/>
      <w:lang w:eastAsia="it-IT"/>
    </w:rPr>
  </w:style>
  <w:style w:type="paragraph" w:styleId="TOC3">
    <w:name w:val="toc 3"/>
    <w:basedOn w:val="Normal"/>
    <w:next w:val="Normal"/>
    <w:autoRedefine/>
    <w:uiPriority w:val="39"/>
    <w:rsid w:val="00ae28ad"/>
    <w:pPr>
      <w:tabs>
        <w:tab w:val="clear" w:pos="708"/>
        <w:tab w:val="left" w:pos="1100" w:leader="none"/>
        <w:tab w:val="right" w:pos="9629" w:leader="dot"/>
      </w:tabs>
      <w:spacing w:lineRule="auto" w:line="240"/>
      <w:ind w:hanging="454" w:left="896"/>
      <w:jc w:val="left"/>
    </w:pPr>
    <w:rPr>
      <w:iCs/>
      <w:sz w:val="20"/>
      <w:szCs w:val="20"/>
    </w:rPr>
  </w:style>
  <w:style w:type="paragraph" w:styleId="Rientrocorpodeltesto211" w:customStyle="1">
    <w:name w:val="Rientro corpo del testo 211"/>
    <w:basedOn w:val="Normal"/>
    <w:qFormat/>
    <w:rsid w:val="00ae28ad"/>
    <w:pPr>
      <w:spacing w:lineRule="auto" w:line="240"/>
      <w:ind w:left="360"/>
    </w:pPr>
    <w:rPr>
      <w:rFonts w:ascii="Times New Roman" w:hAnsi="Times New Roman"/>
      <w:szCs w:val="20"/>
      <w:lang w:eastAsia="it-IT"/>
    </w:rPr>
  </w:style>
  <w:style w:type="paragraph" w:styleId="BodyTextIndent2">
    <w:name w:val="Body Text Indent 2"/>
    <w:basedOn w:val="Normal"/>
    <w:link w:val="Rientrocorpodeltesto2Carattere1"/>
    <w:qFormat/>
    <w:rsid w:val="00ae28ad"/>
    <w:pPr>
      <w:tabs>
        <w:tab w:val="clear" w:pos="708"/>
        <w:tab w:val="left" w:pos="1068" w:leader="none"/>
      </w:tabs>
      <w:spacing w:lineRule="auto" w:line="240"/>
      <w:ind w:left="720"/>
    </w:pPr>
    <w:rPr>
      <w:rFonts w:ascii="Times New Roman" w:hAnsi="Times New Roman"/>
      <w:szCs w:val="24"/>
      <w:lang w:eastAsia="it-IT"/>
    </w:rPr>
  </w:style>
  <w:style w:type="paragraph" w:styleId="sche3" w:customStyle="1">
    <w:name w:val="sche_3"/>
    <w:qFormat/>
    <w:rsid w:val="00ae28ad"/>
    <w:pPr>
      <w:widowControl w:val="false"/>
      <w:suppressAutoHyphens w:val="true"/>
      <w:bidi w:val="0"/>
      <w:spacing w:before="0" w:after="0"/>
      <w:jc w:val="both"/>
      <w:textAlignment w:val="baseline"/>
    </w:pPr>
    <w:rPr>
      <w:rFonts w:ascii="Times New Roman" w:hAnsi="Times New Roman" w:eastAsia="Times New Roman" w:cs="Times New Roman"/>
      <w:color w:val="auto"/>
      <w:kern w:val="0"/>
      <w:sz w:val="24"/>
      <w:szCs w:val="20"/>
      <w:lang w:val="en-US" w:eastAsia="it-IT" w:bidi="ar-SA"/>
      <w14:ligatures w14:val="none"/>
    </w:rPr>
  </w:style>
  <w:style w:type="paragraph" w:styleId="Text2" w:customStyle="1">
    <w:name w:val="Text 2"/>
    <w:basedOn w:val="Normal"/>
    <w:qFormat/>
    <w:rsid w:val="00ae28ad"/>
    <w:pPr>
      <w:tabs>
        <w:tab w:val="clear" w:pos="708"/>
        <w:tab w:val="left" w:pos="2161" w:leader="none"/>
      </w:tabs>
      <w:spacing w:lineRule="auto" w:line="240" w:before="0" w:after="240"/>
      <w:ind w:left="1077"/>
    </w:pPr>
    <w:rPr>
      <w:rFonts w:ascii="Times New Roman" w:hAnsi="Times New Roman"/>
      <w:szCs w:val="20"/>
      <w:lang w:eastAsia="it-IT"/>
    </w:rPr>
  </w:style>
  <w:style w:type="paragraph" w:styleId="BodyTextIndent">
    <w:name w:val="Body Text Indent"/>
    <w:basedOn w:val="Normal"/>
    <w:link w:val="RientrocorpodeltestoCarattere1"/>
    <w:rsid w:val="00ae28ad"/>
    <w:pPr>
      <w:tabs>
        <w:tab w:val="clear" w:pos="708"/>
        <w:tab w:val="left" w:pos="0" w:leader="none"/>
        <w:tab w:val="left" w:pos="1725" w:leader="none"/>
        <w:tab w:val="left" w:pos="8496" w:leader="none"/>
      </w:tabs>
      <w:spacing w:lineRule="auto" w:line="240"/>
      <w:ind w:left="708"/>
    </w:pPr>
    <w:rPr>
      <w:rFonts w:ascii="Times New Roman" w:hAnsi="Times New Roman"/>
      <w:b/>
      <w:bCs/>
      <w:i/>
      <w:iCs/>
      <w:sz w:val="20"/>
      <w:szCs w:val="20"/>
      <w:lang w:eastAsia="it-IT"/>
    </w:rPr>
  </w:style>
  <w:style w:type="paragraph" w:styleId="BodyText3">
    <w:name w:val="Body Text 3"/>
    <w:basedOn w:val="Normal"/>
    <w:link w:val="Corpodeltesto3Carattere1"/>
    <w:qFormat/>
    <w:rsid w:val="00ae28ad"/>
    <w:pPr>
      <w:tabs>
        <w:tab w:val="clear" w:pos="708"/>
        <w:tab w:val="left" w:pos="0" w:leader="none"/>
        <w:tab w:val="left" w:pos="8496" w:leader="none"/>
      </w:tabs>
      <w:spacing w:lineRule="auto" w:line="240" w:before="240" w:after="120"/>
    </w:pPr>
    <w:rPr>
      <w:rFonts w:ascii="Times New Roman" w:hAnsi="Times New Roman"/>
      <w:b/>
      <w:bCs/>
      <w:i/>
      <w:iCs/>
      <w:sz w:val="20"/>
      <w:szCs w:val="24"/>
      <w:lang w:eastAsia="it-IT"/>
    </w:rPr>
  </w:style>
  <w:style w:type="paragraph" w:styleId="Rub3" w:customStyle="1">
    <w:name w:val="Rub3"/>
    <w:basedOn w:val="Normal"/>
    <w:next w:val="Normal"/>
    <w:qFormat/>
    <w:rsid w:val="00ae28ad"/>
    <w:pPr>
      <w:tabs>
        <w:tab w:val="clear" w:pos="708"/>
        <w:tab w:val="left" w:pos="709" w:leader="none"/>
      </w:tabs>
      <w:spacing w:lineRule="auto" w:line="240"/>
    </w:pPr>
    <w:rPr>
      <w:rFonts w:ascii="Times New Roman" w:hAnsi="Times New Roman"/>
      <w:b/>
      <w:i/>
      <w:sz w:val="20"/>
      <w:szCs w:val="20"/>
      <w:lang w:eastAsia="it-IT"/>
    </w:rPr>
  </w:style>
  <w:style w:type="paragraph" w:styleId="Titoloparagrafobandotipo" w:customStyle="1">
    <w:name w:val="Titolo paragrafo bando tipo"/>
    <w:basedOn w:val="Subtitle"/>
    <w:autoRedefine/>
    <w:qFormat/>
    <w:rsid w:val="00ae28ad"/>
    <w:pPr>
      <w:keepNext w:val="true"/>
      <w:spacing w:lineRule="auto" w:line="240" w:before="300" w:after="120"/>
      <w:ind w:left="-142"/>
      <w:outlineLvl w:val="0"/>
    </w:pPr>
    <w:rPr>
      <w:rFonts w:ascii="Calibri" w:hAnsi="Calibri" w:eastAsia="Times New Roman" w:cs="Times New Roman"/>
      <w:b/>
      <w:i/>
      <w:color w:themeColor="text1" w:themeTint="a6" w:val="auto"/>
      <w:spacing w:val="0"/>
      <w:sz w:val="24"/>
      <w:szCs w:val="22"/>
      <w:lang w:eastAsia="it-IT"/>
    </w:rPr>
  </w:style>
  <w:style w:type="paragraph" w:styleId="avviso" w:customStyle="1">
    <w:name w:val="avviso"/>
    <w:basedOn w:val="ListParagraph"/>
    <w:qFormat/>
    <w:rsid w:val="00ae28ad"/>
    <w:pPr>
      <w:keepNext w:val="true"/>
      <w:spacing w:lineRule="auto" w:line="240" w:before="120" w:after="120"/>
      <w:ind w:left="0"/>
      <w:contextualSpacing w:val="false"/>
    </w:pPr>
    <w:rPr>
      <w:b/>
      <w:i/>
    </w:rPr>
  </w:style>
  <w:style w:type="paragraph" w:styleId="CM11" w:customStyle="1">
    <w:name w:val="CM1+1"/>
    <w:basedOn w:val="Default"/>
    <w:next w:val="Default"/>
    <w:qFormat/>
    <w:rsid w:val="00ae28ad"/>
    <w:pPr>
      <w:widowControl/>
      <w:spacing w:lineRule="auto" w:line="240"/>
      <w:jc w:val="left"/>
    </w:pPr>
    <w:rPr>
      <w:rFonts w:ascii="EUAlbertina" w:hAnsi="EUAlbertina" w:cs="Times New Roman"/>
      <w:color w:val="auto"/>
    </w:rPr>
  </w:style>
  <w:style w:type="paragraph" w:styleId="CM31" w:customStyle="1">
    <w:name w:val="CM3+1"/>
    <w:basedOn w:val="Default"/>
    <w:next w:val="Default"/>
    <w:qFormat/>
    <w:rsid w:val="00ae28ad"/>
    <w:pPr>
      <w:widowControl/>
      <w:spacing w:lineRule="auto" w:line="240"/>
      <w:jc w:val="left"/>
    </w:pPr>
    <w:rPr>
      <w:rFonts w:ascii="EUAlbertina" w:hAnsi="EUAlbertina" w:cs="Times New Roman"/>
      <w:color w:val="auto"/>
    </w:rPr>
  </w:style>
  <w:style w:type="paragraph" w:styleId="NoSpacing">
    <w:name w:val="No Spacing"/>
    <w:qFormat/>
    <w:rsid w:val="00ae28ad"/>
    <w:pPr>
      <w:widowControl/>
      <w:suppressAutoHyphens w:val="true"/>
      <w:bidi w:val="0"/>
      <w:spacing w:before="0" w:after="0"/>
      <w:jc w:val="both"/>
    </w:pPr>
    <w:rPr>
      <w:rFonts w:ascii="Calibri" w:hAnsi="Calibri" w:eastAsia="Times New Roman" w:cs="Times New Roman"/>
      <w:color w:val="auto"/>
      <w:kern w:val="0"/>
      <w:sz w:val="22"/>
      <w:szCs w:val="22"/>
      <w:lang w:val="it-IT" w:eastAsia="en-US" w:bidi="ar-SA"/>
      <w14:ligatures w14:val="none"/>
    </w:rPr>
  </w:style>
  <w:style w:type="paragraph" w:styleId="Sommariodisciplinare" w:customStyle="1">
    <w:name w:val="Sommario disciplinare"/>
    <w:basedOn w:val="TOC1"/>
    <w:next w:val="Heading2"/>
    <w:autoRedefine/>
    <w:qFormat/>
    <w:rsid w:val="00ae28ad"/>
    <w:pPr/>
    <w:rPr>
      <w:rFonts w:cs="Calibri"/>
      <w:szCs w:val="24"/>
      <w:lang w:eastAsia="it-IT"/>
    </w:rPr>
  </w:style>
  <w:style w:type="paragraph" w:styleId="TOC4">
    <w:name w:val="toc 4"/>
    <w:basedOn w:val="Normal"/>
    <w:next w:val="Normal"/>
    <w:autoRedefine/>
    <w:rsid w:val="00ae28ad"/>
    <w:pPr>
      <w:ind w:left="660"/>
      <w:jc w:val="left"/>
    </w:pPr>
    <w:rPr>
      <w:rFonts w:ascii="Calibri" w:hAnsi="Calibri"/>
      <w:sz w:val="18"/>
      <w:szCs w:val="18"/>
    </w:rPr>
  </w:style>
  <w:style w:type="paragraph" w:styleId="TOC5">
    <w:name w:val="toc 5"/>
    <w:basedOn w:val="Normal"/>
    <w:next w:val="Normal"/>
    <w:autoRedefine/>
    <w:rsid w:val="00ae28ad"/>
    <w:pPr>
      <w:ind w:left="880"/>
      <w:jc w:val="left"/>
    </w:pPr>
    <w:rPr>
      <w:rFonts w:ascii="Calibri" w:hAnsi="Calibri"/>
      <w:sz w:val="18"/>
      <w:szCs w:val="18"/>
    </w:rPr>
  </w:style>
  <w:style w:type="paragraph" w:styleId="TOC6">
    <w:name w:val="toc 6"/>
    <w:basedOn w:val="Normal"/>
    <w:next w:val="Normal"/>
    <w:autoRedefine/>
    <w:rsid w:val="00ae28ad"/>
    <w:pPr>
      <w:ind w:left="1100"/>
      <w:jc w:val="left"/>
    </w:pPr>
    <w:rPr>
      <w:rFonts w:ascii="Calibri" w:hAnsi="Calibri"/>
      <w:sz w:val="18"/>
      <w:szCs w:val="18"/>
    </w:rPr>
  </w:style>
  <w:style w:type="paragraph" w:styleId="TOC7">
    <w:name w:val="toc 7"/>
    <w:basedOn w:val="Normal"/>
    <w:next w:val="Normal"/>
    <w:autoRedefine/>
    <w:rsid w:val="00ae28ad"/>
    <w:pPr>
      <w:ind w:left="1320"/>
      <w:jc w:val="left"/>
    </w:pPr>
    <w:rPr>
      <w:rFonts w:ascii="Calibri" w:hAnsi="Calibri"/>
      <w:sz w:val="18"/>
      <w:szCs w:val="18"/>
    </w:rPr>
  </w:style>
  <w:style w:type="paragraph" w:styleId="TOC8">
    <w:name w:val="toc 8"/>
    <w:basedOn w:val="Normal"/>
    <w:next w:val="Normal"/>
    <w:autoRedefine/>
    <w:rsid w:val="00ae28ad"/>
    <w:pPr>
      <w:ind w:left="1540"/>
      <w:jc w:val="left"/>
    </w:pPr>
    <w:rPr>
      <w:rFonts w:ascii="Calibri" w:hAnsi="Calibri"/>
      <w:sz w:val="18"/>
      <w:szCs w:val="18"/>
    </w:rPr>
  </w:style>
  <w:style w:type="paragraph" w:styleId="TOC9">
    <w:name w:val="toc 9"/>
    <w:basedOn w:val="Normal"/>
    <w:next w:val="Normal"/>
    <w:autoRedefine/>
    <w:rsid w:val="00ae28ad"/>
    <w:pPr>
      <w:ind w:left="1760"/>
      <w:jc w:val="left"/>
    </w:pPr>
    <w:rPr>
      <w:rFonts w:ascii="Calibri" w:hAnsi="Calibri"/>
      <w:sz w:val="18"/>
      <w:szCs w:val="18"/>
    </w:rPr>
  </w:style>
  <w:style w:type="paragraph" w:styleId="PlainText">
    <w:name w:val="Plain Text"/>
    <w:basedOn w:val="Normal"/>
    <w:link w:val="TestonormaleCarattere1"/>
    <w:qFormat/>
    <w:rsid w:val="00ae28ad"/>
    <w:pPr>
      <w:jc w:val="left"/>
    </w:pPr>
    <w:rPr>
      <w:rFonts w:cs="Consolas"/>
      <w:szCs w:val="21"/>
    </w:rPr>
  </w:style>
  <w:style w:type="paragraph" w:styleId="usoboll1" w:customStyle="1">
    <w:name w:val="usoboll1"/>
    <w:basedOn w:val="Normal"/>
    <w:qFormat/>
    <w:rsid w:val="00ae28ad"/>
    <w:pPr>
      <w:widowControl w:val="false"/>
      <w:spacing w:lineRule="atLeast" w:line="482"/>
    </w:pPr>
    <w:rPr>
      <w:rFonts w:ascii="Times New Roman" w:hAnsi="Times New Roman"/>
      <w:szCs w:val="20"/>
      <w:lang w:eastAsia="ar-SA"/>
    </w:rPr>
  </w:style>
  <w:style w:type="paragraph" w:styleId="ANCATABELLATITOLOBIANCO" w:customStyle="1">
    <w:name w:val="ANCA_TABELLA_TITOLO BIANCO"/>
    <w:basedOn w:val="Normal"/>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ind w:left="1560" w:right="142"/>
    </w:pPr>
    <w:rPr>
      <w:rFonts w:ascii="Gotham Book" w:hAnsi="Gotham Book" w:cs="Gotham Book"/>
      <w:color w:val="FFFFFF"/>
      <w:sz w:val="20"/>
      <w:szCs w:val="20"/>
    </w:rPr>
  </w:style>
  <w:style w:type="paragraph" w:styleId="ANACTABELLATESTOBIANCO" w:customStyle="1">
    <w:name w:val="ANAC_TABELLA_TESTO_BIANCO"/>
    <w:basedOn w:val="Normal"/>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ind w:left="1560" w:right="142"/>
    </w:pPr>
    <w:rPr>
      <w:rFonts w:ascii="Gotham Book" w:hAnsi="Gotham Book" w:cs="Gotham Book"/>
      <w:color w:val="FFFFFF"/>
      <w:sz w:val="20"/>
      <w:szCs w:val="20"/>
    </w:rPr>
  </w:style>
  <w:style w:type="paragraph" w:styleId="ANACDATA" w:customStyle="1">
    <w:name w:val="ANAC_DATA"/>
    <w:qFormat/>
    <w:rsid w:val="00ae28ad"/>
    <w:pPr>
      <w:keepNext w:val="true"/>
      <w:keepLines/>
      <w:widowControl/>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uppressAutoHyphens w:val="true"/>
      <w:bidi w:val="0"/>
      <w:spacing w:lineRule="exact" w:line="240" w:before="40" w:after="0"/>
      <w:ind w:left="1560" w:right="142"/>
      <w:jc w:val="left"/>
    </w:pPr>
    <w:rPr>
      <w:rFonts w:ascii="Gotham Light" w:hAnsi="Gotham Light" w:eastAsia="0" w:cs="Times New Roman"/>
      <w:iCs/>
      <w:color w:val="auto"/>
      <w:kern w:val="0"/>
      <w:sz w:val="24"/>
      <w:szCs w:val="20"/>
      <w:lang w:val="it-IT" w:eastAsia="ar-SA" w:bidi="ar-SA"/>
      <w14:ligatures w14:val="none"/>
    </w:rPr>
  </w:style>
  <w:style w:type="paragraph" w:styleId="ANAC-TitoloSottoparagrafo" w:customStyle="1">
    <w:name w:val="ANAC - Titolo Sottoparagrafo"/>
    <w:qFormat/>
    <w:rsid w:val="00ae28ad"/>
    <w:pPr>
      <w:keepNext w:val="true"/>
      <w:keepLines/>
      <w:widowControl/>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uppressAutoHyphens w:val="true"/>
      <w:bidi w:val="0"/>
      <w:spacing w:lineRule="exact" w:line="240" w:before="40" w:after="0"/>
      <w:ind w:left="-284"/>
      <w:jc w:val="left"/>
    </w:pPr>
    <w:rPr>
      <w:rFonts w:ascii="Calibri Light" w:hAnsi="Calibri Light" w:eastAsia="0" w:cs="Times New Roman"/>
      <w:color w:val="2F5496"/>
      <w:kern w:val="0"/>
      <w:sz w:val="24"/>
      <w:szCs w:val="22"/>
      <w:lang w:val="it-IT" w:eastAsia="ar-SA" w:bidi="ar-SA"/>
      <w14:ligatures w14:val="none"/>
    </w:rPr>
  </w:style>
  <w:style w:type="paragraph" w:styleId="ANAC-TitoloParagrafo" w:customStyle="1">
    <w:name w:val="ANAC - Titolo Paragrafo"/>
    <w:qFormat/>
    <w:rsid w:val="00ae28ad"/>
    <w:pPr>
      <w:keepNext w:val="true"/>
      <w:keepLines/>
      <w:widowControl/>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uppressAutoHyphens w:val="true"/>
      <w:bidi w:val="0"/>
      <w:spacing w:lineRule="exact" w:line="240" w:before="40" w:after="0"/>
      <w:ind w:left="1560" w:right="142"/>
      <w:jc w:val="left"/>
    </w:pPr>
    <w:rPr>
      <w:rFonts w:ascii="Gotham Light" w:hAnsi="Gotham Light" w:eastAsia="0" w:cs="Times New Roman"/>
      <w:color w:val="2770B7"/>
      <w:kern w:val="0"/>
      <w:sz w:val="28"/>
      <w:szCs w:val="20"/>
      <w:lang w:val="it-IT" w:eastAsia="ar-SA" w:bidi="ar-SA"/>
      <w14:ligatures w14:val="none"/>
    </w:rPr>
  </w:style>
  <w:style w:type="paragraph" w:styleId="ANAC-TitoloCapitolo" w:customStyle="1">
    <w:name w:val="ANAC - Titolo Capitolo"/>
    <w:qFormat/>
    <w:rsid w:val="00ae28ad"/>
    <w:pPr>
      <w:keepNext w:val="true"/>
      <w:keepLines/>
      <w:widowControl/>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uppressAutoHyphens w:val="true"/>
      <w:bidi w:val="0"/>
      <w:spacing w:lineRule="exact" w:line="240" w:before="40" w:after="0"/>
      <w:ind w:left="1560" w:right="142"/>
      <w:jc w:val="left"/>
    </w:pPr>
    <w:rPr>
      <w:rFonts w:ascii="Gotham Light" w:hAnsi="Gotham Light" w:eastAsia="0" w:cs="Times New Roman"/>
      <w:iCs/>
      <w:color w:val="auto"/>
      <w:kern w:val="0"/>
      <w:sz w:val="36"/>
      <w:szCs w:val="40"/>
      <w:lang w:val="it-IT" w:eastAsia="ar-SA" w:bidi="ar-SA"/>
      <w14:ligatures w14:val="none"/>
    </w:rPr>
  </w:style>
  <w:style w:type="paragraph" w:styleId="ANAC-Capitolo" w:customStyle="1">
    <w:name w:val="ANAC - Capitolo"/>
    <w:basedOn w:val="Heading1"/>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240" w:after="280"/>
      <w:ind w:left="1560" w:right="142"/>
      <w:jc w:val="center"/>
    </w:pPr>
    <w:rPr>
      <w:rFonts w:ascii="Calibri Light" w:hAnsi="Calibri Light" w:eastAsia="0" w:cs="Times New Roman"/>
      <w:b/>
      <w:bCs/>
      <w:color w:themeColor="accent1" w:themeShade="bf" w:val="2F5496"/>
      <w:sz w:val="32"/>
      <w:szCs w:val="32"/>
      <w:lang w:val="x-none" w:eastAsia="ar-SA"/>
    </w:rPr>
  </w:style>
  <w:style w:type="paragraph" w:styleId="TitoloParagrafo" w:customStyle="1">
    <w:name w:val="Titolo Paragrafo"/>
    <w:basedOn w:val="Heading5"/>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40" w:after="0"/>
      <w:ind w:left="1560" w:right="142"/>
    </w:pPr>
    <w:rPr>
      <w:rFonts w:ascii="Calibri Light" w:hAnsi="Calibri Light" w:eastAsia="0" w:cs="Times New Roman"/>
      <w:b/>
      <w:bCs/>
      <w:i/>
      <w:iCs/>
      <w:color w:themeColor="accent1" w:themeShade="bf" w:val="2F5496"/>
      <w:sz w:val="28"/>
      <w:szCs w:val="26"/>
      <w:lang w:val="x-none" w:eastAsia="ar-SA"/>
    </w:rPr>
  </w:style>
  <w:style w:type="paragraph" w:styleId="TitoloCapitolo" w:customStyle="1">
    <w:name w:val="Titolo Capitolo"/>
    <w:basedOn w:val="Heading4"/>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40" w:after="0"/>
      <w:ind w:left="1560" w:right="142"/>
    </w:pPr>
    <w:rPr>
      <w:rFonts w:ascii="Gotham Light" w:hAnsi="Gotham Light" w:eastAsia="0" w:cs="Times New Roman"/>
      <w:b/>
      <w:bCs/>
      <w:i w:val="false"/>
      <w:color w:themeColor="accent1" w:themeShade="bf" w:val="4F81BD"/>
      <w:sz w:val="36"/>
      <w:szCs w:val="40"/>
      <w:lang w:eastAsia="ar-SA"/>
    </w:rPr>
  </w:style>
  <w:style w:type="paragraph" w:styleId="NumeroCapitolo" w:customStyle="1">
    <w:name w:val="Numero Capitolo"/>
    <w:basedOn w:val="Heading3"/>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40" w:after="0"/>
      <w:ind w:left="1560" w:right="142"/>
    </w:pPr>
    <w:rPr>
      <w:rFonts w:ascii="Gotham Light" w:hAnsi="Gotham Light" w:eastAsia="0" w:cs="Times New Roman"/>
      <w:b/>
      <w:bCs/>
      <w:caps/>
      <w:color w:themeColor="accent1" w:themeShade="bf" w:val="2770B7"/>
      <w:sz w:val="48"/>
      <w:szCs w:val="36"/>
      <w:lang w:val="x-none" w:eastAsia="ar-SA"/>
    </w:rPr>
  </w:style>
  <w:style w:type="paragraph" w:styleId="TitoloParte" w:customStyle="1">
    <w:name w:val="Titolo Parte"/>
    <w:basedOn w:val="Heading2"/>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40" w:after="0"/>
      <w:ind w:hanging="357" w:left="1560" w:right="142"/>
      <w:jc w:val="right"/>
    </w:pPr>
    <w:rPr>
      <w:rFonts w:ascii="Gotham Book" w:hAnsi="Gotham Book" w:eastAsia="Times New Roman (Corpo CS)" w:cs="Times New Roman"/>
      <w:b/>
      <w:bCs/>
      <w:iCs/>
      <w:caps/>
      <w:color w:themeColor="accent1" w:themeShade="bf" w:val="FFFFFF"/>
      <w:sz w:val="40"/>
      <w:szCs w:val="40"/>
      <w:lang w:val="x-none" w:eastAsia="ar-SA"/>
    </w:rPr>
  </w:style>
  <w:style w:type="paragraph" w:styleId="ParteNumero" w:customStyle="1">
    <w:name w:val="Parte Numero"/>
    <w:basedOn w:val="Heading1"/>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240" w:after="280"/>
      <w:ind w:left="1560" w:right="142"/>
      <w:jc w:val="right"/>
    </w:pPr>
    <w:rPr>
      <w:rFonts w:ascii="Gotham Medium" w:hAnsi="Gotham Medium" w:eastAsia="Times New Roman (Corpo CS)" w:cs="Times New Roman"/>
      <w:b/>
      <w:bCs/>
      <w:caps/>
      <w:color w:themeColor="accent1" w:themeShade="bf" w:val="FFFFFF"/>
      <w:sz w:val="28"/>
      <w:szCs w:val="28"/>
      <w:lang w:val="x-none" w:eastAsia="ar-SA"/>
    </w:rPr>
  </w:style>
  <w:style w:type="paragraph" w:styleId="Paragrafobase" w:customStyle="1">
    <w:name w:val="[Paragrafo base]"/>
    <w:basedOn w:val="Normal"/>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88"/>
      <w:ind w:left="1560" w:right="142"/>
      <w:textAlignment w:val="center"/>
    </w:pPr>
    <w:rPr>
      <w:rFonts w:ascii="Minion Pro" w:hAnsi="Minion Pro" w:eastAsia="Minion Pro"/>
      <w:color w:val="000000"/>
      <w:lang w:eastAsia="ar-SA"/>
    </w:rPr>
  </w:style>
  <w:style w:type="paragraph" w:styleId="Contenutocorniceuser" w:customStyle="1">
    <w:name w:val="Contenuto cornice (user)"/>
    <w:basedOn w:val="Normal"/>
    <w:qFormat/>
    <w:pPr/>
    <w:rPr/>
  </w:style>
  <w:style w:type="paragraph" w:styleId="Contenutotabellauser" w:customStyle="1">
    <w:name w:val="Contenuto tabella (user)"/>
    <w:basedOn w:val="Normal"/>
    <w:qFormat/>
    <w:pPr>
      <w:widowControl w:val="false"/>
      <w:suppressLineNumbers/>
    </w:pPr>
    <w:rPr/>
  </w:style>
  <w:style w:type="paragraph" w:styleId="Standard" w:customStyle="1">
    <w:name w:val="Standard"/>
    <w:qFormat/>
    <w:rsid w:val="00ae28ad"/>
    <w:pPr>
      <w:widowControl/>
      <w:suppressAutoHyphens w:val="true"/>
      <w:bidi w:val="0"/>
      <w:spacing w:lineRule="auto" w:line="259" w:before="0" w:after="160"/>
      <w:jc w:val="left"/>
      <w:textAlignment w:val="baseline"/>
    </w:pPr>
    <w:rPr>
      <w:rFonts w:ascii="Calibri" w:hAnsi="Calibri" w:eastAsia="Calibri" w:cs="Times New Roman"/>
      <w:color w:val="auto"/>
      <w:kern w:val="0"/>
      <w:sz w:val="24"/>
      <w:szCs w:val="20"/>
      <w:lang w:val="it-IT" w:eastAsia="en-US" w:bidi="ar-SA"/>
      <w14:ligatures w14:val="none"/>
    </w:rPr>
  </w:style>
  <w:style w:type="paragraph" w:styleId="Testopreformattatouser" w:customStyle="1">
    <w:name w:val="Testo preformattato (user)"/>
    <w:basedOn w:val="Normal"/>
    <w:qFormat/>
    <w:pPr/>
    <w:rPr>
      <w:rFonts w:ascii="Liberation Mono" w:hAnsi="Liberation Mono" w:eastAsia="Liberation Mono" w:cs="Liberation Mono"/>
      <w:sz w:val="20"/>
      <w:szCs w:val="20"/>
    </w:rPr>
  </w:style>
  <w:style w:type="paragraph" w:styleId="Testocitato" w:customStyle="1">
    <w:name w:val="Testo citato"/>
    <w:basedOn w:val="Normal"/>
    <w:qFormat/>
    <w:rsid w:val="00ae28ad"/>
    <w:pPr>
      <w:spacing w:before="0" w:after="283"/>
      <w:ind w:left="567" w:right="567"/>
    </w:pPr>
    <w:rPr/>
  </w:style>
  <w:style w:type="paragraph" w:styleId="DefinitionTerm" w:customStyle="1">
    <w:name w:val="Definition Term"/>
    <w:basedOn w:val="Normal"/>
    <w:qFormat/>
    <w:rsid w:val="00ae28ad"/>
    <w:pPr/>
    <w:rPr/>
  </w:style>
  <w:style w:type="paragraph" w:styleId="DefinitionList" w:customStyle="1">
    <w:name w:val="Definition List"/>
    <w:basedOn w:val="Normal"/>
    <w:qFormat/>
    <w:rsid w:val="00ae28ad"/>
    <w:pPr>
      <w:ind w:left="360"/>
    </w:pPr>
    <w:rPr/>
  </w:style>
  <w:style w:type="paragraph" w:styleId="H1" w:customStyle="1">
    <w:name w:val="H1"/>
    <w:basedOn w:val="Normal"/>
    <w:qFormat/>
    <w:rsid w:val="00ae28ad"/>
    <w:pPr>
      <w:keepNext w:val="true"/>
      <w:spacing w:before="100" w:after="100"/>
      <w:outlineLvl w:val="1"/>
    </w:pPr>
    <w:rPr>
      <w:b/>
      <w:kern w:val="2"/>
      <w:sz w:val="48"/>
    </w:rPr>
  </w:style>
  <w:style w:type="paragraph" w:styleId="H2" w:customStyle="1">
    <w:name w:val="H2"/>
    <w:basedOn w:val="Normal"/>
    <w:qFormat/>
    <w:rsid w:val="00ae28ad"/>
    <w:pPr>
      <w:keepNext w:val="true"/>
      <w:spacing w:before="100" w:after="100"/>
      <w:outlineLvl w:val="2"/>
    </w:pPr>
    <w:rPr>
      <w:b/>
      <w:sz w:val="36"/>
    </w:rPr>
  </w:style>
  <w:style w:type="paragraph" w:styleId="H3" w:customStyle="1">
    <w:name w:val="H3"/>
    <w:basedOn w:val="Normal"/>
    <w:qFormat/>
    <w:rsid w:val="00ae28ad"/>
    <w:pPr>
      <w:keepNext w:val="true"/>
      <w:spacing w:before="100" w:after="100"/>
      <w:outlineLvl w:val="3"/>
    </w:pPr>
    <w:rPr>
      <w:b/>
      <w:sz w:val="28"/>
    </w:rPr>
  </w:style>
  <w:style w:type="paragraph" w:styleId="H4" w:customStyle="1">
    <w:name w:val="H4"/>
    <w:basedOn w:val="Normal"/>
    <w:qFormat/>
    <w:rsid w:val="00ae28ad"/>
    <w:pPr>
      <w:keepNext w:val="true"/>
      <w:spacing w:before="100" w:after="100"/>
      <w:outlineLvl w:val="4"/>
    </w:pPr>
    <w:rPr>
      <w:b/>
    </w:rPr>
  </w:style>
  <w:style w:type="paragraph" w:styleId="H5" w:customStyle="1">
    <w:name w:val="H5"/>
    <w:basedOn w:val="Normal"/>
    <w:qFormat/>
    <w:rsid w:val="00ae28ad"/>
    <w:pPr>
      <w:keepNext w:val="true"/>
      <w:spacing w:before="100" w:after="100"/>
      <w:outlineLvl w:val="5"/>
    </w:pPr>
    <w:rPr>
      <w:b/>
      <w:sz w:val="20"/>
    </w:rPr>
  </w:style>
  <w:style w:type="paragraph" w:styleId="H6" w:customStyle="1">
    <w:name w:val="H6"/>
    <w:basedOn w:val="Normal"/>
    <w:qFormat/>
    <w:rsid w:val="00ae28ad"/>
    <w:pPr>
      <w:keepNext w:val="true"/>
      <w:spacing w:before="100" w:after="100"/>
      <w:outlineLvl w:val="6"/>
    </w:pPr>
    <w:rPr>
      <w:b/>
      <w:sz w:val="16"/>
    </w:rPr>
  </w:style>
  <w:style w:type="paragraph" w:styleId="Address" w:customStyle="1">
    <w:name w:val="Address"/>
    <w:basedOn w:val="Normal"/>
    <w:qFormat/>
    <w:rsid w:val="00ae28ad"/>
    <w:pPr/>
    <w:rPr>
      <w:i/>
    </w:rPr>
  </w:style>
  <w:style w:type="paragraph" w:styleId="Blockquote" w:customStyle="1">
    <w:name w:val="Blockquote"/>
    <w:basedOn w:val="Normal"/>
    <w:qFormat/>
    <w:rsid w:val="00ae28ad"/>
    <w:pPr>
      <w:spacing w:before="100" w:after="100"/>
      <w:ind w:left="360" w:right="360"/>
    </w:pPr>
    <w:rPr/>
  </w:style>
  <w:style w:type="paragraph" w:styleId="Preformatted" w:customStyle="1">
    <w:name w:val="Preformatted"/>
    <w:basedOn w:val="Normal"/>
    <w:qFormat/>
    <w:rsid w:val="00ae28ad"/>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rPr>
  </w:style>
  <w:style w:type="paragraph" w:styleId="z-BottomofForm1" w:customStyle="1">
    <w:name w:val="z-Bottom of Form1"/>
    <w:qFormat/>
    <w:rsid w:val="00395774"/>
    <w:pPr>
      <w:widowControl/>
      <w:pBdr>
        <w:top w:val="double" w:sz="2" w:space="0" w:color="000000"/>
      </w:pBdr>
      <w:suppressAutoHyphens w:val="true"/>
      <w:bidi w:val="0"/>
      <w:spacing w:before="0" w:after="0"/>
      <w:jc w:val="center"/>
    </w:pPr>
    <w:rPr>
      <w:rFonts w:ascii="Arial" w:hAnsi="Arial" w:eastAsia="Arial" w:cs="Courier New"/>
      <w:vanish/>
      <w:color w:val="auto"/>
      <w:kern w:val="0"/>
      <w:sz w:val="16"/>
      <w:szCs w:val="24"/>
      <w:lang w:val="it-IT" w:eastAsia="it-IT" w:bidi="ar-SA"/>
      <w14:ligatures w14:val="none"/>
    </w:rPr>
  </w:style>
  <w:style w:type="paragraph" w:styleId="z-TopofForm1" w:customStyle="1">
    <w:name w:val="z-Top of Form1"/>
    <w:qFormat/>
    <w:rsid w:val="00395774"/>
    <w:pPr>
      <w:widowControl/>
      <w:pBdr>
        <w:bottom w:val="double" w:sz="2" w:space="0" w:color="000000"/>
      </w:pBdr>
      <w:suppressAutoHyphens w:val="true"/>
      <w:bidi w:val="0"/>
      <w:spacing w:before="0" w:after="0"/>
      <w:jc w:val="center"/>
    </w:pPr>
    <w:rPr>
      <w:rFonts w:ascii="Arial" w:hAnsi="Arial" w:eastAsia="Arial" w:cs="Courier New"/>
      <w:vanish/>
      <w:color w:val="auto"/>
      <w:kern w:val="0"/>
      <w:sz w:val="16"/>
      <w:szCs w:val="24"/>
      <w:lang w:val="it-IT" w:eastAsia="it-IT" w:bidi="ar-SA"/>
      <w14:ligatures w14:val="none"/>
    </w:rPr>
  </w:style>
  <w:style w:type="paragraph" w:styleId="Titolotabellauser" w:customStyle="1">
    <w:name w:val="Titolo tabella (user)"/>
    <w:basedOn w:val="Contenutotabellauser"/>
    <w:qFormat/>
    <w:pPr>
      <w:jc w:val="center"/>
    </w:pPr>
    <w:rPr>
      <w:b/>
      <w:bCs/>
    </w:rPr>
  </w:style>
  <w:style w:type="paragraph" w:styleId="stile12" w:customStyle="1">
    <w:name w:val="stile12"/>
    <w:basedOn w:val="Normal"/>
    <w:qFormat/>
    <w:pPr>
      <w:spacing w:lineRule="auto" w:line="240" w:before="280" w:after="280"/>
    </w:pPr>
    <w:rPr>
      <w:rFonts w:ascii="Times New Roman" w:hAnsi="Times New Roman"/>
      <w:szCs w:val="24"/>
      <w:lang w:eastAsia="it-IT"/>
    </w:rPr>
  </w:style>
  <w:style w:type="paragraph" w:styleId="Titolo3" w:customStyle="1">
    <w:name w:val="Titolo3"/>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Titolo2" w:customStyle="1">
    <w:name w:val="Titolo2"/>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Corpodeltesto22" w:customStyle="1">
    <w:name w:val="Corpo del testo 22"/>
    <w:basedOn w:val="Normal"/>
    <w:qFormat/>
    <w:pPr>
      <w:widowControl w:val="false"/>
    </w:pPr>
    <w:rPr>
      <w:rFonts w:ascii="Arial" w:hAnsi="Arial" w:cs="Arial"/>
      <w:sz w:val="20"/>
    </w:rPr>
  </w:style>
  <w:style w:type="paragraph" w:styleId="Corpodeltesto32" w:customStyle="1">
    <w:name w:val="Corpo del testo 32"/>
    <w:basedOn w:val="Normal"/>
    <w:qFormat/>
    <w:pPr>
      <w:spacing w:lineRule="atLeast" w:line="240"/>
    </w:pPr>
    <w:rPr>
      <w:rFonts w:ascii="PC Tennessee;Cambria" w:hAnsi="PC Tennessee;Cambria" w:cs="PC Tennessee;Cambria"/>
      <w:b/>
      <w:szCs w:val="20"/>
    </w:rPr>
  </w:style>
  <w:style w:type="paragraph" w:styleId="TxBrp17" w:customStyle="1">
    <w:name w:val="TxBr_p17"/>
    <w:basedOn w:val="Normal"/>
    <w:qFormat/>
    <w:pPr>
      <w:widowControl w:val="false"/>
      <w:tabs>
        <w:tab w:val="clear" w:pos="708"/>
        <w:tab w:val="left" w:pos="436" w:leader="none"/>
      </w:tabs>
      <w:spacing w:lineRule="atLeast" w:line="255"/>
      <w:ind w:hanging="436" w:left="607"/>
    </w:pPr>
    <w:rPr>
      <w:sz w:val="20"/>
      <w:lang w:val="en-US"/>
    </w:rPr>
  </w:style>
  <w:style w:type="paragraph" w:styleId="Rientrocorpodeltesto32" w:customStyle="1">
    <w:name w:val="Rientro corpo del testo 32"/>
    <w:basedOn w:val="Normal"/>
    <w:qFormat/>
    <w:pPr>
      <w:spacing w:lineRule="atLeast" w:line="240"/>
      <w:ind w:firstLine="1418"/>
    </w:pPr>
    <w:rPr>
      <w:rFonts w:ascii="PC Tennessee;Cambria" w:hAnsi="PC Tennessee;Cambria" w:cs="PC Tennessee;Cambria"/>
      <w:sz w:val="22"/>
      <w:szCs w:val="20"/>
    </w:rPr>
  </w:style>
  <w:style w:type="paragraph" w:styleId="tit1" w:customStyle="1">
    <w:name w:val="tit 1"/>
    <w:basedOn w:val="Heading1"/>
    <w:qFormat/>
    <w:pPr>
      <w:numPr>
        <w:ilvl w:val="0"/>
        <w:numId w:val="38"/>
      </w:numPr>
      <w:spacing w:lineRule="exact" w:line="320" w:before="480" w:after="120"/>
      <w:textAlignment w:val="baseline"/>
      <w:outlineLvl w:val="9"/>
    </w:pPr>
    <w:rPr>
      <w:rFonts w:cs="Arial"/>
      <w:bCs/>
      <w:color w:themeColor="accent1" w:themeShade="bf" w:val="000000"/>
      <w:kern w:val="2"/>
      <w:sz w:val="32"/>
      <w:szCs w:val="32"/>
    </w:rPr>
  </w:style>
  <w:style w:type="paragraph" w:styleId="tit2" w:customStyle="1">
    <w:name w:val="tit 2"/>
    <w:qFormat/>
    <w:pPr>
      <w:widowControl/>
      <w:tabs>
        <w:tab w:val="clear" w:pos="708"/>
        <w:tab w:val="left" w:pos="0" w:leader="none"/>
        <w:tab w:val="left" w:pos="851" w:leader="none"/>
      </w:tabs>
      <w:suppressAutoHyphens w:val="true"/>
      <w:bidi w:val="0"/>
      <w:spacing w:before="120" w:after="60"/>
      <w:ind w:hanging="360" w:left="1004"/>
      <w:jc w:val="left"/>
    </w:pPr>
    <w:rPr>
      <w:rFonts w:ascii="Arial" w:hAnsi="Arial" w:eastAsia="Times New Roman" w:cs="Arial"/>
      <w:b/>
      <w:color w:val="auto"/>
      <w:kern w:val="2"/>
      <w:sz w:val="26"/>
      <w:szCs w:val="20"/>
      <w:lang w:val="en-GB" w:eastAsia="en-US" w:bidi="ar-SA"/>
      <w14:ligatures w14:val="standardContextual"/>
    </w:rPr>
  </w:style>
  <w:style w:type="paragraph" w:styleId="tit3" w:customStyle="1">
    <w:name w:val="tit 3"/>
    <w:basedOn w:val="Heading2"/>
    <w:qFormat/>
    <w:pPr>
      <w:tabs>
        <w:tab w:val="clear" w:pos="708"/>
        <w:tab w:val="left" w:pos="0" w:leader="none"/>
        <w:tab w:val="left" w:pos="1418" w:leader="none"/>
      </w:tabs>
      <w:spacing w:lineRule="exact" w:line="320" w:before="120" w:after="20"/>
      <w:ind w:hanging="360" w:left="1004"/>
      <w:textAlignment w:val="baseline"/>
      <w:outlineLvl w:val="9"/>
    </w:pPr>
    <w:rPr>
      <w:rFonts w:cs="Times New Roman"/>
      <w:sz w:val="24"/>
    </w:rPr>
  </w:style>
  <w:style w:type="paragraph" w:styleId="Corpotesto1" w:customStyle="1">
    <w:name w:val="Corpo testo1"/>
    <w:basedOn w:val="Normal"/>
    <w:qFormat/>
    <w:pPr/>
    <w:rPr>
      <w:rFonts w:ascii="CG Times (W1);Times New Roman" w:hAnsi="CG Times (W1);Times New Roman" w:cs="CG Times (W1);Times New Roman"/>
      <w:shadow/>
      <w:szCs w:val="20"/>
      <w:lang w:eastAsia="it-IT"/>
    </w:rPr>
  </w:style>
  <w:style w:type="paragraph" w:styleId="Testonormale1" w:customStyle="1">
    <w:name w:val="Testo normale1"/>
    <w:basedOn w:val="Normal"/>
    <w:qFormat/>
    <w:pPr>
      <w:textAlignment w:val="baseline"/>
    </w:pPr>
    <w:rPr>
      <w:rFonts w:ascii="Courier New" w:hAnsi="Courier New" w:eastAsia="SimSun;宋体" w:cs="Courier New"/>
      <w:kern w:val="2"/>
      <w:sz w:val="20"/>
      <w:szCs w:val="20"/>
      <w:lang w:bidi="hi-IN"/>
    </w:rPr>
  </w:style>
  <w:style w:type="paragraph" w:styleId="Rientrocorpodeltesto31" w:customStyle="1">
    <w:name w:val="Rientro corpo del testo 31"/>
    <w:basedOn w:val="Normal"/>
    <w:qFormat/>
    <w:pPr>
      <w:spacing w:lineRule="atLeast" w:line="240"/>
      <w:ind w:firstLine="1418"/>
    </w:pPr>
    <w:rPr>
      <w:rFonts w:ascii="PC Tennessee;Cambria" w:hAnsi="PC Tennessee;Cambria" w:cs="PC Tennessee;Cambria"/>
      <w:sz w:val="22"/>
      <w:szCs w:val="20"/>
    </w:rPr>
  </w:style>
  <w:style w:type="paragraph" w:styleId="Corpodeltesto21" w:customStyle="1">
    <w:name w:val="Corpo del testo 21"/>
    <w:basedOn w:val="Normal"/>
    <w:qFormat/>
    <w:pPr>
      <w:widowControl w:val="false"/>
    </w:pPr>
    <w:rPr>
      <w:rFonts w:ascii="Arial" w:hAnsi="Arial" w:cs="Arial"/>
      <w:sz w:val="20"/>
    </w:rPr>
  </w:style>
  <w:style w:type="paragraph" w:styleId="Corpodeltesto31" w:customStyle="1">
    <w:name w:val="Corpo del testo 31"/>
    <w:basedOn w:val="Normal"/>
    <w:qFormat/>
    <w:pPr/>
    <w:rPr>
      <w:sz w:val="22"/>
    </w:rPr>
  </w:style>
  <w:style w:type="paragraph" w:styleId="corpotesto11" w:customStyle="1">
    <w:name w:val="corpotesto1"/>
    <w:basedOn w:val="Normal"/>
    <w:qFormat/>
    <w:pPr>
      <w:spacing w:before="280" w:after="280"/>
    </w:pPr>
    <w:rPr/>
  </w:style>
  <w:style w:type="paragraph" w:styleId="font-claude-response-body">
    <w:name w:val="font-claude-response-body"/>
    <w:basedOn w:val="Normal"/>
    <w:qFormat/>
    <w:pPr>
      <w:spacing w:lineRule="auto" w:line="240" w:before="280" w:after="280"/>
      <w:jc w:val="left"/>
    </w:pPr>
    <w:rPr>
      <w:rFonts w:ascii="Times New Roman" w:hAnsi="Times New Roman"/>
      <w:szCs w:val="24"/>
      <w:lang w:eastAsia="it-IT"/>
    </w:rPr>
  </w:style>
  <w:style w:type="paragraph" w:styleId="CM7">
    <w:name w:val="CM7"/>
    <w:basedOn w:val="Default"/>
    <w:next w:val="Default"/>
    <w:qFormat/>
    <w:pPr>
      <w:spacing w:lineRule="atLeast" w:line="286"/>
      <w:jc w:val="left"/>
    </w:pPr>
    <w:rPr>
      <w:rFonts w:ascii="Titillium" w:hAnsi="Titillium" w:eastAsia="Times New Roman" w:cs="Times New Roman"/>
      <w:color w:val="auto"/>
    </w:rPr>
  </w:style>
  <w:style w:type="paragraph" w:styleId="Paragrafoelenco2">
    <w:name w:val="Paragrafo elenco2"/>
    <w:basedOn w:val="Normal"/>
    <w:qFormat/>
    <w:pPr>
      <w:ind w:left="720"/>
    </w:pPr>
    <w:rPr>
      <w:lang w:eastAsia="it-IT"/>
    </w:rPr>
  </w:style>
  <w:style w:type="paragraph" w:styleId="CM58">
    <w:name w:val="CM58"/>
    <w:basedOn w:val="Default"/>
    <w:next w:val="Default"/>
    <w:qFormat/>
    <w:pPr>
      <w:spacing w:lineRule="auto" w:line="240"/>
      <w:jc w:val="left"/>
    </w:pPr>
    <w:rPr>
      <w:rFonts w:ascii="Titillium" w:hAnsi="Titillium" w:eastAsia="Times New Roman" w:cs="Times New Roman"/>
      <w:color w:val="auto"/>
    </w:rPr>
  </w:style>
  <w:style w:type="paragraph" w:styleId="CM52">
    <w:name w:val="CM52"/>
    <w:basedOn w:val="Default"/>
    <w:next w:val="Default"/>
    <w:qFormat/>
    <w:pPr>
      <w:spacing w:lineRule="auto" w:line="240"/>
      <w:jc w:val="left"/>
    </w:pPr>
    <w:rPr>
      <w:rFonts w:ascii="Titillium" w:hAnsi="Titillium" w:eastAsia="Times New Roman" w:cs="Times New Roman"/>
      <w:color w:val="auto"/>
    </w:rPr>
  </w:style>
  <w:style w:type="paragraph" w:styleId="stile13">
    <w:name w:val="stile13"/>
    <w:basedOn w:val="Normal"/>
    <w:qFormat/>
    <w:pPr>
      <w:spacing w:lineRule="auto" w:line="240" w:before="280" w:after="280"/>
    </w:pPr>
    <w:rPr>
      <w:rFonts w:ascii="Times New Roman" w:hAnsi="Times New Roman"/>
      <w:szCs w:val="24"/>
      <w:lang w:eastAsia="it-IT"/>
    </w:rPr>
  </w:style>
  <w:style w:type="numbering" w:styleId="Nessunelencouser" w:default="1">
    <w:name w:val="Nessun elenco (user)"/>
    <w:uiPriority w:val="99"/>
    <w:semiHidden/>
    <w:unhideWhenUsed/>
    <w:qFormat/>
  </w:style>
  <w:style w:type="numbering" w:styleId="Nessunelenco1" w:customStyle="1">
    <w:name w:val="Nessun elenco1"/>
    <w:qFormat/>
    <w:rsid w:val="00ae28ad"/>
  </w:style>
  <w:style w:type="numbering" w:styleId="Stile2" w:customStyle="1">
    <w:name w:val="Stile2"/>
    <w:qFormat/>
    <w:rsid w:val="00ae28ad"/>
  </w:style>
  <w:style w:type="numbering" w:styleId="WW8Num27" w:customStyle="1">
    <w:name w:val="WW8Num27"/>
    <w:qFormat/>
    <w:rsid w:val="00ae28ad"/>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Nessunelenco">
    <w:name w:val="Nessun elenco"/>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ae28ad"/>
    <w:rPr>
      <w:sz w:val="20"/>
      <w:szCs w:val="20"/>
      <w:lang w:eastAsia="it-I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gliatabellachiara">
    <w:name w:val="Grid Table Light"/>
    <w:basedOn w:val="Tabellanormale"/>
    <w:uiPriority w:val="40"/>
    <w:rsid w:val="00ae28ad"/>
    <w:rPr>
      <w:sz w:val="20"/>
      <w:szCs w:val="20"/>
      <w:lang w:eastAsia="it-IT"/>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fo.intercent@regione.emilia-romagna.it" TargetMode="External"/><Relationship Id="rId3" Type="http://schemas.openxmlformats.org/officeDocument/2006/relationships/hyperlink" Target="https://www.anticorruzione.it/-/news.garanzie.finanziarie.18.07.2025" TargetMode="External"/><Relationship Id="rId4" Type="http://schemas.openxmlformats.org/officeDocument/2006/relationships/hyperlink" Target="https://www.anticorruzione.it/-/gestione-contributi-gara" TargetMode="External"/><Relationship Id="rId5" Type="http://schemas.openxmlformats.org/officeDocument/2006/relationships/hyperlink" Target="https://www.anticorruzione.it/-/portale-dei-pagamenti-di-anac"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6F384D6CE452147B48DCB89CADB4180" ma:contentTypeVersion="19" ma:contentTypeDescription="Creare un nuovo documento." ma:contentTypeScope="" ma:versionID="6c39d3bd4abf94b9991be190498cebd9">
  <xsd:schema xmlns:xsd="http://www.w3.org/2001/XMLSchema" xmlns:xs="http://www.w3.org/2001/XMLSchema" xmlns:p="http://schemas.microsoft.com/office/2006/metadata/properties" xmlns:ns2="01fded2a-6ade-4626-9130-16bb9220f72f" xmlns:ns3="f8f0faae-7d3e-4260-bd2d-4ae4977d1014" targetNamespace="http://schemas.microsoft.com/office/2006/metadata/properties" ma:root="true" ma:fieldsID="a5328c2f24be5a9d9e300192648a9176" ns2:_="" ns3:_="">
    <xsd:import namespace="01fded2a-6ade-4626-9130-16bb9220f72f"/>
    <xsd:import namespace="f8f0faae-7d3e-4260-bd2d-4ae4977d10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ded2a-6ade-4626-9130-16bb9220f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2627e65f-4c78-48a8-87dd-1df669f52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f0faae-7d3e-4260-bd2d-4ae4977d101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f67a9c4c-e3dd-4482-8a92-83cfea12d742}" ma:internalName="TaxCatchAll" ma:showField="CatchAllData" ma:web="f8f0faae-7d3e-4260-bd2d-4ae4977d1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8f0faae-7d3e-4260-bd2d-4ae4977d1014" xsi:nil="true"/>
    <lcf76f155ced4ddcb4097134ff3c332f xmlns="01fded2a-6ade-4626-9130-16bb9220f7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1574EC-05DE-4F90-A424-0A79DCAB2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ded2a-6ade-4626-9130-16bb9220f72f"/>
    <ds:schemaRef ds:uri="f8f0faae-7d3e-4260-bd2d-4ae4977d1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5618D-38FC-4630-B3DB-6CD8D884ABA5}">
  <ds:schemaRefs>
    <ds:schemaRef ds:uri="http://schemas.microsoft.com/office/2006/metadata/properties"/>
    <ds:schemaRef ds:uri="http://schemas.microsoft.com/office/infopath/2007/PartnerControls"/>
    <ds:schemaRef ds:uri="f8f0faae-7d3e-4260-bd2d-4ae4977d1014"/>
    <ds:schemaRef ds:uri="01fded2a-6ade-4626-9130-16bb9220f72f"/>
  </ds:schemaRefs>
</ds:datastoreItem>
</file>

<file path=customXml/itemProps3.xml><?xml version="1.0" encoding="utf-8"?>
<ds:datastoreItem xmlns:ds="http://schemas.openxmlformats.org/officeDocument/2006/customXml" ds:itemID="{D366E1B5-7AE7-4D33-AFB7-0629F618D042}">
  <ds:schemaRefs>
    <ds:schemaRef ds:uri="http://schemas.openxmlformats.org/officeDocument/2006/bibliography"/>
  </ds:schemaRefs>
</ds:datastoreItem>
</file>

<file path=customXml/itemProps4.xml><?xml version="1.0" encoding="utf-8"?>
<ds:datastoreItem xmlns:ds="http://schemas.openxmlformats.org/officeDocument/2006/customXml" ds:itemID="{63E2B6A1-64F8-4AC3-8CE9-1E5A64291F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Application>LibreOffice/26.2.5.2$Windows_X86_64 LibreOffice_project/cd7284b4cbbfeb507e630c1aac019f4157393acb</Application>
  <AppVersion>15.0000</AppVersion>
  <Pages>35</Pages>
  <Words>16772</Words>
  <Characters>101155</Characters>
  <CharactersWithSpaces>117427</CharactersWithSpaces>
  <Paragraphs>799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2025-12-19T08:51:00Z</dcterms:created>
  <dc:creator>Zucchelli Elisabetta</dc:creator>
  <dc:description/>
  <dc:language>it-IT</dc:language>
  <cp:lastModifiedBy/>
  <cp:lastPrinted>2025-09-29T09:24:00Z</cp:lastPrinted>
  <dcterms:modified xsi:type="dcterms:W3CDTF">2026-09-07T08:58:26Z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0x01010026F384D6CE452147B48DCB89CADB4180</vt:lpwstr>
  </property>
  <property fmtid="{D5CDD505-2E9C-101B-9397-08002B2CF9AE}" pid="3" name="MediaServiceImageTags">
    <vt:lpwstr/>
  </property>
</Properties>
</file>