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60" w:after="60"/>
        <w:jc w:val="center"/>
        <w:rPr>
          <w:rFonts w:ascii="Titillium" w:hAnsi="Titillium"/>
          <w:b/>
          <w:sz w:val="36"/>
          <w:szCs w:val="36"/>
          <w:lang w:eastAsia="it-IT"/>
        </w:rPr>
      </w:pPr>
      <w:r>
        <w:rPr>
          <w:rFonts w:ascii="Titillium" w:hAnsi="Titillium"/>
          <w:b/>
          <w:sz w:val="36"/>
          <w:szCs w:val="36"/>
          <w:lang w:eastAsia="it-IT"/>
        </w:rPr>
      </w:r>
    </w:p>
    <w:p>
      <w:pPr>
        <w:pStyle w:val="Normal"/>
        <w:widowControl w:val="false"/>
        <w:spacing w:before="60" w:after="60"/>
        <w:jc w:val="center"/>
        <w:rPr>
          <w:rFonts w:ascii="Titillium" w:hAnsi="Titillium"/>
          <w:b/>
          <w:sz w:val="36"/>
          <w:szCs w:val="36"/>
          <w:lang w:eastAsia="it-IT"/>
        </w:rPr>
      </w:pPr>
      <w:r>
        <w:rPr>
          <w:rFonts w:ascii="Titillium" w:hAnsi="Titillium"/>
          <w:b/>
          <w:sz w:val="36"/>
          <w:szCs w:val="36"/>
          <w:lang w:eastAsia="it-IT"/>
        </w:rPr>
      </w:r>
    </w:p>
    <w:p>
      <w:pPr>
        <w:pStyle w:val="Normal"/>
        <w:widowControl w:val="false"/>
        <w:spacing w:lineRule="atLeast" w:line="23"/>
        <w:ind w:left="567"/>
        <w:jc w:val="center"/>
        <w:rPr>
          <w:rFonts w:ascii="Titillium" w:hAnsi="Titillium"/>
          <w:b/>
          <w:szCs w:val="24"/>
          <w:lang w:eastAsia="it-IT"/>
        </w:rPr>
      </w:pPr>
      <w:r>
        <w:rPr>
          <w:rFonts w:ascii="Titillium" w:hAnsi="Titillium"/>
          <w:b/>
          <w:szCs w:val="24"/>
          <w:lang w:eastAsia="it-IT"/>
        </w:rPr>
        <w:t>Disciplinare di gara</w:t>
      </w:r>
    </w:p>
    <w:p>
      <w:pPr>
        <w:pStyle w:val="Normal"/>
        <w:widowControl w:val="false"/>
        <w:spacing w:lineRule="atLeast" w:line="23"/>
        <w:rPr>
          <w:rFonts w:ascii="Titillium" w:hAnsi="Titillium"/>
          <w:b/>
          <w:szCs w:val="24"/>
          <w:lang w:eastAsia="it-IT"/>
        </w:rPr>
      </w:pPr>
      <w:r>
        <w:rPr>
          <w:rFonts w:ascii="Titillium" w:hAnsi="Titillium"/>
          <w:b/>
          <w:szCs w:val="24"/>
          <w:lang w:eastAsia="it-IT"/>
        </w:rPr>
      </w:r>
    </w:p>
    <w:p>
      <w:pPr>
        <w:pStyle w:val="Normal"/>
        <w:widowControl w:val="false"/>
        <w:spacing w:lineRule="atLeast" w:line="23"/>
        <w:rPr>
          <w:rFonts w:ascii="Titillium" w:hAnsi="Titillium"/>
          <w:b/>
          <w:szCs w:val="24"/>
          <w:lang w:eastAsia="it-IT"/>
        </w:rPr>
      </w:pPr>
      <w:r>
        <w:rPr>
          <w:rFonts w:ascii="Titillium" w:hAnsi="Titillium"/>
          <w:b/>
          <w:szCs w:val="24"/>
          <w:lang w:eastAsia="it-IT"/>
        </w:rPr>
      </w:r>
    </w:p>
    <w:p>
      <w:pPr>
        <w:pStyle w:val="Normal"/>
        <w:widowControl w:val="false"/>
        <w:spacing w:lineRule="atLeast" w:line="23"/>
        <w:ind w:left="567"/>
        <w:rPr>
          <w:rFonts w:ascii="Titillium" w:hAnsi="Titillium"/>
          <w:b/>
          <w:szCs w:val="24"/>
          <w:lang w:eastAsia="it-IT"/>
        </w:rPr>
      </w:pPr>
      <w:r>
        <w:rPr>
          <w:rFonts w:ascii="Titillium" w:hAnsi="Titillium"/>
          <w:b/>
          <w:szCs w:val="24"/>
          <w:lang w:eastAsia="it-IT"/>
        </w:rPr>
        <w:t>PROCEDURA APERTA PER L’AFFIDAMENTO DEL SERVIZIO DI TRASPORTO DI PARTI ANATOMICHE RICONOSCIBILI, FETI E TRASPORTO SALME/CADAVERI, ED ACCESSORI PER LE ESIGENZE DELL’AZIENDA USL DI BOLOGNA, DELL’IRCCS ISTITUTO ORTOPEDICO RIZZOLI DI BOLOGNA, DELL’IRCCS AZIENDA OSPEDALIERO-UNIVERSITARIA DI BOLOGNA</w:t>
      </w:r>
    </w:p>
    <w:p>
      <w:pPr>
        <w:pStyle w:val="Normal"/>
        <w:widowControl w:val="false"/>
        <w:spacing w:lineRule="atLeast" w:line="23"/>
        <w:ind w:left="567"/>
        <w:rPr>
          <w:rFonts w:ascii="Titillium" w:hAnsi="Titillium"/>
          <w:b/>
          <w:szCs w:val="24"/>
          <w:lang w:eastAsia="it-IT"/>
        </w:rPr>
      </w:pPr>
      <w:r>
        <w:rPr>
          <w:rFonts w:ascii="Titillium" w:hAnsi="Titillium"/>
          <w:b/>
          <w:szCs w:val="24"/>
          <w:lang w:eastAsia="it-IT"/>
        </w:rPr>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Importo totale a base d’asta € 407.800,00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AUSL Bo → € 66.000,00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AOU BO → € 304.300,00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IOR Bologna e Bagheria→ € 37.500,00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Oneri della sicurezza non soggetti a ribasso € 1.170,00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AUSL Bo → € 190,00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AOU BO → € 870,00 IVA esclusa</w:t>
      </w:r>
    </w:p>
    <w:p>
      <w:pPr>
        <w:pStyle w:val="Normal"/>
        <w:widowControl w:val="false"/>
        <w:spacing w:lineRule="atLeast" w:line="23"/>
        <w:ind w:left="567"/>
        <w:rPr>
          <w:rFonts w:ascii="Titillium" w:hAnsi="Titillium"/>
          <w:szCs w:val="24"/>
          <w:lang w:eastAsia="it-IT"/>
        </w:rPr>
      </w:pPr>
      <w:r>
        <w:rPr>
          <w:rFonts w:ascii="Titillium" w:hAnsi="Titillium"/>
          <w:szCs w:val="24"/>
          <w:lang w:eastAsia="it-IT"/>
        </w:rPr>
        <w:t>- IOR Bologna e Bagheria→ € 110,00 IVA esclusa</w:t>
      </w:r>
    </w:p>
    <w:p>
      <w:pPr>
        <w:pStyle w:val="Normal"/>
        <w:widowControl w:val="false"/>
        <w:spacing w:before="60" w:after="60"/>
        <w:ind w:left="567"/>
        <w:rPr>
          <w:rFonts w:ascii="Arial" w:hAnsi="Arial" w:cs="Arial"/>
          <w:b/>
          <w:i/>
          <w:sz w:val="22"/>
        </w:rPr>
      </w:pPr>
      <w:r>
        <w:rPr>
          <w:rFonts w:cs="Arial" w:ascii="Arial" w:hAnsi="Arial"/>
          <w:b/>
          <w:i/>
          <w:sz w:val="22"/>
        </w:rPr>
      </w:r>
    </w:p>
    <w:p>
      <w:pPr>
        <w:pStyle w:val="Normal"/>
        <w:widowControl w:val="false"/>
        <w:spacing w:before="60" w:after="60"/>
        <w:ind w:left="567"/>
        <w:rPr>
          <w:rFonts w:ascii="Arial" w:hAnsi="Arial" w:cs="Arial"/>
          <w:b/>
          <w:i/>
          <w:sz w:val="20"/>
          <w:szCs w:val="20"/>
        </w:rPr>
      </w:pPr>
      <w:r>
        <w:rPr>
          <w:rFonts w:cs="Arial" w:ascii="Arial" w:hAnsi="Arial"/>
          <w:b/>
          <w:i/>
          <w:sz w:val="20"/>
          <w:szCs w:val="20"/>
        </w:rPr>
        <w:t xml:space="preserve">Il presente documento è stato redatto in conformità al Bando-tipo n. 1/2023 aggiornato al decreto legislativo 31 dicembre 2024 n. 209 </w:t>
      </w:r>
      <w:r>
        <w:rPr>
          <w:rFonts w:cs="Calibri" w:ascii="Calibri" w:hAnsi="Calibri"/>
          <w:b/>
          <w:i/>
          <w:sz w:val="22"/>
          <w:szCs w:val="20"/>
          <w:lang w:eastAsia="it-IT"/>
        </w:rPr>
        <w:t xml:space="preserve">e al parere del Consiglio di Stato </w:t>
      </w:r>
      <w:r>
        <w:rPr>
          <w:rFonts w:cs="Calibri" w:ascii="Calibri" w:hAnsi="Calibri"/>
          <w:b/>
          <w:bCs/>
          <w:i/>
          <w:sz w:val="22"/>
          <w:szCs w:val="20"/>
          <w:lang w:eastAsia="it-IT"/>
        </w:rPr>
        <w:t>n. 61 del 13/01/2026. A</w:t>
      </w:r>
      <w:r>
        <w:rPr>
          <w:rFonts w:cs="Arial" w:ascii="Arial" w:hAnsi="Arial"/>
          <w:b/>
          <w:i/>
          <w:sz w:val="20"/>
          <w:szCs w:val="20"/>
        </w:rPr>
        <w:t xml:space="preserve">pprovato dal Consiglio dell’Autorità Nazionale Anticorruzione con delibera n. 365 del 16 settembre 2025 </w:t>
      </w:r>
      <w:r>
        <w:rPr>
          <w:rFonts w:cs="Calibri" w:ascii="Calibri" w:hAnsi="Calibri"/>
          <w:b/>
          <w:i/>
          <w:sz w:val="22"/>
          <w:szCs w:val="20"/>
          <w:lang w:eastAsia="it-IT"/>
        </w:rPr>
        <w:t>e modificato con delibera n. 148 del 1° aprile 2026</w:t>
      </w:r>
      <w:r>
        <w:rPr>
          <w:rFonts w:cs="Arial" w:ascii="Arial" w:hAnsi="Arial"/>
          <w:b/>
          <w:i/>
          <w:sz w:val="20"/>
          <w:szCs w:val="20"/>
        </w:rPr>
        <w:t>.</w:t>
      </w:r>
    </w:p>
    <w:p>
      <w:pPr>
        <w:pStyle w:val="Normal"/>
        <w:widowControl w:val="false"/>
        <w:spacing w:before="60" w:after="60"/>
        <w:jc w:val="left"/>
        <w:rPr>
          <w:rFonts w:ascii="Titillium" w:hAnsi="Titillium"/>
          <w:b/>
          <w:w w:val="66"/>
          <w:szCs w:val="24"/>
          <w:lang w:eastAsia="it-IT"/>
        </w:rPr>
      </w:pPr>
      <w:r>
        <w:rPr>
          <w:rFonts w:ascii="Titillium" w:hAnsi="Titillium"/>
          <w:sz w:val="18"/>
          <w:szCs w:val="18"/>
          <w:lang w:eastAsia="it-IT"/>
        </w:rPr>
        <w:t xml:space="preserve"> </w:t>
      </w:r>
      <w:r>
        <w:br w:type="page"/>
      </w:r>
    </w:p>
    <w:p>
      <w:pPr>
        <w:pStyle w:val="Normal"/>
        <w:spacing w:lineRule="auto" w:line="240" w:before="0" w:after="0"/>
        <w:jc w:val="left"/>
        <w:rPr>
          <w:rFonts w:ascii="Titillium" w:hAnsi="Titillium"/>
          <w:b/>
          <w:w w:val="66"/>
          <w:szCs w:val="24"/>
          <w:lang w:eastAsia="it-IT"/>
        </w:rPr>
      </w:pPr>
      <w:r>
        <w:rPr>
          <w:rFonts w:ascii="Titillium" w:hAnsi="Titillium"/>
          <w:b/>
          <w:w w:val="66"/>
          <w:szCs w:val="24"/>
          <w:lang w:eastAsia="it-IT"/>
        </w:rPr>
      </w:r>
    </w:p>
    <w:sdt>
      <w:sdtPr>
        <w:docPartObj>
          <w:docPartGallery w:val="Table of Contents"/>
          <w:docPartUnique w:val="true"/>
        </w:docPartObj>
      </w:sdtPr>
      <w:sdtContent>
        <w:p>
          <w:pPr>
            <w:pStyle w:val="TOC2"/>
            <w:rPr>
              <w:rFonts w:ascii="Aptos" w:hAnsi="Aptos" w:eastAsia="" w:cs="" w:asciiTheme="minorHAnsi" w:cstheme="minorBidi" w:eastAsiaTheme="minorEastAsia" w:hAnsiTheme="minorHAnsi"/>
              <w:caps w:val="false"/>
              <w:smallCaps w:val="false"/>
              <w:sz w:val="22"/>
              <w:szCs w:val="22"/>
              <w:lang w:eastAsia="it-IT"/>
            </w:rPr>
          </w:pPr>
          <w:r>
            <w:fldChar w:fldCharType="begin"/>
          </w:r>
          <w:r>
            <w:rPr>
              <w:rStyle w:val="Collegamentoindice"/>
              <w:rFonts w:eastAsia="" w:ascii="Titillium" w:hAnsi="Titillium"/>
              <w:b/>
              <w:bCs/>
              <w:caps w:val="false"/>
              <w:smallCaps w:val="false"/>
              <w:sz w:val="18"/>
              <w:szCs w:val="18"/>
            </w:rPr>
            <w:instrText xml:space="preserve"> TOC \o "1-3" \h</w:instrText>
          </w:r>
          <w:r>
            <w:rPr>
              <w:rStyle w:val="Collegamentoindice"/>
              <w:rFonts w:eastAsia="" w:ascii="Titillium" w:hAnsi="Titillium"/>
              <w:b/>
              <w:bCs/>
              <w:caps w:val="false"/>
              <w:smallCaps w:val="false"/>
              <w:sz w:val="18"/>
              <w:szCs w:val="18"/>
            </w:rPr>
            <w:fldChar w:fldCharType="separate"/>
          </w:r>
          <w:hyperlink w:anchor="_Toc231396650">
            <w:r>
              <w:rPr>
                <w:rStyle w:val="Collegamentoindice"/>
                <w:rFonts w:eastAsia="" w:ascii="Titillium" w:hAnsi="Titillium" w:eastAsiaTheme="majorEastAsia"/>
                <w:b/>
                <w:bCs/>
                <w:caps w:val="false"/>
                <w:smallCaps w:val="false"/>
                <w:sz w:val="18"/>
                <w:szCs w:val="18"/>
              </w:rPr>
              <w:t>PREMESSE</w:t>
            </w:r>
            <w:r>
              <w:rPr>
                <w:rStyle w:val="Collegamentoindice"/>
                <w:vanish w:val="false"/>
              </w:rPr>
              <w:tab/>
            </w:r>
            <w:r>
              <w:rPr>
                <w:webHidden/>
              </w:rPr>
              <w:fldChar w:fldCharType="begin"/>
            </w:r>
            <w:r>
              <w:rPr>
                <w:webHidden/>
              </w:rPr>
              <w:instrText xml:space="preserve">PAGEREF _Toc231396650 \h</w:instrText>
            </w:r>
            <w:r>
              <w:rPr>
                <w:webHidden/>
              </w:rPr>
              <w:fldChar w:fldCharType="separate"/>
            </w:r>
            <w:r>
              <w:rPr>
                <w:rStyle w:val="Collegamentoindice"/>
                <w:vanish/>
              </w:rPr>
              <w:t>4</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51">
            <w:r>
              <w:rPr>
                <w:rStyle w:val="Collegamentoindice"/>
                <w:rFonts w:eastAsia="" w:eastAsiaTheme="majorEastAsia"/>
                <w:b/>
                <w:caps/>
              </w:rPr>
              <w:t>1.</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PIATTAFORMA</w:t>
            </w:r>
            <w:r>
              <w:rPr>
                <w:rStyle w:val="Collegamentoindice"/>
                <w:vanish w:val="false"/>
              </w:rPr>
              <w:tab/>
            </w:r>
            <w:r>
              <w:rPr>
                <w:webHidden/>
              </w:rPr>
              <w:fldChar w:fldCharType="begin"/>
            </w:r>
            <w:r>
              <w:rPr>
                <w:webHidden/>
              </w:rPr>
              <w:instrText xml:space="preserve">PAGEREF _Toc231396651 \h</w:instrText>
            </w:r>
            <w:r>
              <w:rPr>
                <w:webHidden/>
              </w:rPr>
              <w:fldChar w:fldCharType="separate"/>
            </w:r>
            <w:r>
              <w:rPr>
                <w:rStyle w:val="Collegamentoindice"/>
                <w:vanish/>
              </w:rPr>
              <w:t>4</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2">
            <w:r>
              <w:rPr>
                <w:rStyle w:val="Collegamentoindice"/>
                <w:rFonts w:eastAsia="" w:ascii="Titillium" w:hAnsi="Titillium" w:eastAsiaTheme="majorEastAsia"/>
                <w:caps/>
              </w:rPr>
              <w:t>1.1.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LA PIATTAFORMA DI APPROVVIGIONAMENTO DIGITALE (PAD)</w:t>
            </w:r>
            <w:r>
              <w:rPr>
                <w:rStyle w:val="Collegamentoindice"/>
                <w:vanish w:val="false"/>
              </w:rPr>
              <w:tab/>
            </w:r>
            <w:r>
              <w:rPr>
                <w:webHidden/>
              </w:rPr>
              <w:fldChar w:fldCharType="begin"/>
            </w:r>
            <w:r>
              <w:rPr>
                <w:webHidden/>
              </w:rPr>
              <w:instrText xml:space="preserve">PAGEREF _Toc231396652 \h</w:instrText>
            </w:r>
            <w:r>
              <w:rPr>
                <w:webHidden/>
              </w:rPr>
              <w:fldChar w:fldCharType="separate"/>
            </w:r>
            <w:r>
              <w:rPr>
                <w:rStyle w:val="Collegamentoindice"/>
                <w:vanish/>
              </w:rPr>
              <w:t>4</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3">
            <w:r>
              <w:rPr>
                <w:rStyle w:val="Collegamentoindice"/>
                <w:rFonts w:eastAsia="" w:ascii="Titillium" w:hAnsi="Titillium" w:eastAsiaTheme="majorEastAsia"/>
                <w:caps/>
              </w:rPr>
              <w:t>1.2.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DOTAZIONI TECNICHE</w:t>
            </w:r>
            <w:r>
              <w:rPr>
                <w:rStyle w:val="Collegamentoindice"/>
                <w:vanish w:val="false"/>
              </w:rPr>
              <w:tab/>
            </w:r>
            <w:r>
              <w:rPr>
                <w:webHidden/>
              </w:rPr>
              <w:fldChar w:fldCharType="begin"/>
            </w:r>
            <w:r>
              <w:rPr>
                <w:webHidden/>
              </w:rPr>
              <w:instrText xml:space="preserve">PAGEREF _Toc231396653 \h</w:instrText>
            </w:r>
            <w:r>
              <w:rPr>
                <w:webHidden/>
              </w:rPr>
              <w:fldChar w:fldCharType="separate"/>
            </w:r>
            <w:r>
              <w:rPr>
                <w:rStyle w:val="Collegamentoindice"/>
                <w:vanish/>
              </w:rPr>
              <w:t>5</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4">
            <w:r>
              <w:rPr>
                <w:rStyle w:val="Collegamentoindice"/>
                <w:rFonts w:eastAsia="" w:ascii="Titillium" w:hAnsi="Titillium" w:eastAsiaTheme="majorEastAsia"/>
                <w:caps/>
              </w:rPr>
              <w:t>1.3.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IDENTIFICAZIONE</w:t>
            </w:r>
            <w:r>
              <w:rPr>
                <w:rStyle w:val="Collegamentoindice"/>
                <w:vanish w:val="false"/>
              </w:rPr>
              <w:tab/>
            </w:r>
            <w:r>
              <w:rPr>
                <w:webHidden/>
              </w:rPr>
              <w:fldChar w:fldCharType="begin"/>
            </w:r>
            <w:r>
              <w:rPr>
                <w:webHidden/>
              </w:rPr>
              <w:instrText xml:space="preserve">PAGEREF _Toc231396654 \h</w:instrText>
            </w:r>
            <w:r>
              <w:rPr>
                <w:webHidden/>
              </w:rPr>
              <w:fldChar w:fldCharType="separate"/>
            </w:r>
            <w:r>
              <w:rPr>
                <w:rStyle w:val="Collegamentoindice"/>
                <w:vanish/>
              </w:rPr>
              <w:t>6</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55">
            <w:r>
              <w:rPr>
                <w:rStyle w:val="Collegamentoindice"/>
                <w:rFonts w:eastAsia="" w:eastAsiaTheme="majorEastAsia"/>
                <w:b/>
                <w:caps/>
              </w:rPr>
              <w:t>2.</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DOCUMENTAZIONE DI GARA, CHIARIMENTI E COMUNICAZIONI</w:t>
            </w:r>
            <w:r>
              <w:rPr>
                <w:rStyle w:val="Collegamentoindice"/>
                <w:vanish w:val="false"/>
              </w:rPr>
              <w:tab/>
            </w:r>
            <w:r>
              <w:rPr>
                <w:webHidden/>
              </w:rPr>
              <w:fldChar w:fldCharType="begin"/>
            </w:r>
            <w:r>
              <w:rPr>
                <w:webHidden/>
              </w:rPr>
              <w:instrText xml:space="preserve">PAGEREF _Toc231396655 \h</w:instrText>
            </w:r>
            <w:r>
              <w:rPr>
                <w:webHidden/>
              </w:rPr>
              <w:fldChar w:fldCharType="separate"/>
            </w:r>
            <w:r>
              <w:rPr>
                <w:rStyle w:val="Collegamentoindice"/>
                <w:vanish/>
              </w:rPr>
              <w:t>6</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6">
            <w:r>
              <w:rPr>
                <w:rStyle w:val="Collegamentoindice"/>
                <w:rFonts w:eastAsia="" w:ascii="Titillium" w:hAnsi="Titillium" w:eastAsiaTheme="majorEastAsia"/>
              </w:rPr>
              <w:t>2.1.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DOCUMENTI DI GARA</w:t>
            </w:r>
            <w:r>
              <w:rPr>
                <w:rStyle w:val="Collegamentoindice"/>
                <w:vanish w:val="false"/>
              </w:rPr>
              <w:tab/>
            </w:r>
            <w:r>
              <w:rPr>
                <w:webHidden/>
              </w:rPr>
              <w:fldChar w:fldCharType="begin"/>
            </w:r>
            <w:r>
              <w:rPr>
                <w:webHidden/>
              </w:rPr>
              <w:instrText xml:space="preserve">PAGEREF _Toc231396656 \h</w:instrText>
            </w:r>
            <w:r>
              <w:rPr>
                <w:webHidden/>
              </w:rPr>
              <w:fldChar w:fldCharType="separate"/>
            </w:r>
            <w:r>
              <w:rPr>
                <w:rStyle w:val="Collegamentoindice"/>
                <w:vanish/>
              </w:rPr>
              <w:t>6</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7">
            <w:r>
              <w:rPr>
                <w:rStyle w:val="Collegamentoindice"/>
                <w:rFonts w:eastAsia="" w:ascii="Titillium" w:hAnsi="Titillium" w:eastAsiaTheme="majorEastAsia"/>
              </w:rPr>
              <w:t>2.2.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CHIARIMENTI</w:t>
            </w:r>
            <w:r>
              <w:rPr>
                <w:rStyle w:val="Collegamentoindice"/>
                <w:vanish w:val="false"/>
              </w:rPr>
              <w:tab/>
            </w:r>
            <w:r>
              <w:rPr>
                <w:webHidden/>
              </w:rPr>
              <w:fldChar w:fldCharType="begin"/>
            </w:r>
            <w:r>
              <w:rPr>
                <w:webHidden/>
              </w:rPr>
              <w:instrText xml:space="preserve">PAGEREF _Toc231396657 \h</w:instrText>
            </w:r>
            <w:r>
              <w:rPr>
                <w:webHidden/>
              </w:rPr>
              <w:fldChar w:fldCharType="separate"/>
            </w:r>
            <w:r>
              <w:rPr>
                <w:rStyle w:val="Collegamentoindice"/>
                <w:vanish/>
              </w:rPr>
              <w:t>7</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58">
            <w:r>
              <w:rPr>
                <w:rStyle w:val="Collegamentoindice"/>
                <w:rFonts w:eastAsia="" w:ascii="Titillium" w:hAnsi="Titillium" w:eastAsiaTheme="majorEastAsia"/>
                <w:caps/>
              </w:rPr>
              <w:t>2.3.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COMUNICAZIONI</w:t>
            </w:r>
            <w:r>
              <w:rPr>
                <w:rStyle w:val="Collegamentoindice"/>
                <w:vanish w:val="false"/>
              </w:rPr>
              <w:tab/>
            </w:r>
            <w:r>
              <w:rPr>
                <w:webHidden/>
              </w:rPr>
              <w:fldChar w:fldCharType="begin"/>
            </w:r>
            <w:r>
              <w:rPr>
                <w:webHidden/>
              </w:rPr>
              <w:instrText xml:space="preserve">PAGEREF _Toc231396658 \h</w:instrText>
            </w:r>
            <w:r>
              <w:rPr>
                <w:webHidden/>
              </w:rPr>
              <w:fldChar w:fldCharType="separate"/>
            </w:r>
            <w:r>
              <w:rPr>
                <w:rStyle w:val="Collegamentoindice"/>
                <w:vanish/>
              </w:rPr>
              <w:t>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59">
            <w:r>
              <w:rPr>
                <w:rStyle w:val="Collegamentoindice"/>
                <w:rFonts w:eastAsia="" w:eastAsiaTheme="majorEastAsia"/>
                <w:b/>
              </w:rPr>
              <w:t>3.</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OGGETTO DELL’APPALTO</w:t>
            </w:r>
            <w:r>
              <w:rPr>
                <w:rStyle w:val="Collegamentoindice"/>
                <w:vanish w:val="false"/>
              </w:rPr>
              <w:tab/>
            </w:r>
            <w:r>
              <w:rPr>
                <w:webHidden/>
              </w:rPr>
              <w:fldChar w:fldCharType="begin"/>
            </w:r>
            <w:r>
              <w:rPr>
                <w:webHidden/>
              </w:rPr>
              <w:instrText xml:space="preserve">PAGEREF _Toc231396659 \h</w:instrText>
            </w:r>
            <w:r>
              <w:rPr>
                <w:webHidden/>
              </w:rPr>
              <w:fldChar w:fldCharType="separate"/>
            </w:r>
            <w:r>
              <w:rPr>
                <w:rStyle w:val="Collegamentoindice"/>
                <w:vanish/>
              </w:rPr>
              <w:t>8</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0">
            <w:r>
              <w:rPr>
                <w:rStyle w:val="Collegamentoindice"/>
                <w:rFonts w:eastAsia="" w:ascii="Titillium" w:hAnsi="Titillium" w:eastAsiaTheme="majorEastAsia"/>
              </w:rPr>
              <w:t>3.1.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DURATA</w:t>
            </w:r>
            <w:r>
              <w:rPr>
                <w:rStyle w:val="Collegamentoindice"/>
                <w:vanish w:val="false"/>
              </w:rPr>
              <w:tab/>
            </w:r>
            <w:r>
              <w:rPr>
                <w:webHidden/>
              </w:rPr>
              <w:fldChar w:fldCharType="begin"/>
            </w:r>
            <w:r>
              <w:rPr>
                <w:webHidden/>
              </w:rPr>
              <w:instrText xml:space="preserve">PAGEREF _Toc231396660 \h</w:instrText>
            </w:r>
            <w:r>
              <w:rPr>
                <w:webHidden/>
              </w:rPr>
              <w:fldChar w:fldCharType="separate"/>
            </w:r>
            <w:r>
              <w:rPr>
                <w:rStyle w:val="Collegamentoindice"/>
                <w:vanish/>
              </w:rPr>
              <w:t>8</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1">
            <w:r>
              <w:rPr>
                <w:rStyle w:val="Collegamentoindice"/>
                <w:rFonts w:eastAsia="" w:ascii="Titillium" w:hAnsi="Titillium" w:eastAsiaTheme="majorEastAsia"/>
                <w:b/>
                <w:bCs/>
              </w:rPr>
              <w:t>3.2.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REVISIONE PREZZI</w:t>
            </w:r>
            <w:r>
              <w:rPr>
                <w:rStyle w:val="Collegamentoindice"/>
                <w:vanish w:val="false"/>
              </w:rPr>
              <w:tab/>
            </w:r>
            <w:r>
              <w:rPr>
                <w:webHidden/>
              </w:rPr>
              <w:fldChar w:fldCharType="begin"/>
            </w:r>
            <w:r>
              <w:rPr>
                <w:webHidden/>
              </w:rPr>
              <w:instrText xml:space="preserve">PAGEREF _Toc231396661 \h</w:instrText>
            </w:r>
            <w:r>
              <w:rPr>
                <w:webHidden/>
              </w:rPr>
              <w:fldChar w:fldCharType="separate"/>
            </w:r>
            <w:r>
              <w:rPr>
                <w:rStyle w:val="Collegamentoindice"/>
                <w:vanish/>
              </w:rPr>
              <w:t>9</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2">
            <w:r>
              <w:rPr>
                <w:rStyle w:val="Collegamentoindice"/>
                <w:rFonts w:eastAsia="" w:ascii="Titillium" w:hAnsi="Titillium" w:eastAsiaTheme="majorEastAsia"/>
              </w:rPr>
              <w:t>3.3.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MODIFICA DEL CONTRATTO IN FASE DI ESECUZIONE</w:t>
            </w:r>
            <w:r>
              <w:rPr>
                <w:rStyle w:val="Collegamentoindice"/>
                <w:vanish w:val="false"/>
              </w:rPr>
              <w:tab/>
            </w:r>
            <w:r>
              <w:rPr>
                <w:webHidden/>
              </w:rPr>
              <w:fldChar w:fldCharType="begin"/>
            </w:r>
            <w:r>
              <w:rPr>
                <w:webHidden/>
              </w:rPr>
              <w:instrText xml:space="preserve">PAGEREF _Toc231396662 \h</w:instrText>
            </w:r>
            <w:r>
              <w:rPr>
                <w:webHidden/>
              </w:rPr>
              <w:fldChar w:fldCharType="separate"/>
            </w:r>
            <w:r>
              <w:rPr>
                <w:rStyle w:val="Collegamentoindice"/>
                <w:vanish/>
              </w:rPr>
              <w:t>9</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63">
            <w:r>
              <w:rPr>
                <w:rStyle w:val="Collegamentoindice"/>
                <w:rFonts w:eastAsia="" w:eastAsiaTheme="majorEastAsia"/>
                <w:b/>
                <w:iCs/>
              </w:rPr>
              <w:t>4.</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SOGGETTI AMMESSI IN FORMA SINGOLA E ASSOCIATA E CONDIZIONI DI PARTECIPAZIONE</w:t>
            </w:r>
            <w:r>
              <w:rPr>
                <w:rStyle w:val="Collegamentoindice"/>
                <w:vanish w:val="false"/>
              </w:rPr>
              <w:tab/>
            </w:r>
            <w:r>
              <w:rPr>
                <w:webHidden/>
              </w:rPr>
              <w:fldChar w:fldCharType="begin"/>
            </w:r>
            <w:r>
              <w:rPr>
                <w:webHidden/>
              </w:rPr>
              <w:instrText xml:space="preserve">PAGEREF _Toc231396663 \h</w:instrText>
            </w:r>
            <w:r>
              <w:rPr>
                <w:webHidden/>
              </w:rPr>
              <w:fldChar w:fldCharType="separate"/>
            </w:r>
            <w:r>
              <w:rPr>
                <w:rStyle w:val="Collegamentoindice"/>
                <w:vanish/>
              </w:rPr>
              <w:t>10</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64">
            <w:r>
              <w:rPr>
                <w:rStyle w:val="Collegamentoindice"/>
                <w:rFonts w:eastAsia="" w:eastAsiaTheme="majorEastAsia"/>
                <w:b/>
              </w:rPr>
              <w:t>5.</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REQUISITI DI ORDINE GENERALE E ALTRE CAUSE DI ESCLUSIONE</w:t>
            </w:r>
            <w:r>
              <w:rPr>
                <w:rStyle w:val="Collegamentoindice"/>
                <w:vanish w:val="false"/>
              </w:rPr>
              <w:tab/>
            </w:r>
            <w:r>
              <w:rPr>
                <w:webHidden/>
              </w:rPr>
              <w:fldChar w:fldCharType="begin"/>
            </w:r>
            <w:r>
              <w:rPr>
                <w:webHidden/>
              </w:rPr>
              <w:instrText xml:space="preserve">PAGEREF _Toc231396664 \h</w:instrText>
            </w:r>
            <w:r>
              <w:rPr>
                <w:webHidden/>
              </w:rPr>
              <w:fldChar w:fldCharType="separate"/>
            </w:r>
            <w:r>
              <w:rPr>
                <w:rStyle w:val="Collegamentoindice"/>
                <w:vanish/>
              </w:rPr>
              <w:t>11</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65">
            <w:r>
              <w:rPr>
                <w:rStyle w:val="Collegamentoindice"/>
                <w:rFonts w:eastAsia="" w:eastAsiaTheme="majorEastAsia"/>
                <w:b/>
              </w:rPr>
              <w:t>6.</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REQUISITI DI ORDINE SPECIALE E MEZZI DI PROVA</w:t>
            </w:r>
            <w:r>
              <w:rPr>
                <w:rStyle w:val="Collegamentoindice"/>
                <w:vanish w:val="false"/>
              </w:rPr>
              <w:tab/>
            </w:r>
            <w:r>
              <w:rPr>
                <w:webHidden/>
              </w:rPr>
              <w:fldChar w:fldCharType="begin"/>
            </w:r>
            <w:r>
              <w:rPr>
                <w:webHidden/>
              </w:rPr>
              <w:instrText xml:space="preserve">PAGEREF _Toc231396665 \h</w:instrText>
            </w:r>
            <w:r>
              <w:rPr>
                <w:webHidden/>
              </w:rPr>
              <w:fldChar w:fldCharType="separate"/>
            </w:r>
            <w:r>
              <w:rPr>
                <w:rStyle w:val="Collegamentoindice"/>
                <w:vanish/>
              </w:rPr>
              <w:t>12</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6">
            <w:r>
              <w:rPr>
                <w:rStyle w:val="Collegamentoindice"/>
                <w:rFonts w:eastAsia="" w:ascii="Titillium" w:hAnsi="Titillium" w:eastAsiaTheme="majorEastAsia"/>
              </w:rPr>
              <w:t>6.1.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REQUISITI DI IDONEITÀ PROFESSIONALE</w:t>
            </w:r>
            <w:r>
              <w:rPr>
                <w:rStyle w:val="Collegamentoindice"/>
                <w:vanish w:val="false"/>
              </w:rPr>
              <w:tab/>
            </w:r>
            <w:r>
              <w:rPr>
                <w:webHidden/>
              </w:rPr>
              <w:fldChar w:fldCharType="begin"/>
            </w:r>
            <w:r>
              <w:rPr>
                <w:webHidden/>
              </w:rPr>
              <w:instrText xml:space="preserve">PAGEREF _Toc231396666 \h</w:instrText>
            </w:r>
            <w:r>
              <w:rPr>
                <w:webHidden/>
              </w:rPr>
              <w:fldChar w:fldCharType="separate"/>
            </w:r>
            <w:r>
              <w:rPr>
                <w:rStyle w:val="Collegamentoindice"/>
                <w:vanish/>
              </w:rPr>
              <w:t>12</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7">
            <w:r>
              <w:rPr>
                <w:rStyle w:val="Collegamentoindice"/>
                <w:rFonts w:eastAsia="" w:ascii="Titillium" w:hAnsi="Titillium" w:eastAsiaTheme="majorEastAsia"/>
              </w:rPr>
              <w:t>6.2.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REQUISITI DI CAPACITÀ ECONOMICA E FINANZIARIA</w:t>
            </w:r>
            <w:r>
              <w:rPr>
                <w:rStyle w:val="Collegamentoindice"/>
                <w:vanish w:val="false"/>
              </w:rPr>
              <w:tab/>
            </w:r>
            <w:r>
              <w:rPr>
                <w:webHidden/>
              </w:rPr>
              <w:fldChar w:fldCharType="begin"/>
            </w:r>
            <w:r>
              <w:rPr>
                <w:webHidden/>
              </w:rPr>
              <w:instrText xml:space="preserve">PAGEREF _Toc231396667 \h</w:instrText>
            </w:r>
            <w:r>
              <w:rPr>
                <w:webHidden/>
              </w:rPr>
              <w:fldChar w:fldCharType="separate"/>
            </w:r>
            <w:r>
              <w:rPr>
                <w:rStyle w:val="Collegamentoindice"/>
                <w:vanish/>
              </w:rPr>
              <w:t>12</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8">
            <w:r>
              <w:rPr>
                <w:rStyle w:val="Collegamentoindice"/>
                <w:rFonts w:eastAsia="" w:ascii="Titillium" w:hAnsi="Titillium" w:eastAsiaTheme="majorEastAsia"/>
              </w:rPr>
              <w:t>6.3.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REQUISITI DI CAPACITÀ TECNICA E PROFESSIONALE</w:t>
            </w:r>
            <w:r>
              <w:rPr>
                <w:rStyle w:val="Collegamentoindice"/>
                <w:vanish w:val="false"/>
              </w:rPr>
              <w:tab/>
            </w:r>
            <w:r>
              <w:rPr>
                <w:webHidden/>
              </w:rPr>
              <w:fldChar w:fldCharType="begin"/>
            </w:r>
            <w:r>
              <w:rPr>
                <w:webHidden/>
              </w:rPr>
              <w:instrText xml:space="preserve">PAGEREF _Toc231396668 \h</w:instrText>
            </w:r>
            <w:r>
              <w:rPr>
                <w:webHidden/>
              </w:rPr>
              <w:fldChar w:fldCharType="separate"/>
            </w:r>
            <w:r>
              <w:rPr>
                <w:rStyle w:val="Collegamentoindice"/>
                <w:vanish/>
              </w:rPr>
              <w:t>13</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69">
            <w:r>
              <w:rPr>
                <w:rStyle w:val="Collegamentoindice"/>
                <w:rFonts w:eastAsia="" w:ascii="Titillium" w:hAnsi="Titillium" w:eastAsiaTheme="majorEastAsia"/>
                <w:caps/>
              </w:rPr>
              <w:t>6.4.</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INDICAZIONI SUI REQUISITI SPECIALI NEI RAGGRUPPAMENTI TEMPORANEI, CONSORZI ORDINARI, AGGREGAZIONI DI IMPRESE DI RETE, GEIE</w:t>
            </w:r>
            <w:r>
              <w:rPr>
                <w:rStyle w:val="Collegamentoindice"/>
                <w:vanish w:val="false"/>
              </w:rPr>
              <w:tab/>
            </w:r>
            <w:r>
              <w:rPr>
                <w:webHidden/>
              </w:rPr>
              <w:fldChar w:fldCharType="begin"/>
            </w:r>
            <w:r>
              <w:rPr>
                <w:webHidden/>
              </w:rPr>
              <w:instrText xml:space="preserve">PAGEREF _Toc231396669 \h</w:instrText>
            </w:r>
            <w:r>
              <w:rPr>
                <w:webHidden/>
              </w:rPr>
              <w:fldChar w:fldCharType="separate"/>
            </w:r>
            <w:r>
              <w:rPr>
                <w:rStyle w:val="Collegamentoindice"/>
                <w:vanish/>
              </w:rPr>
              <w:t>13</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70">
            <w:r>
              <w:rPr>
                <w:rStyle w:val="Collegamentoindice"/>
                <w:rFonts w:eastAsia="" w:ascii="Titillium" w:hAnsi="Titillium" w:eastAsiaTheme="majorEastAsia"/>
                <w:caps/>
              </w:rPr>
              <w:t>6.5.</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INDICAZIONI SUI REQUISITI SPECIALI NEI CONSORZI DI COOPERATIVE, CONSORZI DI IMPRESE ARTIGIANE, CONSORZI STABILI</w:t>
            </w:r>
            <w:r>
              <w:rPr>
                <w:rStyle w:val="Collegamentoindice"/>
                <w:vanish w:val="false"/>
              </w:rPr>
              <w:tab/>
            </w:r>
            <w:r>
              <w:rPr>
                <w:webHidden/>
              </w:rPr>
              <w:fldChar w:fldCharType="begin"/>
            </w:r>
            <w:r>
              <w:rPr>
                <w:webHidden/>
              </w:rPr>
              <w:instrText xml:space="preserve">PAGEREF _Toc231396670 \h</w:instrText>
            </w:r>
            <w:r>
              <w:rPr>
                <w:webHidden/>
              </w:rPr>
              <w:fldChar w:fldCharType="separate"/>
            </w:r>
            <w:r>
              <w:rPr>
                <w:rStyle w:val="Collegamentoindice"/>
                <w:vanish/>
              </w:rPr>
              <w:t>13</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1">
            <w:r>
              <w:rPr>
                <w:rStyle w:val="Collegamentoindice"/>
                <w:rFonts w:eastAsia="" w:eastAsiaTheme="majorEastAsia"/>
                <w:b/>
              </w:rPr>
              <w:t>7.</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AVVALIMENTO</w:t>
            </w:r>
            <w:r>
              <w:rPr>
                <w:rStyle w:val="Collegamentoindice"/>
                <w:vanish w:val="false"/>
              </w:rPr>
              <w:tab/>
            </w:r>
            <w:r>
              <w:rPr>
                <w:webHidden/>
              </w:rPr>
              <w:fldChar w:fldCharType="begin"/>
            </w:r>
            <w:r>
              <w:rPr>
                <w:webHidden/>
              </w:rPr>
              <w:instrText xml:space="preserve">PAGEREF _Toc231396671 \h</w:instrText>
            </w:r>
            <w:r>
              <w:rPr>
                <w:webHidden/>
              </w:rPr>
              <w:fldChar w:fldCharType="separate"/>
            </w:r>
            <w:r>
              <w:rPr>
                <w:rStyle w:val="Collegamentoindice"/>
                <w:vanish/>
              </w:rPr>
              <w:t>13</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2">
            <w:r>
              <w:rPr>
                <w:rStyle w:val="Collegamentoindice"/>
                <w:rFonts w:eastAsia="" w:eastAsiaTheme="majorEastAsia"/>
                <w:b/>
              </w:rPr>
              <w:t>8.</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SUBAPPALTO</w:t>
            </w:r>
            <w:r>
              <w:rPr>
                <w:rStyle w:val="Collegamentoindice"/>
                <w:vanish w:val="false"/>
              </w:rPr>
              <w:tab/>
            </w:r>
            <w:r>
              <w:rPr>
                <w:webHidden/>
              </w:rPr>
              <w:fldChar w:fldCharType="begin"/>
            </w:r>
            <w:r>
              <w:rPr>
                <w:webHidden/>
              </w:rPr>
              <w:instrText xml:space="preserve">PAGEREF _Toc231396672 \h</w:instrText>
            </w:r>
            <w:r>
              <w:rPr>
                <w:webHidden/>
              </w:rPr>
              <w:fldChar w:fldCharType="separate"/>
            </w:r>
            <w:r>
              <w:rPr>
                <w:rStyle w:val="Collegamentoindice"/>
                <w:vanish/>
              </w:rPr>
              <w:t>14</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3">
            <w:r>
              <w:rPr>
                <w:rStyle w:val="Collegamentoindice"/>
                <w:rFonts w:eastAsia="" w:cs="Calibri" w:eastAsiaTheme="majorEastAsia"/>
                <w:b/>
              </w:rPr>
              <w:t>9.</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REQUISITI DI PARTECIPAZIONE E/O CONDIZIONI DI ESECUZIONE</w:t>
            </w:r>
            <w:r>
              <w:rPr>
                <w:rStyle w:val="Collegamentoindice"/>
                <w:vanish w:val="false"/>
              </w:rPr>
              <w:tab/>
            </w:r>
            <w:r>
              <w:rPr>
                <w:webHidden/>
              </w:rPr>
              <w:fldChar w:fldCharType="begin"/>
            </w:r>
            <w:r>
              <w:rPr>
                <w:webHidden/>
              </w:rPr>
              <w:instrText xml:space="preserve">PAGEREF _Toc231396673 \h</w:instrText>
            </w:r>
            <w:r>
              <w:rPr>
                <w:webHidden/>
              </w:rPr>
              <w:fldChar w:fldCharType="separate"/>
            </w:r>
            <w:r>
              <w:rPr>
                <w:rStyle w:val="Collegamentoindice"/>
                <w:vanish/>
              </w:rPr>
              <w:t>14</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74">
            <w:r>
              <w:rPr>
                <w:rStyle w:val="Collegamentoindice"/>
                <w:rFonts w:eastAsia="" w:ascii="Titillium" w:hAnsi="Titillium" w:eastAsiaTheme="majorEastAsia"/>
              </w:rPr>
              <w:t>9.1 SOVVENZIONI ESTERE DISTORSIVE</w:t>
            </w:r>
            <w:r>
              <w:rPr>
                <w:rStyle w:val="Collegamentoindice"/>
                <w:vanish w:val="false"/>
              </w:rPr>
              <w:tab/>
            </w:r>
            <w:r>
              <w:rPr>
                <w:webHidden/>
              </w:rPr>
              <w:fldChar w:fldCharType="begin"/>
            </w:r>
            <w:r>
              <w:rPr>
                <w:webHidden/>
              </w:rPr>
              <w:instrText xml:space="preserve">PAGEREF _Toc231396674 \h</w:instrText>
            </w:r>
            <w:r>
              <w:rPr>
                <w:webHidden/>
              </w:rPr>
              <w:fldChar w:fldCharType="separate"/>
            </w:r>
            <w:r>
              <w:rPr>
                <w:rStyle w:val="Collegamentoindice"/>
                <w:vanish/>
              </w:rPr>
              <w:t>15</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5">
            <w:r>
              <w:rPr>
                <w:rStyle w:val="Collegamentoindice"/>
                <w:rFonts w:eastAsia="" w:eastAsiaTheme="majorEastAsia"/>
                <w:b/>
              </w:rPr>
              <w:t>10.</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GARANZIA PROVVISORIA</w:t>
            </w:r>
            <w:r>
              <w:rPr>
                <w:rStyle w:val="Collegamentoindice"/>
                <w:vanish w:val="false"/>
              </w:rPr>
              <w:tab/>
            </w:r>
            <w:r>
              <w:rPr>
                <w:webHidden/>
              </w:rPr>
              <w:fldChar w:fldCharType="begin"/>
            </w:r>
            <w:r>
              <w:rPr>
                <w:webHidden/>
              </w:rPr>
              <w:instrText xml:space="preserve">PAGEREF _Toc231396675 \h</w:instrText>
            </w:r>
            <w:r>
              <w:rPr>
                <w:webHidden/>
              </w:rPr>
              <w:fldChar w:fldCharType="separate"/>
            </w:r>
            <w:r>
              <w:rPr>
                <w:rStyle w:val="Collegamentoindice"/>
                <w:vanish/>
              </w:rPr>
              <w:t>15</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6">
            <w:r>
              <w:rPr>
                <w:rStyle w:val="Collegamentoindice"/>
                <w:rFonts w:eastAsia="" w:eastAsiaTheme="majorEastAsia"/>
                <w:b/>
              </w:rPr>
              <w:t>11.</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SOPRALLUOGO</w:t>
            </w:r>
            <w:r>
              <w:rPr>
                <w:rStyle w:val="Collegamentoindice"/>
                <w:vanish w:val="false"/>
              </w:rPr>
              <w:tab/>
            </w:r>
            <w:r>
              <w:rPr>
                <w:webHidden/>
              </w:rPr>
              <w:fldChar w:fldCharType="begin"/>
            </w:r>
            <w:r>
              <w:rPr>
                <w:webHidden/>
              </w:rPr>
              <w:instrText xml:space="preserve">PAGEREF _Toc231396676 \h</w:instrText>
            </w:r>
            <w:r>
              <w:rPr>
                <w:webHidden/>
              </w:rPr>
              <w:fldChar w:fldCharType="separate"/>
            </w:r>
            <w:r>
              <w:rPr>
                <w:rStyle w:val="Collegamentoindice"/>
                <w:vanish/>
              </w:rPr>
              <w:t>17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7">
            <w:r>
              <w:rPr>
                <w:rStyle w:val="Collegamentoindice"/>
                <w:rFonts w:eastAsia="" w:eastAsiaTheme="majorEastAsia"/>
                <w:b/>
              </w:rPr>
              <w:t>12.</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PAGAMENTO DEL CONTRIBUTO A FAVORE DELL’</w:t>
            </w:r>
            <w:r>
              <w:rPr>
                <w:rStyle w:val="Collegamentoindice"/>
                <w:rFonts w:eastAsia="" w:cs="Calibri" w:eastAsiaTheme="majorEastAsia"/>
              </w:rPr>
              <w:t>ANAC</w:t>
            </w:r>
            <w:r>
              <w:rPr>
                <w:rStyle w:val="Collegamentoindice"/>
                <w:vanish w:val="false"/>
              </w:rPr>
              <w:tab/>
            </w:r>
            <w:r>
              <w:rPr>
                <w:webHidden/>
              </w:rPr>
              <w:fldChar w:fldCharType="begin"/>
            </w:r>
            <w:r>
              <w:rPr>
                <w:webHidden/>
              </w:rPr>
              <w:instrText xml:space="preserve">PAGEREF _Toc231396677 \h</w:instrText>
            </w:r>
            <w:r>
              <w:rPr>
                <w:webHidden/>
              </w:rPr>
              <w:fldChar w:fldCharType="separate"/>
            </w:r>
            <w:r>
              <w:rPr>
                <w:rStyle w:val="Collegamentoindice"/>
                <w:vanish/>
              </w:rPr>
              <w:t>17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78">
            <w:r>
              <w:rPr>
                <w:rStyle w:val="Collegamentoindice"/>
                <w:rFonts w:eastAsia="" w:eastAsiaTheme="majorEastAsia"/>
                <w:b/>
              </w:rPr>
              <w:t>13.</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MODALITÀ DI PRESENTAZIONE DELL’OFFERTA E SOTTOSCRIZIONE DEI DOCUMENTI DI GARA</w:t>
            </w:r>
            <w:r>
              <w:rPr>
                <w:rStyle w:val="Collegamentoindice"/>
                <w:vanish w:val="false"/>
              </w:rPr>
              <w:tab/>
            </w:r>
            <w:r>
              <w:rPr>
                <w:webHidden/>
              </w:rPr>
              <w:fldChar w:fldCharType="begin"/>
            </w:r>
            <w:r>
              <w:rPr>
                <w:webHidden/>
              </w:rPr>
              <w:instrText xml:space="preserve">PAGEREF _Toc231396678 \h</w:instrText>
            </w:r>
            <w:r>
              <w:rPr>
                <w:webHidden/>
              </w:rPr>
              <w:fldChar w:fldCharType="separate"/>
            </w:r>
            <w:r>
              <w:rPr>
                <w:rStyle w:val="Collegamentoindice"/>
                <w:vanish/>
              </w:rPr>
              <w:t>18</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79">
            <w:r>
              <w:rPr>
                <w:rStyle w:val="Collegamentoindice"/>
                <w:rFonts w:eastAsia="" w:ascii="Titillium" w:hAnsi="Titillium" w:eastAsiaTheme="majorEastAsia"/>
              </w:rPr>
              <w:t>13.1.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REGOLE PER LA PRESENTAZIONE DELL’OFFERTA</w:t>
            </w:r>
            <w:r>
              <w:rPr>
                <w:rStyle w:val="Collegamentoindice"/>
                <w:vanish w:val="false"/>
              </w:rPr>
              <w:tab/>
            </w:r>
            <w:r>
              <w:rPr>
                <w:webHidden/>
              </w:rPr>
              <w:fldChar w:fldCharType="begin"/>
            </w:r>
            <w:r>
              <w:rPr>
                <w:webHidden/>
              </w:rPr>
              <w:instrText xml:space="preserve">PAGEREF _Toc231396679 \h</w:instrText>
            </w:r>
            <w:r>
              <w:rPr>
                <w:webHidden/>
              </w:rPr>
              <w:fldChar w:fldCharType="separate"/>
            </w:r>
            <w:r>
              <w:rPr>
                <w:rStyle w:val="Collegamentoindice"/>
                <w:vanish/>
              </w:rPr>
              <w:t>18</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80">
            <w:r>
              <w:rPr>
                <w:rStyle w:val="Collegamentoindice"/>
                <w:rFonts w:eastAsia="" w:eastAsiaTheme="majorEastAsia"/>
                <w:b/>
              </w:rPr>
              <w:t>14.</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SOCCORSO ISTRUTTORIO</w:t>
            </w:r>
            <w:r>
              <w:rPr>
                <w:rStyle w:val="Collegamentoindice"/>
                <w:vanish w:val="false"/>
              </w:rPr>
              <w:tab/>
            </w:r>
            <w:r>
              <w:rPr>
                <w:webHidden/>
              </w:rPr>
              <w:fldChar w:fldCharType="begin"/>
            </w:r>
            <w:r>
              <w:rPr>
                <w:webHidden/>
              </w:rPr>
              <w:instrText xml:space="preserve">PAGEREF _Toc231396680 \h</w:instrText>
            </w:r>
            <w:r>
              <w:rPr>
                <w:webHidden/>
              </w:rPr>
              <w:fldChar w:fldCharType="separate"/>
            </w:r>
            <w:r>
              <w:rPr>
                <w:rStyle w:val="Collegamentoindice"/>
                <w:vanish/>
              </w:rPr>
              <w:t>19</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81">
            <w:r>
              <w:rPr>
                <w:rStyle w:val="Collegamentoindice"/>
                <w:rFonts w:eastAsia="" w:eastAsiaTheme="majorEastAsia"/>
                <w:b/>
              </w:rPr>
              <w:t>15.</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DOMANDA DI PARTECIPAZIONE E DOCUMENTAZIONE AMMINISTRATIVA</w:t>
            </w:r>
            <w:r>
              <w:rPr>
                <w:rStyle w:val="Collegamentoindice"/>
                <w:vanish w:val="false"/>
              </w:rPr>
              <w:tab/>
            </w:r>
            <w:r>
              <w:rPr>
                <w:webHidden/>
              </w:rPr>
              <w:fldChar w:fldCharType="begin"/>
            </w:r>
            <w:r>
              <w:rPr>
                <w:webHidden/>
              </w:rPr>
              <w:instrText xml:space="preserve">PAGEREF _Toc231396681 \h</w:instrText>
            </w:r>
            <w:r>
              <w:rPr>
                <w:webHidden/>
              </w:rPr>
              <w:fldChar w:fldCharType="separate"/>
            </w:r>
            <w:r>
              <w:rPr>
                <w:rStyle w:val="Collegamentoindice"/>
                <w:vanish/>
              </w:rPr>
              <w:t>20</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82">
            <w:r>
              <w:rPr>
                <w:rStyle w:val="Collegamentoindice"/>
                <w:rFonts w:eastAsia="" w:ascii="Titillium" w:hAnsi="Titillium" w:eastAsiaTheme="majorEastAsia"/>
              </w:rPr>
              <w:t>15.1.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DOMANDA DI PARTECIPAZIONE ED EVENTUALE PROCURA</w:t>
            </w:r>
            <w:r>
              <w:rPr>
                <w:rStyle w:val="Collegamentoindice"/>
                <w:vanish w:val="false"/>
              </w:rPr>
              <w:tab/>
            </w:r>
            <w:r>
              <w:rPr>
                <w:webHidden/>
              </w:rPr>
              <w:fldChar w:fldCharType="begin"/>
            </w:r>
            <w:r>
              <w:rPr>
                <w:webHidden/>
              </w:rPr>
              <w:instrText xml:space="preserve">PAGEREF _Toc231396682 \h</w:instrText>
            </w:r>
            <w:r>
              <w:rPr>
                <w:webHidden/>
              </w:rPr>
              <w:fldChar w:fldCharType="separate"/>
            </w:r>
            <w:r>
              <w:rPr>
                <w:rStyle w:val="Collegamentoindice"/>
                <w:vanish/>
              </w:rPr>
              <w:t>21</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83">
            <w:r>
              <w:rPr>
                <w:rStyle w:val="Collegamentoindice"/>
                <w:rFonts w:eastAsia="" w:ascii="Titillium" w:hAnsi="Titillium" w:eastAsiaTheme="majorEastAsia"/>
              </w:rPr>
              <w:t>15.2.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DICHIARAZIONI DA RENDERE A CURA DEGLI OPERATORI ECONOMICI AMMESSI AL CONCORDATO PREVENTIVO CON CONTINUITÀ AZIENDALE DI CUI ALL’ARTICOLO 372 del DECRETO LEGISLATIVO 12 GENNAIO 2019, n. 14</w:t>
            </w:r>
            <w:r>
              <w:rPr>
                <w:rStyle w:val="Collegamentoindice"/>
                <w:vanish w:val="false"/>
              </w:rPr>
              <w:tab/>
            </w:r>
            <w:r>
              <w:rPr>
                <w:webHidden/>
              </w:rPr>
              <w:fldChar w:fldCharType="begin"/>
            </w:r>
            <w:r>
              <w:rPr>
                <w:webHidden/>
              </w:rPr>
              <w:instrText xml:space="preserve">PAGEREF _Toc231396683 \h</w:instrText>
            </w:r>
            <w:r>
              <w:rPr>
                <w:webHidden/>
              </w:rPr>
              <w:fldChar w:fldCharType="separate"/>
            </w:r>
            <w:r>
              <w:rPr>
                <w:rStyle w:val="Collegamentoindice"/>
                <w:vanish/>
              </w:rPr>
              <w:t>23</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84">
            <w:r>
              <w:rPr>
                <w:rStyle w:val="Collegamentoindice"/>
                <w:rFonts w:eastAsia="" w:ascii="Titillium" w:hAnsi="Titillium" w:eastAsiaTheme="majorEastAsia"/>
              </w:rPr>
              <w:t>15.3.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DICHIARAZIONI DA RENDERE NEL DGUE</w:t>
            </w:r>
            <w:r>
              <w:rPr>
                <w:rStyle w:val="Collegamentoindice"/>
                <w:vanish w:val="false"/>
              </w:rPr>
              <w:tab/>
            </w:r>
            <w:r>
              <w:rPr>
                <w:webHidden/>
              </w:rPr>
              <w:fldChar w:fldCharType="begin"/>
            </w:r>
            <w:r>
              <w:rPr>
                <w:webHidden/>
              </w:rPr>
              <w:instrText xml:space="preserve">PAGEREF _Toc231396684 \h</w:instrText>
            </w:r>
            <w:r>
              <w:rPr>
                <w:webHidden/>
              </w:rPr>
              <w:fldChar w:fldCharType="separate"/>
            </w:r>
            <w:r>
              <w:rPr>
                <w:rStyle w:val="Collegamentoindice"/>
                <w:vanish/>
              </w:rPr>
              <w:t>24</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85">
            <w:r>
              <w:rPr>
                <w:rStyle w:val="Collegamentoindice"/>
                <w:rFonts w:eastAsia="" w:ascii="Titillium" w:hAnsi="Titillium" w:eastAsiaTheme="majorEastAsia"/>
              </w:rPr>
              <w:t>15.4.</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DOCUMENTAZIONE IN CASO DI AVVALIMENTO</w:t>
            </w:r>
            <w:r>
              <w:rPr>
                <w:rStyle w:val="Collegamentoindice"/>
                <w:vanish w:val="false"/>
              </w:rPr>
              <w:tab/>
            </w:r>
            <w:r>
              <w:rPr>
                <w:webHidden/>
              </w:rPr>
              <w:fldChar w:fldCharType="begin"/>
            </w:r>
            <w:r>
              <w:rPr>
                <w:webHidden/>
              </w:rPr>
              <w:instrText xml:space="preserve">PAGEREF _Toc231396685 \h</w:instrText>
            </w:r>
            <w:r>
              <w:rPr>
                <w:webHidden/>
              </w:rPr>
              <w:fldChar w:fldCharType="separate"/>
            </w:r>
            <w:r>
              <w:rPr>
                <w:rStyle w:val="Collegamentoindice"/>
                <w:vanish/>
              </w:rPr>
              <w:t>24</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86">
            <w:r>
              <w:rPr>
                <w:rStyle w:val="Collegamentoindice"/>
                <w:rFonts w:eastAsia="" w:ascii="Titillium" w:hAnsi="Titillium" w:eastAsiaTheme="majorEastAsia"/>
              </w:rPr>
              <w:t>15.5.</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DOCUMENTAZIONE ULTERIORE PER I SOGGETTI ASSOCIATI</w:t>
            </w:r>
            <w:r>
              <w:rPr>
                <w:rStyle w:val="Collegamentoindice"/>
                <w:vanish w:val="false"/>
              </w:rPr>
              <w:tab/>
            </w:r>
            <w:r>
              <w:rPr>
                <w:webHidden/>
              </w:rPr>
              <w:fldChar w:fldCharType="begin"/>
            </w:r>
            <w:r>
              <w:rPr>
                <w:webHidden/>
              </w:rPr>
              <w:instrText xml:space="preserve">PAGEREF _Toc231396686 \h</w:instrText>
            </w:r>
            <w:r>
              <w:rPr>
                <w:webHidden/>
              </w:rPr>
              <w:fldChar w:fldCharType="separate"/>
            </w:r>
            <w:r>
              <w:rPr>
                <w:rStyle w:val="Collegamentoindice"/>
                <w:vanish/>
              </w:rPr>
              <w:t>24</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87">
            <w:r>
              <w:rPr>
                <w:rStyle w:val="Collegamentoindice"/>
                <w:rFonts w:eastAsia="" w:eastAsiaTheme="majorEastAsia"/>
                <w:b/>
              </w:rPr>
              <w:t>16.</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OFFERTA TECNICA</w:t>
            </w:r>
            <w:r>
              <w:rPr>
                <w:rStyle w:val="Collegamentoindice"/>
                <w:vanish w:val="false"/>
              </w:rPr>
              <w:tab/>
            </w:r>
            <w:r>
              <w:rPr>
                <w:webHidden/>
              </w:rPr>
              <w:fldChar w:fldCharType="begin"/>
            </w:r>
            <w:r>
              <w:rPr>
                <w:webHidden/>
              </w:rPr>
              <w:instrText xml:space="preserve">PAGEREF _Toc231396687 \h</w:instrText>
            </w:r>
            <w:r>
              <w:rPr>
                <w:webHidden/>
              </w:rPr>
              <w:fldChar w:fldCharType="separate"/>
            </w:r>
            <w:r>
              <w:rPr>
                <w:rStyle w:val="Collegamentoindice"/>
                <w:vanish/>
              </w:rPr>
              <w:t>27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88">
            <w:r>
              <w:rPr>
                <w:rStyle w:val="Collegamentoindice"/>
                <w:rFonts w:eastAsia="" w:eastAsiaTheme="majorEastAsia"/>
                <w:b/>
              </w:rPr>
              <w:t>17.</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OFFERTA ECONOMICA</w:t>
            </w:r>
            <w:r>
              <w:rPr>
                <w:rStyle w:val="Collegamentoindice"/>
                <w:vanish w:val="false"/>
              </w:rPr>
              <w:tab/>
            </w:r>
            <w:r>
              <w:rPr>
                <w:webHidden/>
              </w:rPr>
              <w:fldChar w:fldCharType="begin"/>
            </w:r>
            <w:r>
              <w:rPr>
                <w:webHidden/>
              </w:rPr>
              <w:instrText xml:space="preserve">PAGEREF _Toc231396688 \h</w:instrText>
            </w:r>
            <w:r>
              <w:rPr>
                <w:webHidden/>
              </w:rPr>
              <w:fldChar w:fldCharType="separate"/>
            </w:r>
            <w:r>
              <w:rPr>
                <w:rStyle w:val="Collegamentoindice"/>
                <w:vanish/>
              </w:rPr>
              <w:t>27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89">
            <w:r>
              <w:rPr>
                <w:rStyle w:val="Collegamentoindice"/>
                <w:rFonts w:eastAsia="" w:eastAsiaTheme="majorEastAsia"/>
                <w:b/>
              </w:rPr>
              <w:t>18.</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CRITERIO DI AGGIUDICAZIONE</w:t>
            </w:r>
            <w:r>
              <w:rPr>
                <w:rStyle w:val="Collegamentoindice"/>
                <w:vanish w:val="false"/>
              </w:rPr>
              <w:tab/>
            </w:r>
            <w:r>
              <w:rPr>
                <w:webHidden/>
              </w:rPr>
              <w:fldChar w:fldCharType="begin"/>
            </w:r>
            <w:r>
              <w:rPr>
                <w:webHidden/>
              </w:rPr>
              <w:instrText xml:space="preserve">PAGEREF _Toc231396689 \h</w:instrText>
            </w:r>
            <w:r>
              <w:rPr>
                <w:webHidden/>
              </w:rPr>
              <w:fldChar w:fldCharType="separate"/>
            </w:r>
            <w:r>
              <w:rPr>
                <w:rStyle w:val="Collegamentoindice"/>
                <w:vanish/>
              </w:rPr>
              <w:t>28</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90">
            <w:r>
              <w:rPr>
                <w:rStyle w:val="Collegamentoindice"/>
                <w:rFonts w:eastAsia="" w:ascii="Titillium" w:hAnsi="Titillium" w:eastAsiaTheme="majorEastAsia"/>
              </w:rPr>
              <w:t>18.1.</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CRITERI DI VALUTAZIONE DELL’OFFERTA TECNICA</w:t>
            </w:r>
            <w:r>
              <w:rPr>
                <w:rStyle w:val="Collegamentoindice"/>
                <w:vanish w:val="false"/>
              </w:rPr>
              <w:tab/>
            </w:r>
            <w:r>
              <w:rPr>
                <w:webHidden/>
              </w:rPr>
              <w:fldChar w:fldCharType="begin"/>
            </w:r>
            <w:r>
              <w:rPr>
                <w:webHidden/>
              </w:rPr>
              <w:instrText xml:space="preserve">PAGEREF _Toc231396690 \h</w:instrText>
            </w:r>
            <w:r>
              <w:rPr>
                <w:webHidden/>
              </w:rPr>
              <w:fldChar w:fldCharType="separate"/>
            </w:r>
            <w:r>
              <w:rPr>
                <w:rStyle w:val="Collegamentoindice"/>
                <w:vanish/>
              </w:rPr>
              <w:t>28</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91">
            <w:r>
              <w:rPr>
                <w:rStyle w:val="Collegamentoindice"/>
                <w:rFonts w:eastAsia="" w:ascii="Titillium" w:hAnsi="Titillium" w:eastAsiaTheme="majorEastAsia"/>
              </w:rPr>
              <w:t>18.2.</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METODO DI ATTRIBUZIONE DEL COEFFICIENTE PER IL CALCOLO DEL PUNTEGGIO DELL’OFFERTA TECNICA</w:t>
            </w:r>
            <w:r>
              <w:rPr>
                <w:rStyle w:val="Collegamentoindice"/>
                <w:vanish w:val="false"/>
              </w:rPr>
              <w:tab/>
            </w:r>
            <w:r>
              <w:rPr>
                <w:webHidden/>
              </w:rPr>
              <w:fldChar w:fldCharType="begin"/>
            </w:r>
            <w:r>
              <w:rPr>
                <w:webHidden/>
              </w:rPr>
              <w:instrText xml:space="preserve">PAGEREF _Toc231396691 \h</w:instrText>
            </w:r>
            <w:r>
              <w:rPr>
                <w:webHidden/>
              </w:rPr>
              <w:fldChar w:fldCharType="separate"/>
            </w:r>
            <w:r>
              <w:rPr>
                <w:rStyle w:val="Collegamentoindice"/>
                <w:vanish/>
              </w:rPr>
              <w:t>30</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92">
            <w:r>
              <w:rPr>
                <w:rStyle w:val="Collegamentoindice"/>
                <w:rFonts w:eastAsia="" w:ascii="Titillium" w:hAnsi="Titillium" w:eastAsiaTheme="majorEastAsia"/>
              </w:rPr>
              <w:t>18.3.</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METODO DI ATTRIBUZIONE DEL COEFFICIENTE PER IL CALCOLO DEL PUNTEGGIO DELL’OFFERTA ECONOMICA</w:t>
            </w:r>
            <w:r>
              <w:rPr>
                <w:rStyle w:val="Collegamentoindice"/>
                <w:vanish w:val="false"/>
              </w:rPr>
              <w:tab/>
            </w:r>
            <w:r>
              <w:rPr>
                <w:webHidden/>
              </w:rPr>
              <w:fldChar w:fldCharType="begin"/>
            </w:r>
            <w:r>
              <w:rPr>
                <w:webHidden/>
              </w:rPr>
              <w:instrText xml:space="preserve">PAGEREF _Toc231396692 \h</w:instrText>
            </w:r>
            <w:r>
              <w:rPr>
                <w:webHidden/>
              </w:rPr>
              <w:fldChar w:fldCharType="separate"/>
            </w:r>
            <w:r>
              <w:rPr>
                <w:rStyle w:val="Collegamentoindice"/>
                <w:vanish/>
              </w:rPr>
              <w:t>31</w:t>
            </w:r>
            <w:r>
              <w:rPr>
                <w:webHidden/>
              </w:rPr>
              <w:fldChar w:fldCharType="end"/>
            </w:r>
          </w:hyperlink>
        </w:p>
        <w:p>
          <w:pPr>
            <w:pStyle w:val="TOC3"/>
            <w:rPr>
              <w:rFonts w:ascii="Aptos" w:hAnsi="Aptos" w:eastAsia="" w:cs="" w:asciiTheme="minorHAnsi" w:cstheme="minorBidi" w:eastAsiaTheme="minorEastAsia" w:hAnsiTheme="minorHAnsi"/>
              <w:iCs w:val="false"/>
              <w:sz w:val="22"/>
              <w:szCs w:val="22"/>
              <w:lang w:eastAsia="it-IT"/>
            </w:rPr>
          </w:pPr>
          <w:hyperlink w:anchor="_Toc231396693">
            <w:r>
              <w:rPr>
                <w:rStyle w:val="Collegamentoindice"/>
                <w:rFonts w:eastAsia="" w:ascii="Titillium" w:hAnsi="Titillium" w:eastAsiaTheme="majorEastAsia"/>
              </w:rPr>
              <w:t>18.4.</w:t>
            </w:r>
            <w:r>
              <w:rPr>
                <w:rStyle w:val="Collegamentoindice"/>
                <w:rFonts w:eastAsia="" w:cs="" w:ascii="Aptos" w:hAnsi="Aptos" w:asciiTheme="minorHAnsi" w:cstheme="minorBidi" w:eastAsiaTheme="minorEastAsia" w:hAnsiTheme="minorHAnsi"/>
                <w:iCs w:val="false"/>
                <w:sz w:val="22"/>
                <w:szCs w:val="22"/>
                <w:lang w:eastAsia="it-IT"/>
              </w:rPr>
              <w:tab/>
            </w:r>
            <w:r>
              <w:rPr>
                <w:rStyle w:val="Collegamentoindice"/>
                <w:rFonts w:eastAsia="" w:ascii="Titillium" w:hAnsi="Titillium" w:eastAsiaTheme="majorEastAsia"/>
              </w:rPr>
              <w:t>METODO DI CALCOLO DEI PUNTEGGI</w:t>
            </w:r>
            <w:r>
              <w:rPr>
                <w:rStyle w:val="Collegamentoindice"/>
                <w:vanish w:val="false"/>
              </w:rPr>
              <w:tab/>
            </w:r>
            <w:r>
              <w:rPr>
                <w:webHidden/>
              </w:rPr>
              <w:fldChar w:fldCharType="begin"/>
            </w:r>
            <w:r>
              <w:rPr>
                <w:webHidden/>
              </w:rPr>
              <w:instrText xml:space="preserve">PAGEREF _Toc231396693 \h</w:instrText>
            </w:r>
            <w:r>
              <w:rPr>
                <w:webHidden/>
              </w:rPr>
              <w:fldChar w:fldCharType="separate"/>
            </w:r>
            <w:r>
              <w:rPr>
                <w:rStyle w:val="Collegamentoindice"/>
                <w:vanish/>
              </w:rPr>
              <w:t>31</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4">
            <w:r>
              <w:rPr>
                <w:rStyle w:val="Collegamentoindice"/>
                <w:rFonts w:eastAsia="" w:eastAsiaTheme="majorEastAsia"/>
                <w:b/>
              </w:rPr>
              <w:t>19.</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COMMISSIONE GIUDICATRICE</w:t>
            </w:r>
            <w:r>
              <w:rPr>
                <w:rStyle w:val="Collegamentoindice"/>
                <w:vanish w:val="false"/>
              </w:rPr>
              <w:tab/>
            </w:r>
            <w:r>
              <w:rPr>
                <w:webHidden/>
              </w:rPr>
              <w:fldChar w:fldCharType="begin"/>
            </w:r>
            <w:r>
              <w:rPr>
                <w:webHidden/>
              </w:rPr>
              <w:instrText xml:space="preserve">PAGEREF _Toc231396694 \h</w:instrText>
            </w:r>
            <w:r>
              <w:rPr>
                <w:webHidden/>
              </w:rPr>
              <w:fldChar w:fldCharType="separate"/>
            </w:r>
            <w:r>
              <w:rPr>
                <w:rStyle w:val="Collegamentoindice"/>
                <w:vanish/>
              </w:rPr>
              <w:t>32</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5">
            <w:r>
              <w:rPr>
                <w:rStyle w:val="Collegamentoindice"/>
                <w:rFonts w:eastAsia="" w:eastAsiaTheme="majorEastAsia"/>
                <w:b/>
              </w:rPr>
              <w:t>20.</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SVOLGIMENTO DELLE OPERAZIONI DI GARA</w:t>
            </w:r>
            <w:r>
              <w:rPr>
                <w:rStyle w:val="Collegamentoindice"/>
                <w:vanish w:val="false"/>
              </w:rPr>
              <w:tab/>
            </w:r>
            <w:r>
              <w:rPr>
                <w:webHidden/>
              </w:rPr>
              <w:fldChar w:fldCharType="begin"/>
            </w:r>
            <w:r>
              <w:rPr>
                <w:webHidden/>
              </w:rPr>
              <w:instrText xml:space="preserve">PAGEREF _Toc231396695 \h</w:instrText>
            </w:r>
            <w:r>
              <w:rPr>
                <w:webHidden/>
              </w:rPr>
              <w:fldChar w:fldCharType="separate"/>
            </w:r>
            <w:r>
              <w:rPr>
                <w:rStyle w:val="Collegamentoindice"/>
                <w:vanish/>
              </w:rPr>
              <w:t>32</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6">
            <w:r>
              <w:rPr>
                <w:rStyle w:val="Collegamentoindice"/>
                <w:rFonts w:eastAsia="" w:eastAsiaTheme="majorEastAsia"/>
                <w:b/>
              </w:rPr>
              <w:t>21.</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VERIFICA DOCUMENTAZIONE AMMINISTRATIVA</w:t>
            </w:r>
            <w:r>
              <w:rPr>
                <w:rStyle w:val="Collegamentoindice"/>
                <w:vanish w:val="false"/>
              </w:rPr>
              <w:tab/>
            </w:r>
            <w:r>
              <w:rPr>
                <w:webHidden/>
              </w:rPr>
              <w:fldChar w:fldCharType="begin"/>
            </w:r>
            <w:r>
              <w:rPr>
                <w:webHidden/>
              </w:rPr>
              <w:instrText xml:space="preserve">PAGEREF _Toc231396696 \h</w:instrText>
            </w:r>
            <w:r>
              <w:rPr>
                <w:webHidden/>
              </w:rPr>
              <w:fldChar w:fldCharType="separate"/>
            </w:r>
            <w:r>
              <w:rPr>
                <w:rStyle w:val="Collegamentoindice"/>
                <w:vanish/>
              </w:rPr>
              <w:t>32</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7">
            <w:r>
              <w:rPr>
                <w:rStyle w:val="Collegamentoindice"/>
                <w:rFonts w:eastAsia="" w:eastAsiaTheme="majorEastAsia"/>
                <w:b/>
              </w:rPr>
              <w:t>22.</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VALUTAZIONE DELLE OFFERTE TECNICHE ED ECONOMICHE.</w:t>
            </w:r>
            <w:r>
              <w:rPr>
                <w:rStyle w:val="Collegamentoindice"/>
                <w:vanish w:val="false"/>
              </w:rPr>
              <w:tab/>
            </w:r>
            <w:r>
              <w:rPr>
                <w:webHidden/>
              </w:rPr>
              <w:fldChar w:fldCharType="begin"/>
            </w:r>
            <w:r>
              <w:rPr>
                <w:webHidden/>
              </w:rPr>
              <w:instrText xml:space="preserve">PAGEREF _Toc231396697 \h</w:instrText>
            </w:r>
            <w:r>
              <w:rPr>
                <w:webHidden/>
              </w:rPr>
              <w:fldChar w:fldCharType="separate"/>
            </w:r>
            <w:r>
              <w:rPr>
                <w:rStyle w:val="Collegamentoindice"/>
                <w:vanish/>
              </w:rPr>
              <w:t>33</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8">
            <w:r>
              <w:rPr>
                <w:rStyle w:val="Collegamentoindice"/>
                <w:rFonts w:eastAsia="" w:eastAsiaTheme="majorEastAsia"/>
                <w:b/>
              </w:rPr>
              <w:t>23.</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VERIFICA DI ANOMALIA DELLE OFFERTE</w:t>
            </w:r>
            <w:r>
              <w:rPr>
                <w:rStyle w:val="Collegamentoindice"/>
                <w:vanish w:val="false"/>
              </w:rPr>
              <w:tab/>
            </w:r>
            <w:r>
              <w:rPr>
                <w:webHidden/>
              </w:rPr>
              <w:fldChar w:fldCharType="begin"/>
            </w:r>
            <w:r>
              <w:rPr>
                <w:webHidden/>
              </w:rPr>
              <w:instrText xml:space="preserve">PAGEREF _Toc231396698 \h</w:instrText>
            </w:r>
            <w:r>
              <w:rPr>
                <w:webHidden/>
              </w:rPr>
              <w:fldChar w:fldCharType="separate"/>
            </w:r>
            <w:r>
              <w:rPr>
                <w:rStyle w:val="Collegamentoindice"/>
                <w:vanish/>
              </w:rPr>
              <w:t>33</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699">
            <w:r>
              <w:rPr>
                <w:rStyle w:val="Collegamentoindice"/>
                <w:rFonts w:eastAsia="" w:eastAsiaTheme="majorEastAsia"/>
                <w:b/>
              </w:rPr>
              <w:t>24.</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AGGIUDICAZIONE DELL’APPALTO E STIPULA DEL CONTRATTO</w:t>
            </w:r>
            <w:r>
              <w:rPr>
                <w:rStyle w:val="Collegamentoindice"/>
                <w:vanish w:val="false"/>
              </w:rPr>
              <w:tab/>
            </w:r>
            <w:r>
              <w:rPr>
                <w:webHidden/>
              </w:rPr>
              <w:fldChar w:fldCharType="begin"/>
            </w:r>
            <w:r>
              <w:rPr>
                <w:webHidden/>
              </w:rPr>
              <w:instrText xml:space="preserve">PAGEREF _Toc231396699 \h</w:instrText>
            </w:r>
            <w:r>
              <w:rPr>
                <w:webHidden/>
              </w:rPr>
              <w:fldChar w:fldCharType="separate"/>
            </w:r>
            <w:r>
              <w:rPr>
                <w:rStyle w:val="Collegamentoindice"/>
                <w:vanish/>
              </w:rPr>
              <w:t>34</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0">
            <w:r>
              <w:rPr>
                <w:rStyle w:val="Collegamentoindice"/>
                <w:rFonts w:eastAsia="" w:eastAsiaTheme="majorEastAsia"/>
                <w:b/>
              </w:rPr>
              <w:t>25.</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OBBLIGHI RELATIVI ALLA TRACCIABILITÀ DEI FLUSSI FINANZIARI</w:t>
            </w:r>
            <w:r>
              <w:rPr>
                <w:rStyle w:val="Collegamentoindice"/>
                <w:vanish w:val="false"/>
              </w:rPr>
              <w:tab/>
            </w:r>
            <w:r>
              <w:rPr>
                <w:webHidden/>
              </w:rPr>
              <w:fldChar w:fldCharType="begin"/>
            </w:r>
            <w:r>
              <w:rPr>
                <w:webHidden/>
              </w:rPr>
              <w:instrText xml:space="preserve">PAGEREF _Toc231396700 \h</w:instrText>
            </w:r>
            <w:r>
              <w:rPr>
                <w:webHidden/>
              </w:rPr>
              <w:fldChar w:fldCharType="separate"/>
            </w:r>
            <w:r>
              <w:rPr>
                <w:rStyle w:val="Collegamentoindice"/>
                <w:vanish/>
              </w:rPr>
              <w:t>36</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1">
            <w:r>
              <w:rPr>
                <w:rStyle w:val="Collegamentoindice"/>
                <w:rFonts w:eastAsia="" w:eastAsiaTheme="majorEastAsia"/>
                <w:b/>
              </w:rPr>
              <w:t>26.</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CODICE DI COMPORTAMENTO</w:t>
            </w:r>
            <w:r>
              <w:rPr>
                <w:rStyle w:val="Collegamentoindice"/>
                <w:vanish w:val="false"/>
              </w:rPr>
              <w:tab/>
            </w:r>
            <w:r>
              <w:rPr>
                <w:webHidden/>
              </w:rPr>
              <w:fldChar w:fldCharType="begin"/>
            </w:r>
            <w:r>
              <w:rPr>
                <w:webHidden/>
              </w:rPr>
              <w:instrText xml:space="preserve">PAGEREF _Toc231396701 \h</w:instrText>
            </w:r>
            <w:r>
              <w:rPr>
                <w:webHidden/>
              </w:rPr>
              <w:fldChar w:fldCharType="separate"/>
            </w:r>
            <w:r>
              <w:rPr>
                <w:rStyle w:val="Collegamentoindice"/>
                <w:vanish/>
              </w:rPr>
              <w:t>36</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2">
            <w:r>
              <w:rPr>
                <w:rStyle w:val="Collegamentoindice"/>
                <w:rFonts w:eastAsia="" w:eastAsiaTheme="majorEastAsia"/>
                <w:b/>
              </w:rPr>
              <w:t>27.</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ACCESSO AGLI ATTI</w:t>
            </w:r>
            <w:r>
              <w:rPr>
                <w:rStyle w:val="Collegamentoindice"/>
                <w:vanish w:val="false"/>
              </w:rPr>
              <w:tab/>
            </w:r>
            <w:r>
              <w:rPr>
                <w:webHidden/>
              </w:rPr>
              <w:fldChar w:fldCharType="begin"/>
            </w:r>
            <w:r>
              <w:rPr>
                <w:webHidden/>
              </w:rPr>
              <w:instrText xml:space="preserve">PAGEREF _Toc231396702 \h</w:instrText>
            </w:r>
            <w:r>
              <w:rPr>
                <w:webHidden/>
              </w:rPr>
              <w:fldChar w:fldCharType="separate"/>
            </w:r>
            <w:r>
              <w:rPr>
                <w:rStyle w:val="Collegamentoindice"/>
                <w:vanish/>
              </w:rPr>
              <w:t>36</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3">
            <w:r>
              <w:rPr>
                <w:rStyle w:val="Collegamentoindice"/>
                <w:rFonts w:eastAsia="" w:eastAsiaTheme="majorEastAsia"/>
                <w:b/>
              </w:rPr>
              <w:t>28.</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DEFINIZIONE DELLE CONTROVERSIE</w:t>
            </w:r>
            <w:r>
              <w:rPr>
                <w:rStyle w:val="Collegamentoindice"/>
                <w:vanish w:val="false"/>
              </w:rPr>
              <w:tab/>
            </w:r>
            <w:r>
              <w:rPr>
                <w:webHidden/>
              </w:rPr>
              <w:fldChar w:fldCharType="begin"/>
            </w:r>
            <w:r>
              <w:rPr>
                <w:webHidden/>
              </w:rPr>
              <w:instrText xml:space="preserve">PAGEREF _Toc231396703 \h</w:instrText>
            </w:r>
            <w:r>
              <w:rPr>
                <w:webHidden/>
              </w:rPr>
              <w:fldChar w:fldCharType="separate"/>
            </w:r>
            <w:r>
              <w:rPr>
                <w:rStyle w:val="Collegamentoindice"/>
                <w:vanish/>
              </w:rPr>
              <w:t>37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4">
            <w:r>
              <w:rPr>
                <w:rStyle w:val="Collegamentoindice"/>
                <w:rFonts w:eastAsia="" w:eastAsiaTheme="majorEastAsia"/>
                <w:b/>
              </w:rPr>
              <w:t>29.</w:t>
            </w:r>
            <w:r>
              <w:rPr>
                <w:rStyle w:val="Collegamentoindice"/>
                <w:rFonts w:eastAsia="" w:cs="" w:ascii="Aptos" w:hAnsi="Aptos" w:asciiTheme="minorHAnsi" w:cstheme="minorBidi" w:eastAsiaTheme="minorEastAsia" w:hAnsiTheme="minorHAnsi"/>
                <w:caps w:val="false"/>
                <w:smallCaps w:val="false"/>
                <w:sz w:val="22"/>
                <w:szCs w:val="22"/>
                <w:lang w:eastAsia="it-IT"/>
              </w:rPr>
              <w:tab/>
            </w:r>
            <w:r>
              <w:rPr>
                <w:rStyle w:val="Collegamentoindice"/>
                <w:rFonts w:eastAsia="" w:eastAsiaTheme="majorEastAsia"/>
              </w:rPr>
              <w:t>TRATTAMENTO DEI DATI PERSONALI</w:t>
            </w:r>
            <w:r>
              <w:rPr>
                <w:rStyle w:val="Collegamentoindice"/>
                <w:vanish w:val="false"/>
              </w:rPr>
              <w:tab/>
            </w:r>
            <w:r>
              <w:rPr>
                <w:webHidden/>
              </w:rPr>
              <w:fldChar w:fldCharType="begin"/>
            </w:r>
            <w:r>
              <w:rPr>
                <w:webHidden/>
              </w:rPr>
              <w:instrText xml:space="preserve">PAGEREF _Toc231396704 \h</w:instrText>
            </w:r>
            <w:r>
              <w:rPr>
                <w:webHidden/>
              </w:rPr>
              <w:fldChar w:fldCharType="separate"/>
            </w:r>
            <w:r>
              <w:rPr>
                <w:rStyle w:val="Collegamentoindice"/>
                <w:vanish/>
              </w:rPr>
              <w:t>37</w:t>
            </w:r>
            <w:r>
              <w:rPr>
                <w:webHidden/>
              </w:rPr>
              <w:fldChar w:fldCharType="end"/>
            </w:r>
          </w:hyperlink>
        </w:p>
        <w:p>
          <w:pPr>
            <w:pStyle w:val="TOC2"/>
            <w:rPr>
              <w:rFonts w:ascii="Aptos" w:hAnsi="Aptos" w:eastAsia="" w:cs="" w:asciiTheme="minorHAnsi" w:cstheme="minorBidi" w:eastAsiaTheme="minorEastAsia" w:hAnsiTheme="minorHAnsi"/>
              <w:caps w:val="false"/>
              <w:smallCaps w:val="false"/>
              <w:sz w:val="22"/>
              <w:szCs w:val="22"/>
              <w:lang w:eastAsia="it-IT"/>
            </w:rPr>
          </w:pPr>
          <w:hyperlink w:anchor="_Toc231396705">
            <w:r>
              <w:rPr>
                <w:rStyle w:val="Collegamentoindice"/>
                <w:rFonts w:eastAsia="" w:eastAsiaTheme="majorEastAsia"/>
              </w:rPr>
              <w:t>29.1 Responsabile del trattamento dei dati personali ai sensi del Regolamento U.E. 679/2016</w:t>
            </w:r>
            <w:r>
              <w:rPr>
                <w:rStyle w:val="Collegamentoindice"/>
                <w:vanish w:val="false"/>
              </w:rPr>
              <w:tab/>
            </w:r>
            <w:r>
              <w:rPr>
                <w:webHidden/>
              </w:rPr>
              <w:fldChar w:fldCharType="begin"/>
            </w:r>
            <w:r>
              <w:rPr>
                <w:webHidden/>
              </w:rPr>
              <w:instrText xml:space="preserve">PAGEREF _Toc231396705 \h</w:instrText>
            </w:r>
            <w:r>
              <w:rPr>
                <w:webHidden/>
              </w:rPr>
              <w:fldChar w:fldCharType="separate"/>
            </w:r>
            <w:r>
              <w:rPr>
                <w:rStyle w:val="Collegamentoindice"/>
                <w:vanish/>
              </w:rPr>
              <w:t>38</w:t>
            </w:r>
            <w:r>
              <w:rPr>
                <w:webHidden/>
              </w:rPr>
              <w:fldChar w:fldCharType="end"/>
            </w:r>
          </w:hyperlink>
          <w:r>
            <w:rPr>
              <w:rStyle w:val="Collegamentoindice"/>
              <w:vanish/>
            </w:rPr>
            <w:fldChar w:fldCharType="end"/>
          </w:r>
        </w:p>
      </w:sdtContent>
    </w:sdt>
    <w:p>
      <w:pPr>
        <w:pStyle w:val="TOC2"/>
        <w:rPr>
          <w:rFonts w:ascii="Aptos" w:hAnsi="Aptos" w:eastAsia="" w:cs="" w:asciiTheme="minorHAnsi" w:cstheme="minorBidi" w:eastAsiaTheme="minorEastAsia" w:hAnsiTheme="minorHAnsi"/>
          <w:caps w:val="false"/>
          <w:smallCaps w:val="false"/>
          <w:sz w:val="22"/>
          <w:szCs w:val="22"/>
          <w:lang w:eastAsia="it-IT"/>
        </w:rPr>
      </w:pPr>
      <w:r>
        <w:rPr>
          <w:rFonts w:eastAsia="" w:cs="" w:cstheme="minorBidi" w:eastAsiaTheme="minorEastAsia" w:ascii="Aptos" w:hAnsi="Aptos"/>
          <w:caps w:val="false"/>
          <w:smallCaps w:val="false"/>
          <w:sz w:val="22"/>
          <w:szCs w:val="22"/>
          <w:lang w:eastAsia="it-IT"/>
        </w:rPr>
      </w:r>
    </w:p>
    <w:p>
      <w:pPr>
        <w:pStyle w:val="TOC2"/>
        <w:rPr>
          <w:rFonts w:ascii="Titillium" w:hAnsi="Titillium" w:eastAsia="" w:cs="" w:cstheme="minorBidi" w:eastAsiaTheme="minorEastAsia"/>
          <w:caps w:val="false"/>
          <w:smallCaps w:val="false"/>
          <w:kern w:val="2"/>
          <w:sz w:val="24"/>
          <w:szCs w:val="24"/>
          <w:lang w:eastAsia="it-IT"/>
          <w14:ligatures w14:val="standardContextual"/>
        </w:rPr>
      </w:pPr>
      <w:r>
        <w:rPr>
          <w:rFonts w:eastAsia="" w:cs="" w:cstheme="minorBidi" w:eastAsiaTheme="minorEastAsia" w:ascii="Titillium" w:hAnsi="Titillium"/>
          <w:caps w:val="false"/>
          <w:smallCaps w:val="false"/>
          <w:kern w:val="2"/>
          <w:sz w:val="24"/>
          <w:szCs w:val="24"/>
          <w:lang w:eastAsia="it-IT"/>
          <w14:ligatures w14:val="standardContextual"/>
        </w:rPr>
      </w:r>
    </w:p>
    <w:p>
      <w:pPr>
        <w:pStyle w:val="TOC2"/>
        <w:rPr>
          <w:rFonts w:ascii="Aptos" w:hAnsi="Aptos" w:eastAsia="" w:cs="" w:asciiTheme="minorHAnsi" w:cstheme="minorBidi" w:eastAsiaTheme="minorEastAsia" w:hAnsiTheme="minorHAnsi"/>
          <w:sz w:val="22"/>
          <w:szCs w:val="22"/>
          <w:lang w:eastAsia="it-IT"/>
        </w:rPr>
      </w:pPr>
      <w:r>
        <w:rPr>
          <w:rFonts w:eastAsia="" w:cs="" w:cstheme="minorBidi" w:eastAsiaTheme="minorEastAsia" w:ascii="Aptos" w:hAnsi="Aptos"/>
          <w:sz w:val="22"/>
          <w:szCs w:val="22"/>
          <w:lang w:eastAsia="it-IT"/>
        </w:rPr>
      </w:r>
    </w:p>
    <w:p>
      <w:pPr>
        <w:pStyle w:val="TOC1"/>
        <w:rPr/>
      </w:pPr>
      <w:r>
        <w:rPr/>
      </w:r>
    </w:p>
    <w:p>
      <w:pPr>
        <w:pStyle w:val="TOC2"/>
        <w:rPr>
          <w:lang w:eastAsia="it-IT"/>
        </w:rPr>
      </w:pPr>
      <w:r>
        <w:rPr>
          <w:lang w:eastAsia="it-IT"/>
        </w:rPr>
      </w:r>
    </w:p>
    <w:p>
      <w:pPr>
        <w:pStyle w:val="TOC2"/>
        <w:rPr>
          <w:lang w:eastAsia="it-IT"/>
        </w:rPr>
      </w:pPr>
      <w:r>
        <w:rPr>
          <w:lang w:eastAsia="it-IT"/>
        </w:rPr>
      </w:r>
    </w:p>
    <w:p>
      <w:pPr>
        <w:pStyle w:val="TOC2"/>
        <w:rPr>
          <w:lang w:eastAsia="it-IT"/>
        </w:rPr>
      </w:pPr>
      <w:r>
        <w:rPr>
          <w:lang w:eastAsia="it-IT"/>
        </w:rPr>
      </w:r>
    </w:p>
    <w:p>
      <w:pPr>
        <w:pStyle w:val="TOC2"/>
        <w:rPr>
          <w:lang w:eastAsia="it-IT"/>
        </w:rPr>
      </w:pPr>
      <w:r>
        <w:rPr>
          <w:lang w:eastAsia="it-IT"/>
        </w:rPr>
      </w:r>
    </w:p>
    <w:p>
      <w:pPr>
        <w:pStyle w:val="TOC2"/>
        <w:rPr>
          <w:lang w:eastAsia="it-IT"/>
        </w:rPr>
      </w:pPr>
      <w:r>
        <w:rPr>
          <w:lang w:eastAsia="it-IT"/>
        </w:rPr>
      </w:r>
    </w:p>
    <w:p>
      <w:pPr>
        <w:pStyle w:val="Normal"/>
        <w:widowControl w:val="false"/>
        <w:spacing w:before="60" w:after="60"/>
        <w:rPr>
          <w:rFonts w:ascii="Titillium" w:hAnsi="Titillium" w:cs="Calibri"/>
          <w:szCs w:val="24"/>
          <w:lang w:eastAsia="it-IT"/>
        </w:rPr>
      </w:pPr>
      <w:r>
        <w:rPr>
          <w:rFonts w:cs="Calibri" w:ascii="Titillium" w:hAnsi="Titillium"/>
          <w:szCs w:val="24"/>
          <w:lang w:eastAsia="it-IT"/>
        </w:rPr>
      </w:r>
      <w:r>
        <w:br w:type="page"/>
      </w:r>
    </w:p>
    <w:p>
      <w:pPr>
        <w:pStyle w:val="Heading2"/>
        <w:widowControl/>
        <w:suppressAutoHyphens w:val="true"/>
        <w:bidi w:val="0"/>
        <w:spacing w:lineRule="auto" w:line="276" w:before="0" w:after="80"/>
        <w:jc w:val="both"/>
        <w:rPr>
          <w:kern w:val="0"/>
        </w:rPr>
      </w:pPr>
      <w:r>
        <w:rPr>
          <w:kern w:val="0"/>
        </w:rPr>
        <w:t>RICHIAMATE</w:t>
      </w:r>
    </w:p>
    <w:p>
      <w:pPr>
        <w:pStyle w:val="CommentText"/>
        <w:widowControl/>
        <w:numPr>
          <w:ilvl w:val="0"/>
          <w:numId w:val="42"/>
        </w:numPr>
        <w:suppressAutoHyphens w:val="true"/>
        <w:bidi w:val="0"/>
        <w:spacing w:lineRule="auto" w:line="276" w:before="60" w:after="60"/>
        <w:jc w:val="both"/>
        <w:rPr>
          <w:rFonts w:ascii="Titillium" w:hAnsi="Titillium" w:eastAsia="Times New Roman" w:cs="Calibri"/>
          <w:bCs/>
          <w:iCs/>
          <w:kern w:val="0"/>
          <w:sz w:val="18"/>
          <w:szCs w:val="18"/>
          <w:lang w:val="it-IT" w:eastAsia="it-IT"/>
          <w14:ligatures w14:val="none"/>
        </w:rPr>
      </w:pPr>
      <w:r>
        <w:rPr>
          <w:rFonts w:eastAsia="Times New Roman" w:cs="Calibri" w:ascii="Titillium" w:hAnsi="Titillium"/>
          <w:bCs/>
          <w:iCs/>
          <w:kern w:val="0"/>
          <w:sz w:val="18"/>
          <w:szCs w:val="18"/>
          <w:lang w:val="it-IT" w:eastAsia="it-IT"/>
          <w14:ligatures w14:val="none"/>
        </w:rPr>
        <w:t>La delibera n.115 del 13.06.2011 di unificazione di servizi amministrativi in ambito metropolitano con la quale è stato istituito il Servizio Acquisti Metropolitano;</w:t>
      </w:r>
    </w:p>
    <w:p>
      <w:pPr>
        <w:pStyle w:val="CommentText"/>
        <w:widowControl/>
        <w:numPr>
          <w:ilvl w:val="0"/>
          <w:numId w:val="42"/>
        </w:numPr>
        <w:suppressAutoHyphens w:val="true"/>
        <w:bidi w:val="0"/>
        <w:spacing w:lineRule="auto" w:line="276" w:before="60" w:after="60"/>
        <w:jc w:val="both"/>
        <w:rPr>
          <w:rFonts w:ascii="Titillium" w:hAnsi="Titillium" w:eastAsia="Times New Roman" w:cs="Calibri"/>
          <w:bCs/>
          <w:iCs/>
          <w:kern w:val="0"/>
          <w:sz w:val="18"/>
          <w:szCs w:val="18"/>
          <w:lang w:val="it-IT" w:eastAsia="it-IT"/>
          <w14:ligatures w14:val="none"/>
        </w:rPr>
      </w:pPr>
      <w:r>
        <w:rPr>
          <w:rFonts w:eastAsia="Times New Roman" w:cs="Calibri" w:ascii="Titillium" w:hAnsi="Titillium"/>
          <w:bCs/>
          <w:iCs/>
          <w:kern w:val="0"/>
          <w:sz w:val="18"/>
          <w:szCs w:val="18"/>
          <w:lang w:val="it-IT" w:eastAsia="it-IT"/>
          <w14:ligatures w14:val="none"/>
        </w:rPr>
        <w:t>Le delibere n. 268 del 29.06.2022 dell’Azienda USL di Bologna, n.204 del 29.06.2022 dell’IRCCS Azienda Ospedaliero-Universitaria di Bologna Policlinico di Sant’Orsola, n.193 del 30.06.2022 dell’IRCCS – Istituto Ortopedico Rizzoli, n.149 del 29.06.2022 dell’Azienda USL di Imola, n.129 del 29.06.2022 dell’Azienda Ospedaliero Universitaria di Ferrara, n.179 del 01.07.2022 dell’Azienda USL di Ferrara con le quali è stato costituito il Servizio Acquisti di Area Vasta Emilia Centrale (SAAV) ed è stata contestualmente approvata la convenzione attuativa per lo svolgimento delle relative funzioni unificate con decorrenza dal 1 luglio 2022;</w:t>
      </w:r>
    </w:p>
    <w:p>
      <w:pPr>
        <w:pStyle w:val="CommentText"/>
        <w:widowControl/>
        <w:numPr>
          <w:ilvl w:val="0"/>
          <w:numId w:val="42"/>
        </w:numPr>
        <w:suppressAutoHyphens w:val="true"/>
        <w:bidi w:val="0"/>
        <w:spacing w:lineRule="auto" w:line="276" w:before="60" w:after="60"/>
        <w:jc w:val="both"/>
        <w:rPr>
          <w:rFonts w:ascii="Titillium" w:hAnsi="Titillium" w:eastAsia="Times New Roman" w:cs="Calibri"/>
          <w:bCs/>
          <w:iCs/>
          <w:kern w:val="0"/>
          <w:sz w:val="18"/>
          <w:szCs w:val="18"/>
          <w:lang w:val="it-IT" w:eastAsia="it-IT"/>
          <w14:ligatures w14:val="none"/>
        </w:rPr>
      </w:pPr>
      <w:r>
        <w:rPr>
          <w:rFonts w:eastAsia="Times New Roman" w:cs="Calibri" w:ascii="Titillium" w:hAnsi="Titillium"/>
          <w:bCs/>
          <w:iCs/>
          <w:kern w:val="0"/>
          <w:sz w:val="18"/>
          <w:szCs w:val="18"/>
          <w:lang w:val="it-IT" w:eastAsia="it-IT"/>
          <w14:ligatures w14:val="none"/>
        </w:rPr>
        <w:t>che con le sopra citate delibere sono state altresì individuate le funzioni delegate al SAAV e quelle di competenza esclusiva delle Aziende deleganti;</w:t>
      </w:r>
    </w:p>
    <w:p>
      <w:pPr>
        <w:pStyle w:val="CommentText"/>
        <w:widowControl/>
        <w:numPr>
          <w:ilvl w:val="0"/>
          <w:numId w:val="42"/>
        </w:numPr>
        <w:suppressAutoHyphens w:val="true"/>
        <w:bidi w:val="0"/>
        <w:spacing w:lineRule="auto" w:line="276" w:before="60" w:after="60"/>
        <w:jc w:val="both"/>
        <w:rPr>
          <w:rFonts w:ascii="Titillium" w:hAnsi="Titillium" w:eastAsia="Times New Roman" w:cs="Calibri"/>
          <w:bCs/>
          <w:iCs/>
          <w:kern w:val="0"/>
          <w:sz w:val="18"/>
          <w:szCs w:val="18"/>
          <w:lang w:val="it-IT" w:eastAsia="it-IT"/>
          <w14:ligatures w14:val="none"/>
        </w:rPr>
      </w:pPr>
      <w:r>
        <w:rPr>
          <w:rFonts w:eastAsia="Times New Roman" w:cs="Calibri" w:ascii="Titillium" w:hAnsi="Titillium"/>
          <w:bCs/>
          <w:iCs/>
          <w:kern w:val="0"/>
          <w:sz w:val="18"/>
          <w:szCs w:val="18"/>
          <w:lang w:val="it-IT" w:eastAsia="it-IT"/>
          <w14:ligatures w14:val="none"/>
        </w:rPr>
        <w:t>la delibera n.404 del 08.11.2022 di conferimento dell'incarico dirigenziale di Direttore del SAAV;</w:t>
      </w:r>
    </w:p>
    <w:p>
      <w:pPr>
        <w:pStyle w:val="CommentText"/>
        <w:widowControl/>
        <w:numPr>
          <w:ilvl w:val="0"/>
          <w:numId w:val="42"/>
        </w:numPr>
        <w:suppressAutoHyphens w:val="true"/>
        <w:bidi w:val="0"/>
        <w:spacing w:lineRule="auto" w:line="276" w:before="60" w:after="60"/>
        <w:jc w:val="both"/>
        <w:rPr>
          <w:rFonts w:ascii="Titillium" w:hAnsi="Titillium" w:eastAsia="Times New Roman" w:cs="Calibri"/>
          <w:bCs/>
          <w:iCs/>
          <w:kern w:val="0"/>
          <w:sz w:val="18"/>
          <w:szCs w:val="18"/>
          <w:lang w:val="it-IT" w:eastAsia="it-IT"/>
          <w14:ligatures w14:val="none"/>
        </w:rPr>
      </w:pPr>
      <w:r>
        <w:rPr>
          <w:rFonts w:eastAsia="Times New Roman" w:cs="Calibri" w:ascii="Titillium" w:hAnsi="Titillium"/>
          <w:bCs/>
          <w:iCs/>
          <w:kern w:val="0"/>
          <w:sz w:val="18"/>
          <w:szCs w:val="18"/>
          <w:lang w:val="it-IT" w:eastAsia="it-IT"/>
          <w14:ligatures w14:val="none"/>
        </w:rPr>
        <w:t>la delibera di recepimento della convenzione attuativa n.62 del 12.02.2024 delle funzioni unificate del Servizio Acquisti di Area Vasta dell’Area Vasta Emilia Centrale;</w:t>
      </w:r>
    </w:p>
    <w:p>
      <w:pPr>
        <w:pStyle w:val="Heading2"/>
        <w:spacing w:before="0" w:after="80"/>
        <w:rPr/>
      </w:pPr>
      <w:bookmarkStart w:id="0" w:name="_Toc231396650"/>
      <w:bookmarkStart w:id="1" w:name="_Toc482102001"/>
      <w:bookmarkStart w:id="2" w:name="_Toc482102096"/>
      <w:bookmarkStart w:id="3" w:name="_Toc493500867"/>
      <w:bookmarkStart w:id="4" w:name="_Toc494358965"/>
      <w:bookmarkStart w:id="5" w:name="_Toc494359014"/>
      <w:bookmarkStart w:id="6" w:name="_Toc497484932"/>
      <w:bookmarkStart w:id="7" w:name="_Toc497728130"/>
      <w:bookmarkStart w:id="8" w:name="_Toc497831524"/>
      <w:bookmarkStart w:id="9" w:name="_Toc498419716"/>
      <w:bookmarkStart w:id="10" w:name="_Toc493500868"/>
      <w:bookmarkStart w:id="11" w:name="_Toc494358966"/>
      <w:bookmarkStart w:id="12" w:name="_Toc494359015"/>
      <w:bookmarkStart w:id="13" w:name="_Toc497484933"/>
      <w:bookmarkStart w:id="14" w:name="_Toc497728131"/>
      <w:bookmarkStart w:id="15" w:name="_Toc497831525"/>
      <w:bookmarkStart w:id="16" w:name="_Toc498419717"/>
      <w:bookmarkStart w:id="17" w:name="_Toc374025745"/>
      <w:bookmarkStart w:id="18" w:name="_Toc374025834"/>
      <w:bookmarkStart w:id="19" w:name="_Toc374025928"/>
      <w:bookmarkStart w:id="20" w:name="_Toc374025981"/>
      <w:bookmarkStart w:id="21" w:name="_Toc374026426"/>
      <w:bookmarkStart w:id="22" w:name="_Toc482101429"/>
      <w:bookmarkStart w:id="23" w:name="_Toc482101544"/>
      <w:bookmarkStart w:id="24" w:name="_Toc482101719"/>
      <w:bookmarkStart w:id="25" w:name="_Toc482101812"/>
      <w:bookmarkStart w:id="26" w:name="_Toc48210190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t>PREMESSE</w:t>
      </w:r>
      <w:bookmarkEnd w:id="0"/>
    </w:p>
    <w:p>
      <w:pPr>
        <w:pStyle w:val="Normal"/>
        <w:spacing w:before="60" w:after="60"/>
        <w:rPr>
          <w:sz w:val="22"/>
        </w:rPr>
      </w:pPr>
      <w:r>
        <w:rPr>
          <w:rFonts w:cs="Calibri" w:ascii="Titillium" w:hAnsi="Titillium"/>
          <w:bCs/>
          <w:iCs/>
          <w:sz w:val="18"/>
          <w:szCs w:val="18"/>
        </w:rPr>
        <w:t>Con atto n.</w:t>
      </w:r>
      <w:r>
        <w:rPr>
          <w:rFonts w:cs="Calibri" w:ascii="Titillium" w:hAnsi="Titillium"/>
          <w:bCs/>
          <w:i w:val="false"/>
          <w:iCs w:val="false"/>
          <w:sz w:val="18"/>
          <w:szCs w:val="18"/>
        </w:rPr>
        <w:t xml:space="preserve"> 1464 del 09/06/2026, questa Amministrazione (codice AUSA 0000202387) ha deciso di affidare il servizio di </w:t>
      </w:r>
      <w:r>
        <w:rPr>
          <w:i w:val="false"/>
          <w:iCs w:val="false"/>
          <w:sz w:val="22"/>
        </w:rPr>
        <w:t xml:space="preserve">trasporto di parti anatomiche </w:t>
      </w:r>
      <w:r>
        <w:rPr>
          <w:sz w:val="22"/>
        </w:rPr>
        <w:t>riconoscibili e feti , nonché di salme/cadaveri, per le esigenze dell’Azienda USL di Bologna (AUSL), dell’IRCCS Istituto Ortopedico Rizzoli sedi di Bologna e Bagheria  (IRCCS IOR), dell’IRCCS Azienda Ospedaliero-Universitaria di Bologna (IRCCS AOU BO).</w:t>
      </w:r>
    </w:p>
    <w:p>
      <w:pPr>
        <w:pStyle w:val="Normal"/>
        <w:spacing w:before="60" w:after="60"/>
        <w:rPr>
          <w:rFonts w:ascii="Titillium" w:hAnsi="Titillium" w:cs="Calibri"/>
          <w:bCs/>
          <w:iCs/>
          <w:sz w:val="18"/>
          <w:szCs w:val="18"/>
          <w:lang w:eastAsia="it-IT"/>
        </w:rPr>
      </w:pPr>
      <w:r>
        <w:rPr>
          <w:rFonts w:cs="Calibri" w:ascii="Titillium" w:hAnsi="Titillium"/>
          <w:bCs/>
          <w:iCs/>
          <w:sz w:val="18"/>
          <w:szCs w:val="18"/>
          <w:lang w:eastAsia="it-IT"/>
        </w:rPr>
        <w:t>La presente procedura è interamente svolta tramite la PAD accessibile all’indirizzo http://intercent.regione.emilia-romagna.it.</w:t>
      </w:r>
    </w:p>
    <w:p>
      <w:pPr>
        <w:pStyle w:val="CommentText"/>
        <w:spacing w:before="60" w:after="60"/>
        <w:rPr>
          <w:rFonts w:ascii="Titillium" w:hAnsi="Titillium" w:cs="Calibri"/>
          <w:bCs/>
          <w:iCs/>
          <w:sz w:val="18"/>
          <w:szCs w:val="18"/>
          <w:lang w:val="it-IT" w:eastAsia="it-IT"/>
        </w:rPr>
      </w:pPr>
      <w:r>
        <w:rPr>
          <w:rFonts w:cs="Calibri" w:ascii="Titillium" w:hAnsi="Titillium"/>
          <w:bCs/>
          <w:iCs/>
          <w:sz w:val="18"/>
          <w:szCs w:val="18"/>
          <w:lang w:val="it-IT" w:eastAsia="it-IT"/>
        </w:rPr>
        <w:t>L’affidamento avviene mediante procedura aperta con applicazione del criterio dell’offerta economicamente più vantaggiosa individuata sulla base del miglior rapporto qualità prezzo.</w:t>
      </w:r>
    </w:p>
    <w:p>
      <w:pPr>
        <w:pStyle w:val="CommentText"/>
        <w:spacing w:before="60" w:after="60"/>
        <w:rPr>
          <w:i/>
        </w:rPr>
      </w:pPr>
      <w:r>
        <w:rPr>
          <w:rFonts w:cs="Calibri" w:ascii="Titillium" w:hAnsi="Titillium"/>
          <w:bCs/>
          <w:iCs/>
          <w:sz w:val="18"/>
          <w:szCs w:val="18"/>
          <w:lang w:val="it-IT" w:eastAsia="it-IT"/>
        </w:rPr>
        <w:t>La durata del procedimento prevista è pari a 9 mesi dalla pubblicazione del bando.</w:t>
      </w:r>
      <w:r>
        <w:rPr>
          <w:rFonts w:cs="Calibri" w:ascii="Titillium" w:hAnsi="Titillium"/>
          <w:bCs/>
          <w:i/>
          <w:sz w:val="18"/>
          <w:szCs w:val="18"/>
          <w:lang w:val="it-IT" w:eastAsia="it-IT"/>
        </w:rPr>
        <w:t xml:space="preserve"> </w:t>
      </w:r>
    </w:p>
    <w:p>
      <w:pPr>
        <w:pStyle w:val="Normal"/>
        <w:tabs>
          <w:tab w:val="clear" w:pos="708"/>
          <w:tab w:val="left" w:pos="360" w:leader="none"/>
        </w:tabs>
        <w:spacing w:before="60" w:after="60"/>
        <w:rPr>
          <w:i/>
          <w:iCs/>
        </w:rPr>
      </w:pPr>
      <w:r>
        <w:rPr>
          <w:rFonts w:cs="Calibri" w:ascii="Titillium" w:hAnsi="Titillium"/>
          <w:sz w:val="18"/>
          <w:szCs w:val="18"/>
        </w:rPr>
        <w:t>Il luogo di svolgimento del servizio è Bologna - codice NUTS: ITH55.</w:t>
      </w:r>
    </w:p>
    <w:p>
      <w:pPr>
        <w:pStyle w:val="CommentText"/>
        <w:spacing w:before="60" w:after="60"/>
        <w:rPr>
          <w:rFonts w:ascii="Titillium" w:hAnsi="Titillium" w:cs="Calibri"/>
          <w:bCs/>
          <w:iCs/>
          <w:sz w:val="18"/>
          <w:szCs w:val="18"/>
          <w:lang w:val="it-IT" w:eastAsia="it-IT"/>
        </w:rPr>
      </w:pPr>
      <w:r>
        <w:rPr>
          <w:rFonts w:cs="Calibri" w:ascii="Titillium" w:hAnsi="Titillium"/>
          <w:bCs/>
          <w:iCs/>
          <w:sz w:val="18"/>
          <w:szCs w:val="18"/>
          <w:lang w:val="it-IT" w:eastAsia="it-IT"/>
        </w:rPr>
        <w:t>CUI: S92038610371202500044 IRCCS AOU BO.</w:t>
      </w:r>
    </w:p>
    <w:p>
      <w:pPr>
        <w:pStyle w:val="CommentText"/>
        <w:spacing w:before="60" w:after="60"/>
        <w:rPr>
          <w:rFonts w:ascii="Titillium" w:hAnsi="Titillium" w:cs="Calibri"/>
          <w:bCs/>
          <w:iCs/>
          <w:sz w:val="18"/>
          <w:szCs w:val="18"/>
          <w:lang w:val="it-IT" w:eastAsia="it-IT"/>
        </w:rPr>
      </w:pPr>
      <w:r>
        <w:rPr>
          <w:rFonts w:cs="Calibri" w:ascii="Titillium" w:hAnsi="Titillium"/>
          <w:b/>
          <w:bCs/>
          <w:iCs/>
          <w:sz w:val="18"/>
          <w:szCs w:val="18"/>
          <w:lang w:val="it-IT" w:eastAsia="it-IT"/>
        </w:rPr>
        <w:t>RUP AUSL BO</w:t>
      </w:r>
      <w:r>
        <w:rPr>
          <w:rFonts w:cs="Calibri" w:ascii="Titillium" w:hAnsi="Titillium"/>
          <w:bCs/>
          <w:iCs/>
          <w:sz w:val="18"/>
          <w:szCs w:val="18"/>
          <w:lang w:val="it-IT" w:eastAsia="it-IT"/>
        </w:rPr>
        <w:t xml:space="preserve">: Dott. Luca Lelli, Servizio Unico Metropolitano Economato (SUME) </w:t>
      </w:r>
    </w:p>
    <w:p>
      <w:pPr>
        <w:pStyle w:val="CommentText"/>
        <w:spacing w:before="60" w:after="60"/>
        <w:rPr/>
      </w:pPr>
      <w:r>
        <w:rPr>
          <w:rFonts w:cs="Calibri" w:ascii="Titillium" w:hAnsi="Titillium"/>
          <w:b/>
          <w:bCs/>
          <w:iCs/>
          <w:sz w:val="18"/>
          <w:szCs w:val="18"/>
          <w:lang w:val="it-IT" w:eastAsia="it-IT"/>
        </w:rPr>
        <w:t>DEC AUSL BO</w:t>
      </w:r>
      <w:r>
        <w:rPr>
          <w:rFonts w:cs="Calibri" w:ascii="Titillium" w:hAnsi="Titillium"/>
          <w:bCs/>
          <w:iCs/>
          <w:sz w:val="18"/>
          <w:szCs w:val="18"/>
          <w:lang w:val="it-IT" w:eastAsia="it-IT"/>
        </w:rPr>
        <w:t>: Dott.ssa Tiziana Mazzetti, UA Trasporti OM</w:t>
        <w:br/>
        <w:t xml:space="preserve">Camere Mortuarie Aziendali </w:t>
      </w:r>
    </w:p>
    <w:p>
      <w:pPr>
        <w:pStyle w:val="CommentText"/>
        <w:spacing w:before="60" w:after="60"/>
        <w:rPr/>
      </w:pPr>
      <w:r>
        <w:rPr>
          <w:rFonts w:cs="Calibri" w:ascii="Titillium" w:hAnsi="Titillium"/>
          <w:b/>
          <w:bCs/>
          <w:iCs/>
          <w:sz w:val="18"/>
          <w:szCs w:val="18"/>
          <w:lang w:val="it-IT" w:eastAsia="it-IT"/>
        </w:rPr>
        <w:t>RUP AOU BO</w:t>
      </w:r>
      <w:r>
        <w:rPr>
          <w:rFonts w:cs="Calibri" w:ascii="Titillium" w:hAnsi="Titillium"/>
          <w:bCs/>
          <w:iCs/>
          <w:sz w:val="18"/>
          <w:szCs w:val="18"/>
          <w:lang w:val="it-IT" w:eastAsia="it-IT"/>
        </w:rPr>
        <w:t xml:space="preserve">: Dott.ssa Tania Igne, </w:t>
      </w:r>
      <w:r>
        <w:rPr>
          <w:rFonts w:cs="Calibri" w:ascii="Titillium" w:hAnsi="Titillium"/>
          <w:bCs/>
          <w:iCs/>
          <w:sz w:val="18"/>
          <w:szCs w:val="18"/>
          <w:lang w:eastAsia="it-IT"/>
        </w:rPr>
        <w:t xml:space="preserve">UOC Acquisti e Servizi Alberghieri </w:t>
      </w:r>
      <w:r>
        <w:rPr>
          <w:rFonts w:cs="Calibri" w:ascii="Titillium" w:hAnsi="Titillium"/>
          <w:bCs/>
          <w:iCs/>
          <w:sz w:val="18"/>
          <w:szCs w:val="18"/>
          <w:lang w:val="it-IT" w:eastAsia="it-IT"/>
        </w:rPr>
        <w:br/>
      </w:r>
      <w:r>
        <w:rPr>
          <w:rFonts w:cs="Calibri" w:ascii="Titillium" w:hAnsi="Titillium"/>
          <w:b/>
          <w:bCs/>
          <w:iCs/>
          <w:sz w:val="18"/>
          <w:szCs w:val="18"/>
          <w:lang w:val="it-IT" w:eastAsia="it-IT"/>
        </w:rPr>
        <w:t>DEC AOU BO</w:t>
      </w:r>
      <w:r>
        <w:rPr>
          <w:rFonts w:cs="Calibri" w:ascii="Titillium" w:hAnsi="Titillium"/>
          <w:iCs/>
          <w:sz w:val="18"/>
          <w:szCs w:val="18"/>
          <w:lang w:val="it-IT" w:eastAsia="it-IT"/>
        </w:rPr>
        <w:t xml:space="preserve">: Dott.ssa Sabrina Magnani, </w:t>
      </w:r>
      <w:r>
        <w:rPr>
          <w:rFonts w:cs="Calibri" w:ascii="Titillium" w:hAnsi="Titillium"/>
          <w:bCs/>
          <w:iCs/>
          <w:sz w:val="18"/>
          <w:szCs w:val="18"/>
          <w:lang w:eastAsia="it-IT"/>
        </w:rPr>
        <w:t xml:space="preserve">UOC Acquisti e Servizi Alberghieri </w:t>
      </w:r>
    </w:p>
    <w:p>
      <w:pPr>
        <w:pStyle w:val="CommentText"/>
        <w:spacing w:before="60" w:after="60"/>
        <w:rPr>
          <w:rFonts w:ascii="Titillium" w:hAnsi="Titillium" w:cs="Calibri"/>
          <w:b/>
          <w:bCs/>
          <w:iCs/>
          <w:sz w:val="18"/>
          <w:szCs w:val="18"/>
          <w:shd w:fill="FFFF00" w:val="clear"/>
          <w:lang w:val="it-IT" w:eastAsia="it-IT"/>
        </w:rPr>
      </w:pPr>
      <w:r>
        <w:rPr>
          <w:rFonts w:cs="Calibri" w:ascii="Titillium" w:hAnsi="Titillium"/>
          <w:b/>
          <w:bCs/>
          <w:iCs/>
          <w:sz w:val="18"/>
          <w:szCs w:val="18"/>
          <w:lang w:val="it-IT" w:eastAsia="it-IT"/>
        </w:rPr>
        <w:t>RUP IOR:</w:t>
      </w:r>
      <w:r>
        <w:rPr>
          <w:rFonts w:cs="Calibri" w:ascii="Titillium" w:hAnsi="Titillium"/>
          <w:sz w:val="18"/>
          <w:szCs w:val="18"/>
        </w:rPr>
        <w:t xml:space="preserve"> Dott.ssa Antonella Bruni , SS Gare e Procedure Contrattuali</w:t>
      </w:r>
    </w:p>
    <w:p>
      <w:pPr>
        <w:pStyle w:val="CommentText"/>
        <w:spacing w:before="60" w:after="60"/>
        <w:rPr/>
      </w:pPr>
      <w:r>
        <w:rPr>
          <w:rFonts w:cs="Calibri" w:ascii="Titillium" w:hAnsi="Titillium"/>
          <w:b/>
          <w:bCs/>
          <w:iCs/>
          <w:sz w:val="18"/>
          <w:szCs w:val="18"/>
          <w:lang w:val="it-IT" w:eastAsia="it-IT"/>
        </w:rPr>
        <w:t xml:space="preserve">DEC </w:t>
      </w:r>
      <w:r>
        <w:rPr>
          <w:rFonts w:cs="Calibri" w:ascii="Titillium" w:hAnsi="Titillium"/>
          <w:b/>
          <w:bCs/>
          <w:sz w:val="18"/>
          <w:szCs w:val="18"/>
        </w:rPr>
        <w:t>IOR</w:t>
      </w:r>
      <w:r>
        <w:rPr>
          <w:rFonts w:cs="Calibri" w:ascii="Titillium" w:hAnsi="Titillium"/>
          <w:sz w:val="18"/>
          <w:szCs w:val="18"/>
        </w:rPr>
        <w:t xml:space="preserve">: Dott. Leonardo Canova, SS Gare e Procedure Contrattuali </w:t>
      </w:r>
    </w:p>
    <w:p>
      <w:pPr>
        <w:pStyle w:val="CommentText"/>
        <w:spacing w:before="60" w:after="60"/>
        <w:rPr>
          <w:i/>
        </w:rPr>
      </w:pPr>
      <w:r>
        <w:rPr>
          <w:rFonts w:cs="Calibri" w:ascii="Titillium" w:hAnsi="Titillium"/>
          <w:bCs/>
          <w:iCs/>
          <w:sz w:val="18"/>
          <w:szCs w:val="18"/>
          <w:lang w:val="it-IT" w:eastAsia="it-IT"/>
        </w:rPr>
        <w:t>Il Responsa</w:t>
      </w:r>
      <w:r>
        <w:rPr>
          <w:rFonts w:cs="Calibri" w:ascii="Titillium" w:hAnsi="Titillium"/>
          <w:sz w:val="18"/>
          <w:szCs w:val="18"/>
        </w:rPr>
        <w:t>bile del procedimento per la fase di affidamento (RUPA) è la Dott.ssa Antonia Crugliano, Direttore del Servizio Acquisti Area Vasta, mail: servizio.acquisti@pec.ausl.bologna.it</w:t>
      </w:r>
      <w:r>
        <w:rPr>
          <w:rFonts w:cs="Calibri" w:ascii="Titillium" w:hAnsi="Titillium"/>
          <w:i/>
          <w:iCs/>
          <w:sz w:val="18"/>
          <w:szCs w:val="18"/>
        </w:rPr>
        <w:t>.</w:t>
      </w:r>
    </w:p>
    <w:p>
      <w:pPr>
        <w:pStyle w:val="Normal"/>
        <w:spacing w:before="60" w:after="60"/>
        <w:rPr/>
      </w:pPr>
      <w:r>
        <w:rPr/>
      </w:r>
    </w:p>
    <w:p>
      <w:pPr>
        <w:pStyle w:val="Heading2"/>
        <w:numPr>
          <w:ilvl w:val="0"/>
          <w:numId w:val="3"/>
        </w:numPr>
        <w:rPr>
          <w:caps/>
        </w:rPr>
      </w:pPr>
      <w:bookmarkStart w:id="27" w:name="_Ref132303744"/>
      <w:bookmarkStart w:id="28" w:name="_Toc231396651"/>
      <w:r>
        <w:rPr/>
        <w:t>PIATTAFORMA</w:t>
      </w:r>
      <w:bookmarkEnd w:id="28"/>
      <w:r>
        <w:rPr/>
        <w:t xml:space="preserve"> </w:t>
      </w:r>
      <w:bookmarkEnd w:id="27"/>
    </w:p>
    <w:p>
      <w:pPr>
        <w:pStyle w:val="Heading3"/>
        <w:numPr>
          <w:ilvl w:val="1"/>
          <w:numId w:val="3"/>
        </w:numPr>
        <w:ind w:hanging="432" w:left="426"/>
        <w:rPr>
          <w:rFonts w:ascii="Titillium" w:hAnsi="Titillium"/>
          <w:iCs/>
          <w:caps/>
          <w:sz w:val="18"/>
          <w:szCs w:val="18"/>
        </w:rPr>
      </w:pPr>
      <w:bookmarkStart w:id="29" w:name="_Toc231396652"/>
      <w:bookmarkStart w:id="30" w:name="_Ref132303729"/>
      <w:r>
        <w:rPr>
          <w:rFonts w:ascii="Titillium" w:hAnsi="Titillium"/>
          <w:iCs/>
          <w:sz w:val="18"/>
          <w:szCs w:val="18"/>
        </w:rPr>
        <w:t xml:space="preserve">LA PIATTAFORMA </w:t>
      </w:r>
      <w:bookmarkEnd w:id="30"/>
      <w:r>
        <w:rPr>
          <w:rFonts w:ascii="Titillium" w:hAnsi="Titillium"/>
          <w:iCs/>
          <w:sz w:val="18"/>
          <w:szCs w:val="18"/>
        </w:rPr>
        <w:t>DI APPROVVIGIONAMENTO DIGITALE (PAD)</w:t>
      </w:r>
      <w:bookmarkEnd w:id="29"/>
    </w:p>
    <w:p>
      <w:pPr>
        <w:pStyle w:val="NoSpacing"/>
        <w:tabs>
          <w:tab w:val="clear" w:pos="708"/>
          <w:tab w:val="left" w:pos="567" w:leader="none"/>
        </w:tabs>
        <w:spacing w:lineRule="auto" w:line="276" w:before="60" w:after="60"/>
        <w:rPr>
          <w:rFonts w:ascii="Titillium" w:hAnsi="Titillium" w:cs="Calibri"/>
          <w:bCs/>
          <w:iCs/>
          <w:sz w:val="18"/>
          <w:szCs w:val="18"/>
        </w:rPr>
      </w:pPr>
      <w:r>
        <w:rPr>
          <w:rFonts w:cs="Calibri" w:ascii="Titillium" w:hAnsi="Titillium"/>
          <w:bCs/>
          <w:iCs/>
          <w:sz w:val="18"/>
          <w:szCs w:val="18"/>
        </w:rPr>
        <w:t>L’utilizzo della PAD 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PAD.</w:t>
      </w:r>
    </w:p>
    <w:p>
      <w:pPr>
        <w:pStyle w:val="NoSpacing"/>
        <w:tabs>
          <w:tab w:val="clear" w:pos="708"/>
          <w:tab w:val="left" w:pos="567" w:leader="none"/>
        </w:tabs>
        <w:spacing w:before="60" w:after="60"/>
        <w:rPr>
          <w:rFonts w:ascii="Titillium" w:hAnsi="Titillium" w:cs="Calibri"/>
          <w:bCs/>
          <w:iCs/>
          <w:sz w:val="18"/>
          <w:szCs w:val="18"/>
        </w:rPr>
      </w:pPr>
      <w:r>
        <w:rPr>
          <w:rFonts w:cs="Calibri" w:ascii="Titillium" w:hAnsi="Titillium"/>
          <w:bCs/>
          <w:iCs/>
          <w:sz w:val="18"/>
          <w:szCs w:val="18"/>
        </w:rPr>
        <w:t xml:space="preserve">L’utilizzo della PAD avviene nel rispetto dei principi di autoresponsabilità e di diligenza professionale, secondo quanto previsto dall’articolo 1176, comma 2, del Codice civile. </w:t>
      </w:r>
    </w:p>
    <w:p>
      <w:pPr>
        <w:pStyle w:val="Default"/>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pPr>
        <w:pStyle w:val="Default"/>
        <w:numPr>
          <w:ilvl w:val="1"/>
          <w:numId w:val="13"/>
        </w:numPr>
        <w:ind w:hanging="284" w:left="284"/>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difetti di funzionamento delle apparecchiature e dei sistemi di collegamento e programmi impiegati dal singolo operatore economico per il collegamento alla PAD;</w:t>
      </w:r>
    </w:p>
    <w:p>
      <w:pPr>
        <w:pStyle w:val="Default"/>
        <w:numPr>
          <w:ilvl w:val="1"/>
          <w:numId w:val="13"/>
        </w:numPr>
        <w:ind w:hanging="284" w:left="284"/>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utilizzo della PAD da parte dell’operatore economico in maniera non conforme al Disciplinare</w:t>
      </w:r>
      <w:r>
        <w:rPr>
          <w:rFonts w:eastAsia="Times New Roman" w:cs="Calibri" w:ascii="Titillium" w:hAnsi="Titillium"/>
          <w:bCs/>
          <w:i/>
          <w:iCs/>
          <w:color w:val="auto"/>
          <w:sz w:val="18"/>
          <w:szCs w:val="18"/>
        </w:rPr>
        <w:t>.</w:t>
      </w:r>
    </w:p>
    <w:p>
      <w:pPr>
        <w:pStyle w:val="Default"/>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In caso di mancato funzionamento della PAD o di malfunzionamento della stessa, non dovuti alle predette circostanze, che impediscono la corretta presentazione delle offerte, al fine di assicurare la massima partecipazione, la stazione appaltante valuta la necessità di disporre la sospensione del termine per la presentazione delle offerte per il periodo di tempo strettamente necessario a ripristinare il normale funzionamento e la proroga dello stesso per una durata proporzionale alla durata del mancato o non corretto funzionamento, tenuto conto della gravità dello stesso</w:t>
      </w:r>
      <w:r>
        <w:rPr>
          <w:color w:val="auto"/>
        </w:rPr>
        <w:t xml:space="preserve"> </w:t>
      </w:r>
      <w:r>
        <w:rPr>
          <w:rFonts w:eastAsia="Times New Roman" w:cs="Calibri" w:ascii="Titillium" w:hAnsi="Titillium"/>
          <w:bCs/>
          <w:iCs/>
          <w:color w:val="auto"/>
          <w:sz w:val="18"/>
          <w:szCs w:val="18"/>
        </w:rPr>
        <w:t xml:space="preserve">e del momento in cui si verifica. La proroga o la riapertura del termine di scadenza di presentazione delle offerte limitata ad un periodo massimo di 48 ore dalla data di scadenza indicata nel bando è resa nota sulla PAD e sul sito internet della stazione appaltante, unitamente all’indicazione della durata e dei motivi del malfunzionamento. In tali casi, non è richiesta la pubblicazione di una rettifica al bando di gara ai sensi dell’articolo 27 del codice, né la riedizione della procedura. </w:t>
      </w:r>
    </w:p>
    <w:p>
      <w:pPr>
        <w:pStyle w:val="Default"/>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 xml:space="preserve">Nel caso in cui la proroga dei termini per la presentazione delle offerte abbia una durata superiore, la stazione appaltante rettifica il bando di gara con indicazione della nuova scadenza. </w:t>
      </w:r>
    </w:p>
    <w:p>
      <w:pPr>
        <w:pStyle w:val="Default"/>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 xml:space="preserve">Nei soli casi in cui la sospensione o la proroga dei termini non siano considerati idonei a garantire la </w:t>
      </w:r>
      <w:r>
        <w:rPr>
          <w:rFonts w:eastAsia="Times New Roman" w:cs="Calibri" w:ascii="Titillium" w:hAnsi="Titillium"/>
          <w:bCs/>
          <w:i/>
          <w:color w:val="auto"/>
          <w:sz w:val="18"/>
          <w:szCs w:val="18"/>
        </w:rPr>
        <w:t>par condicio</w:t>
      </w:r>
      <w:r>
        <w:rPr>
          <w:rFonts w:eastAsia="Times New Roman" w:cs="Calibri" w:ascii="Titillium" w:hAnsi="Titillium"/>
          <w:bCs/>
          <w:iCs/>
          <w:color w:val="auto"/>
          <w:sz w:val="18"/>
          <w:szCs w:val="18"/>
        </w:rPr>
        <w:t xml:space="preserve"> dei partecipanti e/o la segretezza delle offerte, la stazione appaltante procede alla riedizione della procedura.</w:t>
      </w:r>
    </w:p>
    <w:p>
      <w:pPr>
        <w:pStyle w:val="Default"/>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La stazione appaltante si riserva di agire in tal modo anche quando, esclusa la negligenza dell’operatore economico, non sia possibile accertare la causa del mancato funzionamento o del malfunzionamento.</w:t>
      </w:r>
    </w:p>
    <w:p>
      <w:pPr>
        <w:pStyle w:val="Default"/>
        <w:tabs>
          <w:tab w:val="clear" w:pos="708"/>
          <w:tab w:val="left" w:pos="567" w:leader="none"/>
        </w:tabs>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r>
    </w:p>
    <w:p>
      <w:pPr>
        <w:pStyle w:val="Default"/>
        <w:tabs>
          <w:tab w:val="clear" w:pos="708"/>
          <w:tab w:val="left" w:pos="567" w:leader="none"/>
        </w:tabs>
        <w:rPr>
          <w:rFonts w:ascii="Titillium" w:hAnsi="Titillium" w:eastAsia="Times New Roman" w:cs="Calibri"/>
          <w:bCs/>
          <w:iCs/>
          <w:color w:val="auto"/>
          <w:sz w:val="18"/>
          <w:szCs w:val="18"/>
        </w:rPr>
      </w:pPr>
      <w:r>
        <w:rPr>
          <w:rFonts w:eastAsia="Times New Roman" w:cs="Calibri" w:ascii="Titillium" w:hAnsi="Titillium"/>
          <w:bCs/>
          <w:iCs/>
          <w:color w:val="auto"/>
          <w:sz w:val="18"/>
          <w:szCs w:val="18"/>
        </w:rPr>
        <w:t xml:space="preserve">Le attività e le operazioni effettuate nell'ambito della PAD sono registrate e attribuite all’operatore economico e si intendono compiute nell’ora e nel giorno risultanti dalle registrazioni di sistema. </w:t>
      </w:r>
    </w:p>
    <w:p>
      <w:pPr>
        <w:pStyle w:val="Default"/>
        <w:tabs>
          <w:tab w:val="clear" w:pos="708"/>
          <w:tab w:val="left" w:pos="567" w:leader="none"/>
        </w:tabs>
        <w:rPr/>
      </w:pPr>
      <w:r>
        <w:rPr>
          <w:rFonts w:eastAsia="Times New Roman" w:cs="Calibri" w:ascii="Titillium" w:hAnsi="Titillium"/>
          <w:bCs/>
          <w:iCs/>
          <w:color w:val="auto"/>
          <w:sz w:val="18"/>
          <w:szCs w:val="18"/>
        </w:rPr>
        <w:t>Il sistema operativo della PAD è sincronizzato sulla scala di tempo nazionale di cui al</w:t>
      </w:r>
      <w:r>
        <w:rPr>
          <w:rFonts w:eastAsia="Times New Roman" w:cs="Calibri" w:ascii="Calibri" w:hAnsi="Calibri"/>
          <w:bCs/>
          <w:iCs/>
          <w:color w:val="auto"/>
          <w:sz w:val="18"/>
          <w:szCs w:val="18"/>
        </w:rPr>
        <w:t xml:space="preserve"> </w:t>
      </w:r>
      <w:r>
        <w:rPr>
          <w:rFonts w:eastAsia="Times New Roman" w:cs="Calibri" w:ascii="Titillium" w:hAnsi="Titillium"/>
          <w:bCs/>
          <w:iCs/>
          <w:color w:val="auto"/>
          <w:sz w:val="18"/>
          <w:szCs w:val="18"/>
        </w:rPr>
        <w:t xml:space="preserve">decreto del Ministro dell'industria, del commercio e dell'artigianato 30 novembre 1993, n. 591, tramite protocollo NTP o standard superiore. </w:t>
      </w:r>
    </w:p>
    <w:p>
      <w:pPr>
        <w:pStyle w:val="Default"/>
        <w:rPr>
          <w:rFonts w:ascii="Titillium" w:hAnsi="Titillium" w:cs="Calibri"/>
          <w:bCs/>
          <w:iCs/>
          <w:sz w:val="18"/>
          <w:szCs w:val="18"/>
        </w:rPr>
      </w:pPr>
      <w:r>
        <w:rPr>
          <w:rFonts w:cs="Calibri" w:ascii="Titillium" w:hAnsi="Titillium"/>
          <w:bCs/>
          <w:iCs/>
          <w:sz w:val="18"/>
          <w:szCs w:val="18"/>
        </w:rPr>
        <w:t>L’utilizzo e il funzionamento della PAD avvengono in conformità a quanto riportato http://intercenter.regione.emilia-romagna.it/agenzia/utilizzo-del-sistema/guide/, che costituisce parte integrante del presente disciplinare.</w:t>
      </w:r>
    </w:p>
    <w:p>
      <w:pPr>
        <w:pStyle w:val="Default"/>
        <w:rPr/>
      </w:pPr>
      <w:r>
        <w:rPr>
          <w:rFonts w:eastAsia="Times New Roman" w:cs="Calibri" w:ascii="Titillium" w:hAnsi="Titillium"/>
          <w:bCs/>
          <w:iCs/>
          <w:color w:val="auto"/>
          <w:sz w:val="18"/>
          <w:szCs w:val="18"/>
        </w:rPr>
        <w:t>L’acquisto, l’installazione e la configurazione dell’</w:t>
      </w:r>
      <w:r>
        <w:rPr>
          <w:rFonts w:eastAsia="Times New Roman" w:cs="Calibri" w:ascii="Titillium" w:hAnsi="Titillium"/>
          <w:bCs/>
          <w:i/>
          <w:iCs/>
          <w:color w:val="auto"/>
          <w:sz w:val="18"/>
          <w:szCs w:val="18"/>
        </w:rPr>
        <w:t>hardware</w:t>
      </w:r>
      <w:r>
        <w:rPr>
          <w:rFonts w:eastAsia="Times New Roman" w:cs="Calibri" w:ascii="Titillium" w:hAnsi="Titillium"/>
          <w:bCs/>
          <w:iCs/>
          <w:color w:val="auto"/>
          <w:sz w:val="18"/>
          <w:szCs w:val="18"/>
        </w:rPr>
        <w:t xml:space="preserve">, del </w:t>
      </w:r>
      <w:r>
        <w:rPr>
          <w:rFonts w:eastAsia="Times New Roman" w:cs="Calibri" w:ascii="Titillium" w:hAnsi="Titillium"/>
          <w:bCs/>
          <w:i/>
          <w:iCs/>
          <w:color w:val="auto"/>
          <w:sz w:val="18"/>
          <w:szCs w:val="18"/>
        </w:rPr>
        <w:t>software</w:t>
      </w:r>
      <w:r>
        <w:rPr>
          <w:rFonts w:eastAsia="Times New Roman" w:cs="Calibri" w:ascii="Titillium" w:hAnsi="Titillium"/>
          <w:bCs/>
          <w:iCs/>
          <w:color w:val="auto"/>
          <w:sz w:val="18"/>
          <w:szCs w:val="18"/>
        </w:rPr>
        <w:t xml:space="preserve">, dei certificati digitali di firma, della casella di PEC o comunque di un indirizzo di servizio elettronico di recapito certificato qualificato, nonché dei collegamenti per l’accesso alla rete </w:t>
      </w:r>
      <w:r>
        <w:rPr>
          <w:rFonts w:eastAsia="Times New Roman" w:cs="Calibri" w:ascii="Titillium" w:hAnsi="Titillium"/>
          <w:bCs/>
          <w:i/>
          <w:iCs/>
          <w:color w:val="auto"/>
          <w:sz w:val="18"/>
          <w:szCs w:val="18"/>
        </w:rPr>
        <w:t>Internet</w:t>
      </w:r>
      <w:r>
        <w:rPr>
          <w:rFonts w:eastAsia="Times New Roman" w:cs="Calibri" w:ascii="Titillium" w:hAnsi="Titillium"/>
          <w:bCs/>
          <w:iCs/>
          <w:color w:val="auto"/>
          <w:sz w:val="18"/>
          <w:szCs w:val="18"/>
        </w:rPr>
        <w:t>, restano a esclusivo carico dell’operatore economico.</w:t>
      </w:r>
    </w:p>
    <w:p>
      <w:pPr>
        <w:pStyle w:val="Default"/>
        <w:tabs>
          <w:tab w:val="clear" w:pos="708"/>
          <w:tab w:val="left" w:pos="567" w:leader="none"/>
        </w:tabs>
        <w:rPr>
          <w:rFonts w:ascii="Titillium" w:hAnsi="Titillium" w:eastAsia="Times New Roman" w:cs="Calibri"/>
          <w:bCs/>
          <w:iCs/>
          <w:sz w:val="18"/>
          <w:szCs w:val="18"/>
        </w:rPr>
      </w:pPr>
      <w:r>
        <w:rPr>
          <w:rFonts w:eastAsia="Times New Roman" w:cs="Calibri" w:ascii="Titillium" w:hAnsi="Titillium"/>
          <w:bCs/>
          <w:iCs/>
          <w:color w:val="auto"/>
          <w:sz w:val="18"/>
          <w:szCs w:val="18"/>
        </w:rPr>
        <w:t xml:space="preserve">La PAD è accessibile </w:t>
      </w:r>
      <w:r>
        <w:rPr>
          <w:rFonts w:eastAsia="Times New Roman" w:cs="Calibri" w:ascii="Titillium" w:hAnsi="Titillium"/>
          <w:bCs/>
          <w:color w:val="auto"/>
          <w:sz w:val="18"/>
          <w:szCs w:val="18"/>
        </w:rPr>
        <w:t>in qualsiasi orario dalla data di pubblicazione del bando alla data di scadenza del termine di presentazione delle offerte ad eccezione delle ore dedicate all’aggiornamento della Piattaforma espressamente indicate nella stessa (solitamente nel pomeriggio dell’ultimo venerdì del mese).</w:t>
      </w:r>
    </w:p>
    <w:p>
      <w:pPr>
        <w:pStyle w:val="Heading3"/>
        <w:numPr>
          <w:ilvl w:val="1"/>
          <w:numId w:val="3"/>
        </w:numPr>
        <w:ind w:hanging="432" w:left="426"/>
        <w:rPr>
          <w:rFonts w:ascii="Titillium" w:hAnsi="Titillium"/>
          <w:iCs/>
          <w:caps/>
          <w:sz w:val="18"/>
          <w:szCs w:val="18"/>
        </w:rPr>
      </w:pPr>
      <w:bookmarkStart w:id="31" w:name="_Toc231396653"/>
      <w:bookmarkStart w:id="32" w:name="_Toc763991891111111111111111111111"/>
      <w:bookmarkStart w:id="33" w:name="_Toc7655640811111"/>
      <w:bookmarkStart w:id="34" w:name="_Toc7655646911111"/>
      <w:bookmarkStart w:id="35" w:name="_Toc7655653011111"/>
      <w:bookmarkStart w:id="36" w:name="_Toc7655659111111"/>
      <w:bookmarkStart w:id="37" w:name="_Toc763991881111111111111111111111"/>
      <w:bookmarkStart w:id="38" w:name="_Toc7655640711111"/>
      <w:bookmarkStart w:id="39" w:name="_Toc7655646811111"/>
      <w:bookmarkStart w:id="40" w:name="_Toc7655652911111"/>
      <w:bookmarkStart w:id="41" w:name="_Toc7655659011111"/>
      <w:bookmarkStart w:id="42" w:name="_Toc763991871111111111111111111111"/>
      <w:bookmarkStart w:id="43" w:name="_Toc7655640611111"/>
      <w:bookmarkStart w:id="44" w:name="_Toc7655646711111"/>
      <w:bookmarkStart w:id="45" w:name="_Toc7655652811111"/>
      <w:bookmarkStart w:id="46" w:name="_Toc7655658911111"/>
      <w:bookmarkStart w:id="47" w:name="_Toc763991861111111111111111111111"/>
      <w:bookmarkStart w:id="48" w:name="_Toc7655640511111"/>
      <w:bookmarkStart w:id="49" w:name="_Toc7655646611111"/>
      <w:bookmarkStart w:id="50" w:name="_Toc7655652711111"/>
      <w:bookmarkStart w:id="51" w:name="_Toc765565881111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Titillium" w:hAnsi="Titillium"/>
          <w:iCs/>
          <w:sz w:val="18"/>
          <w:szCs w:val="18"/>
        </w:rPr>
        <w:t>DOTAZIONI TECNICHE</w:t>
      </w:r>
      <w:bookmarkEnd w:id="31"/>
    </w:p>
    <w:p>
      <w:pPr>
        <w:pStyle w:val="Normal"/>
        <w:tabs>
          <w:tab w:val="clear" w:pos="708"/>
          <w:tab w:val="left" w:pos="709" w:leader="none"/>
        </w:tabs>
        <w:spacing w:before="60" w:after="60"/>
        <w:rPr/>
      </w:pPr>
      <w:r>
        <w:rPr>
          <w:rFonts w:cs="Calibri" w:ascii="Titillium" w:hAnsi="Titillium"/>
          <w:bCs/>
          <w:color w:val="000000"/>
          <w:sz w:val="18"/>
          <w:szCs w:val="18"/>
        </w:rPr>
        <w:t xml:space="preserve">Ai fini della partecipazione alla presente procedura, ogni operatore economico deve dotarsi, a propria cura, spesa e responsabilità della strumentazione tecnica ed informatica conforme a quella indicata nel presente disciplinare e nel documento e nei manuali pubblicati sulla piattaforma https://intercent.regione.emilia-romagna.it, </w:t>
      </w:r>
      <w:r>
        <w:rPr>
          <w:rFonts w:cs="Calibri" w:ascii="Titillium" w:hAnsi="Titillium"/>
          <w:bCs/>
          <w:iCs/>
          <w:color w:val="000000"/>
          <w:sz w:val="18"/>
          <w:szCs w:val="18"/>
        </w:rPr>
        <w:t>che disciplina il funzionamento e l’utilizzo della PAD</w:t>
      </w:r>
      <w:r>
        <w:rPr>
          <w:rFonts w:cs="Calibri" w:ascii="Titillium" w:hAnsi="Titillium"/>
          <w:bCs/>
          <w:color w:val="000000"/>
          <w:sz w:val="18"/>
          <w:szCs w:val="18"/>
        </w:rPr>
        <w:t>.</w:t>
      </w:r>
    </w:p>
    <w:p>
      <w:pPr>
        <w:pStyle w:val="Normal"/>
        <w:tabs>
          <w:tab w:val="clear" w:pos="708"/>
          <w:tab w:val="left" w:pos="709" w:leader="none"/>
        </w:tabs>
        <w:spacing w:before="60" w:after="60"/>
        <w:rPr>
          <w:rFonts w:ascii="Titillium" w:hAnsi="Titillium" w:cs="Calibri"/>
          <w:bCs/>
          <w:color w:val="000000"/>
          <w:sz w:val="18"/>
          <w:szCs w:val="18"/>
        </w:rPr>
      </w:pPr>
      <w:r>
        <w:rPr>
          <w:rFonts w:cs="Calibri" w:ascii="Titillium" w:hAnsi="Titillium"/>
          <w:bCs/>
          <w:color w:val="000000"/>
          <w:sz w:val="18"/>
          <w:szCs w:val="18"/>
        </w:rPr>
        <w:t>In ogni caso è indispensabile:</w:t>
      </w:r>
    </w:p>
    <w:p>
      <w:pPr>
        <w:pStyle w:val="Default"/>
        <w:numPr>
          <w:ilvl w:val="1"/>
          <w:numId w:val="14"/>
        </w:numPr>
        <w:tabs>
          <w:tab w:val="clear" w:pos="708"/>
          <w:tab w:val="left" w:pos="360" w:leader="none"/>
        </w:tabs>
        <w:ind w:hanging="357" w:left="709"/>
        <w:rPr>
          <w:rFonts w:ascii="Titillium" w:hAnsi="Titillium" w:eastAsia="Times New Roman" w:cs="Calibri"/>
          <w:bCs/>
          <w:sz w:val="18"/>
          <w:szCs w:val="18"/>
          <w:lang w:eastAsia="en-US"/>
        </w:rPr>
      </w:pPr>
      <w:r>
        <w:rPr>
          <w:rFonts w:eastAsia="Times New Roman" w:cs="Calibri" w:ascii="Titillium" w:hAnsi="Titillium"/>
          <w:bCs/>
          <w:sz w:val="18"/>
          <w:szCs w:val="18"/>
          <w:lang w:eastAsia="en-US"/>
        </w:rPr>
        <w:t xml:space="preserve">disporre almeno di un personal computer conforme agli standard aggiornati di mercato, con connessione internet e dotato di un comune browser idoneo ad operare in modo corretto sulla PAD; </w:t>
      </w:r>
    </w:p>
    <w:p>
      <w:pPr>
        <w:pStyle w:val="Default"/>
        <w:numPr>
          <w:ilvl w:val="1"/>
          <w:numId w:val="14"/>
        </w:numPr>
        <w:tabs>
          <w:tab w:val="clear" w:pos="708"/>
          <w:tab w:val="left" w:pos="360" w:leader="none"/>
        </w:tabs>
        <w:ind w:hanging="357" w:left="709"/>
        <w:rPr>
          <w:rFonts w:ascii="Titillium" w:hAnsi="Titillium" w:eastAsia="Times New Roman" w:cs="Calibri"/>
          <w:sz w:val="18"/>
          <w:szCs w:val="18"/>
          <w:lang w:eastAsia="en-US"/>
        </w:rPr>
      </w:pPr>
      <w:r>
        <w:rPr>
          <w:rFonts w:eastAsia="Times New Roman" w:cs="Calibri" w:ascii="Titillium" w:hAnsi="Titillium"/>
          <w:sz w:val="18"/>
          <w:szCs w:val="18"/>
          <w:lang w:eastAsia="en-US"/>
        </w:rPr>
        <w:t xml:space="preserve">disporre di una identità digitale SPID (Sistema Pubblico di Identità Digitale) o di altri mezzi di identificazione elettronica (CIE e CNS) di cui all’articolo 64 del Codice dell'Amministrazione Digitale (decreto legislativo 7 marzo 2005, n. 82 e successive modificazioni), nonché di mezzi di identificazione elettronica per il riconoscimento reciproco transfrontaliero ai sensi del Regolamento eIDAS; in caso di operatore economico extra-UE, disporre di un’identità digitale </w:t>
      </w:r>
      <w:r>
        <w:rPr>
          <w:rFonts w:ascii="Titillium" w:hAnsi="Titillium"/>
          <w:sz w:val="18"/>
          <w:szCs w:val="18"/>
        </w:rPr>
        <w:t>compatibile con il framework</w:t>
      </w:r>
      <w:r>
        <w:rPr>
          <w:rFonts w:eastAsia="Times New Roman" w:cs="Calibri" w:ascii="Titillium" w:hAnsi="Titillium"/>
          <w:sz w:val="18"/>
          <w:szCs w:val="18"/>
          <w:lang w:eastAsia="en-US"/>
        </w:rPr>
        <w:t xml:space="preserve"> di autenticazione stabilito dalla PAD di riferimento e caratterizzata da un Level of Assurance (LoA) pari o superiore a 3, in conformità allo standard ISO/IEC 29115 (e relative evoluzioni). </w:t>
      </w:r>
    </w:p>
    <w:p>
      <w:pPr>
        <w:pStyle w:val="Default"/>
        <w:numPr>
          <w:ilvl w:val="1"/>
          <w:numId w:val="14"/>
        </w:numPr>
        <w:tabs>
          <w:tab w:val="clear" w:pos="708"/>
          <w:tab w:val="left" w:pos="360" w:leader="none"/>
        </w:tabs>
        <w:ind w:hanging="360" w:left="709"/>
        <w:rPr>
          <w:rFonts w:ascii="Titillium" w:hAnsi="Titillium" w:eastAsia="Times New Roman" w:cs="Calibri"/>
          <w:bCs/>
          <w:sz w:val="18"/>
          <w:szCs w:val="18"/>
          <w:lang w:eastAsia="en-US"/>
        </w:rPr>
      </w:pPr>
      <w:r>
        <w:rPr>
          <w:rFonts w:eastAsia="Times New Roman" w:cs="Calibri" w:ascii="Titillium" w:hAnsi="Titillium"/>
          <w:bCs/>
          <w:sz w:val="18"/>
          <w:szCs w:val="18"/>
          <w:lang w:eastAsia="en-US"/>
        </w:rPr>
        <w:t>avere un domicilio digitale presente negli indici di cui agli articoli 6-bis e 6-ter del decreto legislativo 7 marzo 2005, n. 82 o, per l’operatore economico transfrontaliero, un indirizzo di servizio elettronico di recapito certificato qualificato ai sensi del Regolamento eIDAS;</w:t>
      </w:r>
    </w:p>
    <w:p>
      <w:pPr>
        <w:pStyle w:val="Default"/>
        <w:numPr>
          <w:ilvl w:val="1"/>
          <w:numId w:val="14"/>
        </w:numPr>
        <w:tabs>
          <w:tab w:val="clear" w:pos="708"/>
          <w:tab w:val="left" w:pos="360" w:leader="none"/>
        </w:tabs>
        <w:ind w:hanging="360" w:left="709"/>
        <w:rPr>
          <w:rFonts w:ascii="Titillium" w:hAnsi="Titillium" w:eastAsia="Times New Roman" w:cs="Calibri"/>
          <w:bCs/>
          <w:sz w:val="18"/>
          <w:szCs w:val="18"/>
          <w:lang w:eastAsia="en-US"/>
        </w:rPr>
      </w:pPr>
      <w:r>
        <w:rPr>
          <w:rFonts w:eastAsia="Times New Roman" w:cs="Calibri" w:ascii="Titillium" w:hAnsi="Titillium"/>
          <w:bCs/>
          <w:sz w:val="18"/>
          <w:szCs w:val="18"/>
          <w:lang w:eastAsia="en-US"/>
        </w:rPr>
        <w:t>avere da parte del legale rappresentante dell’operatore economico (o da persona munita di idonei poteri di firma) un certificato di firma digitale, in corso di validità, rilasciato da:</w:t>
      </w:r>
    </w:p>
    <w:p>
      <w:pPr>
        <w:pStyle w:val="Default"/>
        <w:numPr>
          <w:ilvl w:val="1"/>
          <w:numId w:val="13"/>
        </w:numPr>
        <w:tabs>
          <w:tab w:val="clear" w:pos="708"/>
          <w:tab w:val="left" w:pos="360" w:leader="none"/>
        </w:tabs>
        <w:ind w:hanging="360" w:left="1134"/>
        <w:rPr>
          <w:rFonts w:ascii="Titillium" w:hAnsi="Titillium" w:eastAsia="Times New Roman" w:cs="Calibri"/>
          <w:bCs/>
          <w:sz w:val="18"/>
          <w:szCs w:val="18"/>
          <w:lang w:eastAsia="en-US"/>
        </w:rPr>
      </w:pPr>
      <w:r>
        <w:rPr>
          <w:rFonts w:eastAsia="Times New Roman" w:cs="Calibri" w:ascii="Titillium" w:hAnsi="Titillium"/>
          <w:bCs/>
          <w:sz w:val="18"/>
          <w:szCs w:val="18"/>
          <w:lang w:eastAsia="en-US"/>
        </w:rPr>
        <w:t xml:space="preserve">un organismo incluso nell’elenco pubblico dei certificatori tenuto dall’Agenzia per l’Italia Digitale (previsto dall’articolo 29 del decreto legislativo n. 82/05); </w:t>
      </w:r>
    </w:p>
    <w:p>
      <w:pPr>
        <w:pStyle w:val="Default"/>
        <w:numPr>
          <w:ilvl w:val="1"/>
          <w:numId w:val="13"/>
        </w:numPr>
        <w:tabs>
          <w:tab w:val="clear" w:pos="708"/>
          <w:tab w:val="left" w:pos="360" w:leader="none"/>
        </w:tabs>
        <w:ind w:hanging="360" w:left="1134"/>
        <w:rPr>
          <w:rFonts w:ascii="Titillium" w:hAnsi="Titillium" w:eastAsia="Times New Roman" w:cs="Calibri"/>
          <w:bCs/>
          <w:sz w:val="18"/>
          <w:szCs w:val="18"/>
          <w:lang w:eastAsia="en-US"/>
        </w:rPr>
      </w:pPr>
      <w:r>
        <w:rPr>
          <w:rFonts w:eastAsia="Times New Roman" w:cs="Calibri" w:ascii="Titillium" w:hAnsi="Titillium"/>
          <w:bCs/>
          <w:sz w:val="18"/>
          <w:szCs w:val="18"/>
          <w:lang w:eastAsia="en-US"/>
        </w:rPr>
        <w:t xml:space="preserve">un certificatore operante in base a una licenza o autorizzazione rilasciata da uno Stato membro dell’Unione europea e in possesso dei requisiti previsti dal Regolamento n. 910/14; </w:t>
      </w:r>
    </w:p>
    <w:p>
      <w:pPr>
        <w:pStyle w:val="Default"/>
        <w:numPr>
          <w:ilvl w:val="1"/>
          <w:numId w:val="13"/>
        </w:numPr>
        <w:tabs>
          <w:tab w:val="clear" w:pos="708"/>
          <w:tab w:val="left" w:pos="360" w:leader="none"/>
        </w:tabs>
        <w:ind w:hanging="360" w:left="1134"/>
        <w:rPr/>
      </w:pPr>
      <w:r>
        <w:rPr>
          <w:rFonts w:eastAsia="Times New Roman" w:cs="Calibri" w:ascii="Titillium" w:hAnsi="Titillium"/>
          <w:bCs/>
          <w:sz w:val="18"/>
          <w:szCs w:val="18"/>
          <w:lang w:eastAsia="en-US"/>
        </w:rPr>
        <w:t>un certificatore stabilito in uno Stato non facente parte dell’Unione europea quando ricorre una delle seguenti condizioni</w:t>
      </w:r>
      <w:r>
        <w:rPr>
          <w:rFonts w:eastAsia="Times New Roman" w:cs="Calibri" w:ascii="Titillium" w:hAnsi="Titillium"/>
          <w:bCs/>
          <w:iCs/>
          <w:sz w:val="18"/>
          <w:szCs w:val="18"/>
        </w:rPr>
        <w:t xml:space="preserve">: </w:t>
      </w:r>
    </w:p>
    <w:p>
      <w:pPr>
        <w:pStyle w:val="Default"/>
        <w:numPr>
          <w:ilvl w:val="0"/>
          <w:numId w:val="23"/>
        </w:numPr>
        <w:rPr/>
      </w:pPr>
      <w:r>
        <w:rPr>
          <w:rFonts w:eastAsia="Times New Roman" w:cs="Calibri" w:ascii="Titillium" w:hAnsi="Titillium"/>
          <w:bCs/>
          <w:iCs/>
          <w:sz w:val="18"/>
          <w:szCs w:val="18"/>
        </w:rPr>
        <w:t xml:space="preserve">il certificatore possiede i requisiti previsti dal Regolamento </w:t>
      </w:r>
      <w:r>
        <w:rPr>
          <w:rFonts w:cs="Calibri" w:ascii="Titillium" w:hAnsi="Titillium"/>
          <w:bCs/>
          <w:iCs/>
          <w:sz w:val="18"/>
          <w:szCs w:val="18"/>
        </w:rPr>
        <w:t xml:space="preserve">n. 910/14 </w:t>
      </w:r>
      <w:r>
        <w:rPr>
          <w:rFonts w:eastAsia="Times New Roman" w:cs="Calibri" w:ascii="Titillium" w:hAnsi="Titillium"/>
          <w:bCs/>
          <w:iCs/>
          <w:sz w:val="18"/>
          <w:szCs w:val="18"/>
        </w:rPr>
        <w:t xml:space="preserve">ed è qualificato in uno stato membro; </w:t>
      </w:r>
    </w:p>
    <w:p>
      <w:pPr>
        <w:pStyle w:val="Default"/>
        <w:numPr>
          <w:ilvl w:val="0"/>
          <w:numId w:val="23"/>
        </w:numPr>
        <w:rPr>
          <w:rFonts w:ascii="Titillium" w:hAnsi="Titillium" w:eastAsia="Times New Roman" w:cs="Calibri"/>
          <w:bCs/>
          <w:iCs/>
          <w:sz w:val="18"/>
          <w:szCs w:val="18"/>
        </w:rPr>
      </w:pPr>
      <w:r>
        <w:rPr>
          <w:rFonts w:eastAsia="Times New Roman" w:cs="Calibri" w:ascii="Titillium" w:hAnsi="Titillium"/>
          <w:bCs/>
          <w:iCs/>
          <w:sz w:val="18"/>
          <w:szCs w:val="18"/>
        </w:rPr>
        <w:t xml:space="preserve">il certificato qualificato è garantito da un certificatore stabilito nell’Unione Europea, in possesso dei requisiti di cui al regolamento n. 9100/14; </w:t>
      </w:r>
    </w:p>
    <w:p>
      <w:pPr>
        <w:pStyle w:val="Default"/>
        <w:numPr>
          <w:ilvl w:val="0"/>
          <w:numId w:val="23"/>
        </w:numPr>
        <w:rPr>
          <w:rFonts w:ascii="Titillium" w:hAnsi="Titillium" w:eastAsia="Times New Roman" w:cs="Calibri"/>
          <w:bCs/>
          <w:iCs/>
          <w:sz w:val="18"/>
          <w:szCs w:val="18"/>
        </w:rPr>
      </w:pPr>
      <w:r>
        <w:rPr>
          <w:rFonts w:eastAsia="Times New Roman" w:cs="Calibri" w:ascii="Titillium" w:hAnsi="Titillium"/>
          <w:bCs/>
          <w:iCs/>
          <w:sz w:val="18"/>
          <w:szCs w:val="18"/>
        </w:rPr>
        <w:t xml:space="preserve">il certificato qualificato, o il certificatore, è riconosciuto in forza di un accordo bilaterale o multilaterale tra l’Unione Europea e paesi terzi o organizzazioni internazionali. </w:t>
      </w:r>
    </w:p>
    <w:p>
      <w:pPr>
        <w:pStyle w:val="Default"/>
        <w:ind w:left="1277"/>
        <w:rPr>
          <w:rFonts w:ascii="Titillium" w:hAnsi="Titillium" w:eastAsia="Times New Roman" w:cs="Calibri"/>
          <w:bCs/>
          <w:iCs/>
          <w:sz w:val="18"/>
          <w:szCs w:val="18"/>
        </w:rPr>
      </w:pPr>
      <w:r>
        <w:rPr>
          <w:rFonts w:eastAsia="Times New Roman" w:cs="Calibri" w:ascii="Titillium" w:hAnsi="Titillium"/>
          <w:bCs/>
          <w:iCs/>
          <w:sz w:val="18"/>
          <w:szCs w:val="18"/>
        </w:rPr>
      </w:r>
    </w:p>
    <w:p>
      <w:pPr>
        <w:pStyle w:val="Heading3"/>
        <w:numPr>
          <w:ilvl w:val="1"/>
          <w:numId w:val="3"/>
        </w:numPr>
        <w:ind w:hanging="432" w:left="426"/>
        <w:rPr>
          <w:rFonts w:ascii="Titillium" w:hAnsi="Titillium"/>
          <w:iCs/>
          <w:caps/>
          <w:sz w:val="18"/>
          <w:szCs w:val="18"/>
        </w:rPr>
      </w:pPr>
      <w:bookmarkStart w:id="52" w:name="_Toc231396654"/>
      <w:r>
        <w:rPr>
          <w:rFonts w:ascii="Titillium" w:hAnsi="Titillium"/>
          <w:iCs/>
          <w:sz w:val="18"/>
          <w:szCs w:val="18"/>
        </w:rPr>
        <w:t>IDENTIFICAZIONE</w:t>
      </w:r>
      <w:bookmarkEnd w:id="52"/>
    </w:p>
    <w:p>
      <w:pPr>
        <w:pStyle w:val="Normal"/>
        <w:rPr>
          <w:rFonts w:ascii="Titillium" w:hAnsi="Titillium" w:cs="Calibri"/>
          <w:bCs/>
          <w:iCs/>
          <w:sz w:val="18"/>
          <w:szCs w:val="18"/>
        </w:rPr>
      </w:pPr>
      <w:r>
        <w:rPr>
          <w:rFonts w:cs="Calibri" w:ascii="Titillium" w:hAnsi="Titillium"/>
          <w:bCs/>
          <w:iCs/>
          <w:sz w:val="18"/>
          <w:szCs w:val="18"/>
        </w:rPr>
        <w:t>Per poter presentare offerta è necessario accedere alla PAD.</w:t>
      </w:r>
    </w:p>
    <w:p>
      <w:pPr>
        <w:pStyle w:val="Normal"/>
        <w:rPr>
          <w:rFonts w:ascii="Titillium" w:hAnsi="Titillium"/>
          <w:sz w:val="18"/>
          <w:szCs w:val="18"/>
        </w:rPr>
      </w:pPr>
      <w:r>
        <w:rPr>
          <w:rFonts w:ascii="Titillium" w:hAnsi="Titillium"/>
          <w:sz w:val="18"/>
          <w:szCs w:val="18"/>
        </w:rPr>
        <w:t xml:space="preserve">L’accesso è gratuito ed è consentito a seguito dell’identificazione dell’operatore economico. </w:t>
      </w:r>
    </w:p>
    <w:p>
      <w:pPr>
        <w:pStyle w:val="Normal"/>
        <w:rPr>
          <w:rFonts w:ascii="Titillium" w:hAnsi="Titillium"/>
          <w:sz w:val="18"/>
          <w:szCs w:val="18"/>
        </w:rPr>
      </w:pPr>
      <w:r>
        <w:rPr>
          <w:rFonts w:ascii="Titillium" w:hAnsi="Titillium"/>
          <w:sz w:val="18"/>
          <w:szCs w:val="18"/>
        </w:rPr>
        <w:t xml:space="preserve">L’identificazione avviene o mediante identità digitale SPID, o mediante carta d’identità elettronica (CIE) oppure carta nazionale dei servizi (CNS), secondo quanto previsto dal </w:t>
      </w:r>
      <w:r>
        <w:rPr>
          <w:rFonts w:cs="Calibri" w:ascii="Titillium" w:hAnsi="Titillium"/>
          <w:sz w:val="18"/>
          <w:szCs w:val="18"/>
        </w:rPr>
        <w:t>Codice dell'Amministrazione Digitale (decreto legislativo 7 marzo 2005, n. 82 e successive modificazioni),</w:t>
      </w:r>
      <w:r>
        <w:rPr>
          <w:rFonts w:ascii="Titillium" w:hAnsi="Titillium"/>
          <w:sz w:val="18"/>
          <w:szCs w:val="18"/>
        </w:rPr>
        <w:t xml:space="preserve"> o attraverso gli altri mezzi di identificazione elettronica per il riconoscimento reciproco transfrontaliero ai sensi del Regolamento eIDAS. In caso di operatore economico extra-UE, l’identificazione avviene attraverso una identità digitale compatibile con il framework di autenticazione stabilito dalla PAD di riferimento e caratterizzata da un Level of Assurance (LoA) pari o superiore a 3, in conformità allo standard ISO/IEC 29115 (e relative evoluzioni).</w:t>
      </w:r>
    </w:p>
    <w:p>
      <w:pPr>
        <w:pStyle w:val="Default"/>
        <w:tabs>
          <w:tab w:val="clear" w:pos="708"/>
          <w:tab w:val="left" w:pos="0" w:leader="none"/>
        </w:tabs>
        <w:spacing w:before="60" w:after="60"/>
        <w:rPr>
          <w:rFonts w:ascii="Titillium" w:hAnsi="Titillium"/>
          <w:sz w:val="18"/>
          <w:szCs w:val="18"/>
        </w:rPr>
      </w:pPr>
      <w:r>
        <w:rPr>
          <w:rFonts w:ascii="Titillium" w:hAnsi="Titillium"/>
          <w:sz w:val="18"/>
          <w:szCs w:val="18"/>
        </w:rPr>
        <w:t xml:space="preserve">Una volta completata la procedura di identificazione, ad ogni operatore economico identificato viene attribuito un profilo da utilizzare nella procedura di gara. </w:t>
      </w:r>
    </w:p>
    <w:p>
      <w:pPr>
        <w:pStyle w:val="Normal"/>
        <w:tabs>
          <w:tab w:val="clear" w:pos="708"/>
          <w:tab w:val="left" w:pos="0" w:leader="none"/>
        </w:tabs>
        <w:spacing w:before="60" w:after="60"/>
        <w:rPr>
          <w:rFonts w:ascii="Titillium" w:hAnsi="Titillium" w:cs="Calibri"/>
          <w:sz w:val="18"/>
          <w:szCs w:val="18"/>
        </w:rPr>
      </w:pPr>
      <w:r>
        <w:rPr>
          <w:rFonts w:cs="Calibri" w:ascii="Titillium" w:hAnsi="Titillium"/>
          <w:sz w:val="18"/>
          <w:szCs w:val="18"/>
        </w:rPr>
        <w:t xml:space="preserve">Eventuali richieste di assistenza di tipo informatico riguardanti l’identificazione e l’accesso alla PAD devono essere effettuate: </w:t>
      </w:r>
    </w:p>
    <w:p>
      <w:pPr>
        <w:pStyle w:val="Normal"/>
        <w:tabs>
          <w:tab w:val="clear" w:pos="708"/>
          <w:tab w:val="left" w:pos="0" w:leader="none"/>
        </w:tabs>
        <w:spacing w:before="60" w:after="60"/>
        <w:rPr>
          <w:rFonts w:ascii="Titillium" w:hAnsi="Titillium" w:cs="Calibri"/>
          <w:iCs/>
          <w:sz w:val="18"/>
          <w:szCs w:val="18"/>
        </w:rPr>
      </w:pPr>
      <w:r>
        <w:rPr>
          <w:rFonts w:cs="Calibri" w:ascii="Titillium" w:hAnsi="Titillium"/>
          <w:iCs/>
          <w:sz w:val="18"/>
          <w:szCs w:val="18"/>
        </w:rPr>
        <w:t>Numero Verde: 800 810 799</w:t>
      </w:r>
    </w:p>
    <w:p>
      <w:pPr>
        <w:pStyle w:val="Normal"/>
        <w:tabs>
          <w:tab w:val="clear" w:pos="708"/>
          <w:tab w:val="left" w:pos="0" w:leader="none"/>
        </w:tabs>
        <w:spacing w:before="60" w:after="60"/>
        <w:rPr>
          <w:rFonts w:ascii="Titillium" w:hAnsi="Titillium" w:cs="Calibri"/>
          <w:iCs/>
          <w:sz w:val="18"/>
          <w:szCs w:val="18"/>
        </w:rPr>
      </w:pPr>
      <w:r>
        <w:rPr>
          <w:rFonts w:cs="Calibri" w:ascii="Titillium" w:hAnsi="Titillium"/>
          <w:iCs/>
          <w:sz w:val="18"/>
          <w:szCs w:val="18"/>
        </w:rPr>
        <w:t>Tel: +390899712796 Mobile/Estero</w:t>
      </w:r>
    </w:p>
    <w:p>
      <w:pPr>
        <w:pStyle w:val="Normal"/>
        <w:tabs>
          <w:tab w:val="clear" w:pos="708"/>
          <w:tab w:val="left" w:pos="0" w:leader="none"/>
        </w:tabs>
        <w:spacing w:before="60" w:after="60"/>
        <w:rPr>
          <w:rFonts w:ascii="Titillium" w:hAnsi="Titillium" w:cs="Calibri"/>
          <w:iCs/>
          <w:sz w:val="18"/>
          <w:szCs w:val="18"/>
        </w:rPr>
      </w:pPr>
      <w:r>
        <w:rPr>
          <w:rFonts w:cs="Calibri" w:ascii="Titillium" w:hAnsi="Titillium"/>
          <w:iCs/>
          <w:sz w:val="18"/>
          <w:szCs w:val="18"/>
        </w:rPr>
        <w:t xml:space="preserve">Nei seguenti orari 9.00 – 13.00 / 14.00 – 18.00 oppure inviando una e-mail al seguente indirizzo: </w:t>
      </w:r>
      <w:hyperlink r:id="rId2">
        <w:r>
          <w:rPr>
            <w:rStyle w:val="Hyperlink"/>
            <w:rFonts w:cs="Calibri" w:ascii="Titillium" w:hAnsi="Titillium"/>
            <w:iCs/>
            <w:sz w:val="18"/>
            <w:szCs w:val="18"/>
          </w:rPr>
          <w:t>info.intercent@regione.emilia-romagna.it</w:t>
        </w:r>
      </w:hyperlink>
      <w:r>
        <w:rPr>
          <w:rFonts w:cs="Calibri" w:ascii="Titillium" w:hAnsi="Titillium"/>
          <w:iCs/>
          <w:sz w:val="18"/>
          <w:szCs w:val="18"/>
        </w:rPr>
        <w:t>.</w:t>
      </w:r>
    </w:p>
    <w:p>
      <w:pPr>
        <w:pStyle w:val="Normal"/>
        <w:tabs>
          <w:tab w:val="clear" w:pos="708"/>
          <w:tab w:val="left" w:pos="0" w:leader="none"/>
        </w:tabs>
        <w:spacing w:before="60" w:after="60"/>
        <w:rPr>
          <w:rFonts w:ascii="Titillium" w:hAnsi="Titillium" w:cs="Calibri"/>
          <w:iCs/>
          <w:sz w:val="18"/>
          <w:szCs w:val="18"/>
        </w:rPr>
      </w:pPr>
      <w:r>
        <w:rPr>
          <w:rFonts w:cs="Calibri" w:ascii="Titillium" w:hAnsi="Titillium"/>
          <w:iCs/>
          <w:sz w:val="18"/>
          <w:szCs w:val="18"/>
        </w:rPr>
      </w:r>
    </w:p>
    <w:p>
      <w:pPr>
        <w:pStyle w:val="Heading2"/>
        <w:numPr>
          <w:ilvl w:val="0"/>
          <w:numId w:val="3"/>
        </w:numPr>
        <w:rPr>
          <w:caps/>
        </w:rPr>
      </w:pPr>
      <w:bookmarkStart w:id="53" w:name="_Toc231396655"/>
      <w:bookmarkStart w:id="54" w:name="_Toc482101909"/>
      <w:bookmarkEnd w:id="54"/>
      <w:r>
        <w:rPr/>
        <w:t>DOCUMENTAZIONE DI GARA, CHIARIMENTI E COMUNICAZIONI</w:t>
      </w:r>
      <w:bookmarkEnd w:id="53"/>
    </w:p>
    <w:p>
      <w:pPr>
        <w:pStyle w:val="Heading3"/>
        <w:numPr>
          <w:ilvl w:val="1"/>
          <w:numId w:val="3"/>
        </w:numPr>
        <w:ind w:hanging="142" w:left="142"/>
        <w:rPr>
          <w:rFonts w:ascii="Titillium" w:hAnsi="Titillium"/>
          <w:iCs/>
          <w:sz w:val="18"/>
          <w:szCs w:val="18"/>
        </w:rPr>
      </w:pPr>
      <w:bookmarkStart w:id="55" w:name="_Toc231396656"/>
      <w:bookmarkStart w:id="56" w:name="_Ref138082059"/>
      <w:r>
        <w:rPr>
          <w:rFonts w:ascii="Titillium" w:hAnsi="Titillium"/>
          <w:iCs/>
          <w:sz w:val="18"/>
          <w:szCs w:val="18"/>
        </w:rPr>
        <w:t>DOCUMENTI DI GARA</w:t>
      </w:r>
      <w:bookmarkEnd w:id="55"/>
      <w:bookmarkEnd w:id="56"/>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rFonts w:ascii="Titillium" w:hAnsi="Titillium" w:cs="Calibri"/>
          <w:sz w:val="18"/>
          <w:szCs w:val="18"/>
        </w:rPr>
      </w:pPr>
      <w:r>
        <w:rPr>
          <w:rFonts w:cs="Calibri" w:ascii="Titillium" w:hAnsi="Titillium"/>
          <w:sz w:val="18"/>
          <w:szCs w:val="18"/>
        </w:rPr>
        <w:t>La documentazione di gara comprende:</w:t>
      </w:r>
    </w:p>
    <w:p>
      <w:pPr>
        <w:pStyle w:val="Normal"/>
        <w:numPr>
          <w:ilvl w:val="2"/>
          <w:numId w:val="15"/>
        </w:numPr>
        <w:spacing w:before="60" w:after="60"/>
        <w:ind w:hanging="283" w:left="709"/>
        <w:jc w:val="left"/>
        <w:rPr>
          <w:rFonts w:ascii="Titillium" w:hAnsi="Titillium" w:cs="Calibri"/>
          <w:bCs/>
          <w:iCs/>
          <w:sz w:val="18"/>
          <w:szCs w:val="18"/>
          <w:lang w:eastAsia="it-IT"/>
        </w:rPr>
      </w:pPr>
      <w:r>
        <w:rPr>
          <w:rFonts w:cs="Calibri" w:ascii="Titillium" w:hAnsi="Titillium"/>
          <w:bCs/>
          <w:iCs/>
          <w:sz w:val="18"/>
          <w:szCs w:val="18"/>
          <w:lang w:eastAsia="it-IT"/>
        </w:rPr>
        <w:t>Determina di indizione</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capitolato speciale</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disciplinare di gara</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Allegato 1 clausole vessatorie</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Allegato 2 domanda di partecipazione</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Allegato 3 schema di contratto</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 xml:space="preserve">Allegato 4 autorizzazione al consenso al trattamento dei dati tramite il fascicolo virtuale </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Allegato 5 descrizione attività di trattamento</w:t>
      </w:r>
    </w:p>
    <w:p>
      <w:pPr>
        <w:pStyle w:val="Normal"/>
        <w:numPr>
          <w:ilvl w:val="2"/>
          <w:numId w:val="15"/>
        </w:numPr>
        <w:spacing w:before="60" w:after="60"/>
        <w:ind w:hanging="283" w:left="709"/>
        <w:rPr>
          <w:rFonts w:ascii="Titillium" w:hAnsi="Titillium" w:cs="Calibri"/>
          <w:bCs/>
          <w:iCs/>
          <w:sz w:val="18"/>
          <w:szCs w:val="18"/>
          <w:lang w:eastAsia="it-IT"/>
        </w:rPr>
      </w:pPr>
      <w:r>
        <w:rPr>
          <w:rFonts w:cs="Calibri" w:ascii="Titillium" w:hAnsi="Titillium"/>
          <w:bCs/>
          <w:iCs/>
          <w:sz w:val="18"/>
          <w:szCs w:val="18"/>
          <w:lang w:eastAsia="it-IT"/>
        </w:rPr>
        <w:t>Allegato 6 - Istruzioni per il responsabile del trattamento</w:t>
      </w:r>
    </w:p>
    <w:p>
      <w:pPr>
        <w:pStyle w:val="Normal"/>
        <w:numPr>
          <w:ilvl w:val="2"/>
          <w:numId w:val="15"/>
        </w:numPr>
        <w:spacing w:before="60" w:after="60"/>
        <w:ind w:hanging="283" w:left="709"/>
        <w:rPr>
          <w:rFonts w:ascii="Titillium" w:hAnsi="Titillium" w:cs="Calibri"/>
          <w:bCs/>
          <w:iCs/>
          <w:sz w:val="18"/>
          <w:szCs w:val="18"/>
          <w:shd w:fill="FFFFFF" w:val="clear"/>
          <w:lang w:eastAsia="it-IT"/>
        </w:rPr>
      </w:pPr>
      <w:r>
        <w:rPr>
          <w:rFonts w:cs="Calibri" w:ascii="Titillium" w:hAnsi="Titillium"/>
          <w:bCs/>
          <w:iCs/>
          <w:sz w:val="18"/>
          <w:szCs w:val="18"/>
          <w:shd w:fill="FFFFFF" w:val="clear"/>
          <w:lang w:eastAsia="it-IT"/>
        </w:rPr>
        <w:t>Allegato 7 – Dichiarazione pari opportunità</w:t>
      </w:r>
    </w:p>
    <w:p>
      <w:pPr>
        <w:pStyle w:val="Normal"/>
        <w:numPr>
          <w:ilvl w:val="2"/>
          <w:numId w:val="15"/>
        </w:numPr>
        <w:spacing w:before="60" w:after="60"/>
        <w:ind w:hanging="283" w:left="709"/>
        <w:rPr>
          <w:rFonts w:ascii="Titillium" w:hAnsi="Titillium" w:cs="Calibri"/>
          <w:bCs/>
          <w:iCs/>
          <w:sz w:val="18"/>
          <w:szCs w:val="18"/>
          <w:shd w:fill="FFFFFF" w:val="clear"/>
          <w:lang w:eastAsia="it-IT"/>
        </w:rPr>
      </w:pPr>
      <w:r>
        <w:rPr>
          <w:rFonts w:cs="Calibri" w:ascii="Titillium" w:hAnsi="Titillium"/>
          <w:bCs/>
          <w:iCs/>
          <w:sz w:val="18"/>
          <w:szCs w:val="18"/>
          <w:shd w:fill="FFFFFF" w:val="clear"/>
          <w:lang w:eastAsia="it-IT"/>
        </w:rPr>
        <w:t>Allegato 8 – Cybersecurity</w:t>
      </w:r>
    </w:p>
    <w:p>
      <w:pPr>
        <w:pStyle w:val="Normal"/>
        <w:numPr>
          <w:ilvl w:val="2"/>
          <w:numId w:val="15"/>
        </w:numPr>
        <w:spacing w:before="60" w:after="60"/>
        <w:ind w:hanging="283" w:left="709"/>
        <w:rPr>
          <w:rFonts w:ascii="Titillium" w:hAnsi="Titillium" w:cs="Calibri"/>
          <w:bCs/>
          <w:iCs/>
          <w:sz w:val="18"/>
          <w:szCs w:val="18"/>
          <w:shd w:fill="FFFFFF" w:val="clear"/>
          <w:lang w:eastAsia="it-IT"/>
        </w:rPr>
      </w:pPr>
      <w:r>
        <w:rPr>
          <w:rFonts w:cs="Calibri" w:ascii="Titillium" w:hAnsi="Titillium"/>
          <w:bCs/>
          <w:iCs/>
          <w:sz w:val="18"/>
          <w:szCs w:val="18"/>
          <w:shd w:fill="FFFFFF" w:val="clear"/>
          <w:lang w:eastAsia="it-IT"/>
        </w:rPr>
        <w:t xml:space="preserve">Allegati A1 e A2 </w:t>
      </w:r>
      <w:r>
        <w:rPr>
          <w:rFonts w:cs="Calibri" w:ascii="Titillium" w:hAnsi="Titillium"/>
          <w:bCs/>
          <w:iCs/>
          <w:sz w:val="18"/>
          <w:szCs w:val="18"/>
          <w:shd w:fill="auto" w:val="clear"/>
          <w:lang w:eastAsia="it-IT"/>
        </w:rPr>
        <w:t>Dati relativi al personale per clausola sociale</w:t>
      </w:r>
    </w:p>
    <w:p>
      <w:pPr>
        <w:pStyle w:val="Normal"/>
        <w:numPr>
          <w:ilvl w:val="2"/>
          <w:numId w:val="15"/>
        </w:numPr>
        <w:spacing w:before="60" w:after="60"/>
        <w:ind w:hanging="283" w:left="709"/>
        <w:rPr>
          <w:shd w:fill="FFFFFF" w:val="clear"/>
        </w:rPr>
      </w:pPr>
      <w:r>
        <w:rPr>
          <w:rFonts w:cs="Calibri" w:ascii="Titillium" w:hAnsi="Titillium"/>
          <w:bCs/>
          <w:iCs/>
          <w:sz w:val="18"/>
          <w:szCs w:val="18"/>
          <w:shd w:fill="FFFFFF" w:val="clear"/>
          <w:lang w:eastAsia="it-IT"/>
        </w:rPr>
        <w:t>Allegato E scheda offerta economica</w:t>
      </w:r>
    </w:p>
    <w:p>
      <w:pPr>
        <w:pStyle w:val="Normal"/>
        <w:numPr>
          <w:ilvl w:val="2"/>
          <w:numId w:val="15"/>
        </w:numPr>
        <w:spacing w:before="60" w:after="60"/>
        <w:ind w:hanging="283" w:left="709"/>
        <w:rPr>
          <w:shd w:fill="FFFFFF" w:val="clear"/>
        </w:rPr>
      </w:pPr>
      <w:r>
        <w:rPr>
          <w:rFonts w:cs="Calibri" w:ascii="Titillium" w:hAnsi="Titillium"/>
          <w:bCs/>
          <w:iCs/>
          <w:sz w:val="18"/>
          <w:szCs w:val="18"/>
          <w:shd w:fill="FFFFFF" w:val="clear"/>
          <w:lang w:eastAsia="it-IT"/>
        </w:rPr>
        <w:t>Documento di gara unico europeo in formato elettronico (DGUE) da compilare direttamente su Sater</w:t>
      </w:r>
    </w:p>
    <w:p>
      <w:pPr>
        <w:pStyle w:val="Normal"/>
        <w:numPr>
          <w:ilvl w:val="2"/>
          <w:numId w:val="15"/>
        </w:numPr>
        <w:spacing w:before="60" w:after="60"/>
        <w:ind w:hanging="283" w:left="709"/>
        <w:rPr>
          <w:shd w:fill="FFFFFF" w:val="clear"/>
        </w:rPr>
      </w:pPr>
      <w:r>
        <w:rPr>
          <w:rFonts w:cs="Calibri" w:ascii="Titillium" w:hAnsi="Titillium"/>
          <w:bCs/>
          <w:iCs/>
          <w:sz w:val="18"/>
          <w:szCs w:val="18"/>
          <w:shd w:fill="FFFFFF" w:val="clear"/>
          <w:lang w:eastAsia="it-IT"/>
        </w:rPr>
        <w:t>Tabella per DUVRI</w:t>
      </w:r>
    </w:p>
    <w:p>
      <w:pPr>
        <w:pStyle w:val="Normal"/>
        <w:numPr>
          <w:ilvl w:val="2"/>
          <w:numId w:val="15"/>
        </w:numPr>
        <w:spacing w:before="60" w:after="60"/>
        <w:ind w:hanging="283" w:left="709"/>
        <w:rPr>
          <w:shd w:fill="FFFFFF" w:val="clear"/>
        </w:rPr>
      </w:pPr>
      <w:r>
        <w:rPr>
          <w:rFonts w:eastAsia="Calibri" w:cs="Book-Antiqua,Bold" w:ascii="Titillium" w:hAnsi="Titillium"/>
          <w:bCs/>
          <w:iCs/>
          <w:color w:val="000000"/>
          <w:sz w:val="18"/>
          <w:szCs w:val="18"/>
          <w:shd w:fill="FFFFFF" w:val="clear"/>
          <w:lang w:eastAsia="it-IT"/>
        </w:rPr>
        <w:t xml:space="preserve">istruzioni operative per accedere alla PAD e regole tecniche per l’utilizzo della stessa </w:t>
      </w:r>
      <w:r>
        <w:rPr>
          <w:rFonts w:eastAsia="Calibri" w:cs="Book-Antiqua,Bold" w:ascii="Titillium" w:hAnsi="Titillium"/>
          <w:bCs/>
          <w:color w:val="000000"/>
          <w:sz w:val="18"/>
          <w:szCs w:val="18"/>
          <w:shd w:fill="FFFFFF" w:val="clear"/>
          <w:lang w:eastAsia="it-IT"/>
        </w:rPr>
        <w:t>al link https://intercenter.regione.emilia-romagna.it dove è possibile trovare tale documentazione;</w:t>
      </w:r>
    </w:p>
    <w:p>
      <w:pPr>
        <w:pStyle w:val="Normal"/>
        <w:spacing w:before="60" w:after="60"/>
        <w:rPr>
          <w:rFonts w:ascii="Titillium" w:hAnsi="Titillium" w:cs="Calibri"/>
          <w:i/>
          <w:sz w:val="18"/>
          <w:szCs w:val="18"/>
        </w:rPr>
      </w:pPr>
      <w:r>
        <w:rPr>
          <w:rFonts w:cs="Calibri" w:ascii="Titillium" w:hAnsi="Titillium"/>
          <w:sz w:val="18"/>
          <w:szCs w:val="18"/>
          <w:shd w:fill="FFFFFF" w:val="clear"/>
        </w:rPr>
        <w:t>La documentazione di gara è accessibile gratuitamente, sul sito istituzionale della stazione appaltante, nella sezione “Amministrazione trasparente”, al seguente link: www.ausl.bo</w:t>
      </w:r>
      <w:r>
        <w:rPr>
          <w:rFonts w:cs="Calibri" w:ascii="Titillium" w:hAnsi="Titillium"/>
          <w:sz w:val="18"/>
          <w:szCs w:val="18"/>
        </w:rPr>
        <w:t>logna.it - sezione Bandi di gara e contratti – Bandi di gara</w:t>
      </w:r>
      <w:r>
        <w:rPr>
          <w:rFonts w:ascii="Titillium" w:hAnsi="Titillium"/>
          <w:sz w:val="18"/>
          <w:szCs w:val="18"/>
        </w:rPr>
        <w:t xml:space="preserve"> </w:t>
      </w:r>
      <w:r>
        <w:rPr>
          <w:rFonts w:cs="Calibri" w:ascii="Titillium" w:hAnsi="Titillium"/>
          <w:sz w:val="18"/>
          <w:szCs w:val="18"/>
        </w:rPr>
        <w:t>e sulla PAD https://intercenter.regione.emilia-romagna.it.</w:t>
      </w:r>
    </w:p>
    <w:p>
      <w:pPr>
        <w:pStyle w:val="Normal"/>
        <w:spacing w:before="60" w:after="60"/>
        <w:rPr>
          <w:rFonts w:ascii="Titillium" w:hAnsi="Titillium" w:cs="Calibri"/>
          <w:i/>
          <w:sz w:val="18"/>
          <w:szCs w:val="18"/>
        </w:rPr>
      </w:pPr>
      <w:r>
        <w:rPr>
          <w:rFonts w:cs="Calibri" w:ascii="Titillium" w:hAnsi="Titillium"/>
          <w:i/>
          <w:sz w:val="18"/>
          <w:szCs w:val="18"/>
        </w:rPr>
      </w:r>
    </w:p>
    <w:p>
      <w:pPr>
        <w:pStyle w:val="Heading3"/>
        <w:numPr>
          <w:ilvl w:val="1"/>
          <w:numId w:val="3"/>
        </w:numPr>
        <w:ind w:hanging="426" w:left="426"/>
        <w:rPr/>
      </w:pPr>
      <w:bookmarkStart w:id="57" w:name="_Toc231396657"/>
      <w:r>
        <w:rPr>
          <w:rFonts w:ascii="Titillium" w:hAnsi="Titillium"/>
          <w:sz w:val="18"/>
          <w:szCs w:val="18"/>
        </w:rPr>
        <w:t>CHIARIMENTI</w:t>
      </w:r>
      <w:bookmarkEnd w:id="57"/>
    </w:p>
    <w:p>
      <w:pPr>
        <w:pStyle w:val="Normal"/>
        <w:spacing w:before="60" w:after="60"/>
        <w:rPr>
          <w:rFonts w:ascii="Titillium" w:hAnsi="Titillium" w:cs="Calibri"/>
          <w:sz w:val="18"/>
          <w:szCs w:val="18"/>
        </w:rPr>
      </w:pPr>
      <w:r>
        <w:rPr>
          <w:rFonts w:cs="Calibri" w:ascii="Titillium" w:hAnsi="Titillium"/>
          <w:sz w:val="18"/>
          <w:szCs w:val="18"/>
        </w:rPr>
        <w:t>É possibile ottenere chiarimenti sulla presente procedura mediante la proposizione di quesiti scritti da inoltrare in via telematica attraverso l’apposita sezione, entro la data indicata sulla stessa Piattaforma, attraverso la sezione riservata alle richieste di chiarimenti: http://intercenter.regione.emilia-romagna.it/agenzia/utilizzo-del-sistema/guide/guide, previa registrazione alla Piattaforma stessa.</w:t>
      </w:r>
    </w:p>
    <w:p>
      <w:pPr>
        <w:pStyle w:val="Normal"/>
        <w:spacing w:before="60" w:after="60"/>
        <w:rPr>
          <w:rFonts w:ascii="Titillium" w:hAnsi="Titillium" w:cs="Calibri"/>
          <w:i/>
          <w:sz w:val="18"/>
          <w:szCs w:val="18"/>
        </w:rPr>
      </w:pPr>
      <w:r>
        <w:rPr>
          <w:rFonts w:cs="Calibri" w:ascii="Titillium" w:hAnsi="Titillium"/>
          <w:sz w:val="18"/>
          <w:szCs w:val="18"/>
        </w:rPr>
        <w:t xml:space="preserve">Le richieste di chiarimenti e le relative risposte sono formulate esclusivamente in lingua italiana </w:t>
      </w:r>
      <w:r>
        <w:rPr>
          <w:rFonts w:cs="Calibri" w:ascii="Titillium" w:hAnsi="Titillium"/>
          <w:i/>
          <w:iCs/>
          <w:sz w:val="18"/>
          <w:szCs w:val="18"/>
        </w:rPr>
        <w:t>[</w:t>
      </w:r>
      <w:r>
        <w:rPr>
          <w:rFonts w:cs="Calibri" w:ascii="Titillium" w:hAnsi="Titillium"/>
          <w:b/>
          <w:bCs/>
          <w:i/>
          <w:iCs/>
          <w:sz w:val="18"/>
          <w:szCs w:val="18"/>
        </w:rPr>
        <w:t>in alternativa</w:t>
      </w:r>
      <w:r>
        <w:rPr>
          <w:rFonts w:cs="Calibri" w:ascii="Titillium" w:hAnsi="Titillium"/>
          <w:i/>
          <w:iCs/>
          <w:sz w:val="18"/>
          <w:szCs w:val="18"/>
        </w:rPr>
        <w:t xml:space="preserve"> in caso di bilinguismo]</w:t>
      </w:r>
      <w:r>
        <w:rPr>
          <w:rFonts w:cs="Calibri" w:ascii="Titillium" w:hAnsi="Titillium"/>
          <w:sz w:val="18"/>
          <w:szCs w:val="18"/>
        </w:rPr>
        <w:t xml:space="preserve"> Le richieste di chiarimenti e le relative risposte sono formulate in lingua </w:t>
      </w:r>
      <w:r>
        <w:rPr>
          <w:rFonts w:cs="Calibri" w:ascii="Titillium" w:hAnsi="Titillium"/>
          <w:sz w:val="18"/>
          <w:szCs w:val="18"/>
          <w:lang w:eastAsia="it-IT"/>
        </w:rPr>
        <w:t>italiana [</w:t>
      </w:r>
      <w:r>
        <w:rPr>
          <w:rFonts w:cs="Calibri" w:ascii="Titillium" w:hAnsi="Titillium"/>
          <w:i/>
          <w:sz w:val="18"/>
          <w:szCs w:val="18"/>
          <w:lang w:eastAsia="it-IT"/>
        </w:rPr>
        <w:t>e, o specificare]</w:t>
      </w:r>
      <w:r>
        <w:rPr>
          <w:rFonts w:cs="Calibri" w:ascii="Titillium" w:hAnsi="Titillium"/>
          <w:sz w:val="18"/>
          <w:szCs w:val="18"/>
        </w:rPr>
        <w:t xml:space="preserve"> … </w:t>
      </w:r>
      <w:r>
        <w:rPr>
          <w:rFonts w:cs="Calibri" w:ascii="Titillium" w:hAnsi="Titillium"/>
          <w:i/>
          <w:sz w:val="18"/>
          <w:szCs w:val="18"/>
        </w:rPr>
        <w:t>[indicare l’altra lingua]</w:t>
      </w:r>
      <w:r>
        <w:rPr>
          <w:rFonts w:cs="Calibri" w:ascii="Titillium" w:hAnsi="Titillium"/>
          <w:sz w:val="18"/>
          <w:szCs w:val="18"/>
          <w:lang w:eastAsia="it-IT"/>
        </w:rPr>
        <w:t>.</w:t>
      </w:r>
    </w:p>
    <w:p>
      <w:pPr>
        <w:pStyle w:val="Normal"/>
        <w:spacing w:before="60" w:after="60"/>
        <w:rPr>
          <w:rFonts w:ascii="Titillium" w:hAnsi="Titillium" w:cs="Calibri"/>
          <w:b/>
          <w:sz w:val="18"/>
          <w:szCs w:val="18"/>
        </w:rPr>
      </w:pPr>
      <w:r>
        <w:rPr>
          <w:rFonts w:cs="Calibri" w:ascii="Titillium" w:hAnsi="Titillium"/>
          <w:sz w:val="18"/>
          <w:szCs w:val="18"/>
        </w:rPr>
        <w:t xml:space="preserve">Le risposte alle richieste di chiarimenti presentate in tempo utile sono fornite in formato elettronico almeno 6 giorni prima della scadenza del termine fissato per la presentazione delle offerte, mediante pubblicazione delle richieste in forma anonima e delle relative risposte sulla PAD http://intercenter.regione.emilia-romagna.it/agenzia/utilizzo-del-sistema/guide/guide e sul sito istituzionale www.ausl.bologna.it, sezione bandi di gara e contratti, bandi di gara. </w:t>
      </w:r>
      <w:r>
        <w:rPr>
          <w:rFonts w:cs="Calibri" w:ascii="Titillium" w:hAnsi="Titillium"/>
          <w:b/>
          <w:sz w:val="18"/>
          <w:szCs w:val="18"/>
        </w:rPr>
        <w:t xml:space="preserve"> </w:t>
      </w:r>
    </w:p>
    <w:p>
      <w:pPr>
        <w:pStyle w:val="Normal"/>
        <w:spacing w:before="60" w:after="60"/>
        <w:rPr/>
      </w:pPr>
      <w:r>
        <w:rPr>
          <w:rFonts w:cs="Calibri" w:ascii="Titillium" w:hAnsi="Titillium"/>
          <w:sz w:val="18"/>
          <w:szCs w:val="18"/>
        </w:rPr>
        <w:t>Si invitano i concorrenti a visionare costantemente tale sezione della PAD o il sito istituzionale.</w:t>
      </w:r>
    </w:p>
    <w:p>
      <w:pPr>
        <w:pStyle w:val="Normal"/>
        <w:spacing w:before="60" w:after="60"/>
        <w:rPr>
          <w:rFonts w:ascii="Titillium" w:hAnsi="Titillium" w:cs="Calibri"/>
          <w:sz w:val="18"/>
          <w:szCs w:val="18"/>
        </w:rPr>
      </w:pPr>
      <w:r>
        <w:rPr>
          <w:rFonts w:cs="Calibri" w:ascii="Titillium" w:hAnsi="Titillium"/>
          <w:sz w:val="18"/>
          <w:szCs w:val="18"/>
        </w:rPr>
        <w:t xml:space="preserve">La PAD invia automaticamente agli operatori economici una segnalazione di avviso. </w:t>
      </w:r>
    </w:p>
    <w:p>
      <w:pPr>
        <w:pStyle w:val="Normal"/>
        <w:spacing w:before="60" w:after="60"/>
        <w:rPr>
          <w:rFonts w:ascii="Titillium" w:hAnsi="Titillium" w:cs="Calibri"/>
          <w:b/>
          <w:bCs/>
          <w:sz w:val="18"/>
          <w:szCs w:val="18"/>
        </w:rPr>
      </w:pPr>
      <w:r>
        <w:rPr>
          <w:rFonts w:cs="Calibri" w:ascii="Titillium" w:hAnsi="Titillium"/>
          <w:b/>
          <w:bCs/>
          <w:sz w:val="18"/>
          <w:szCs w:val="18"/>
        </w:rPr>
        <w:t>Non viene fornita risposta alle richieste presentate con modalità diverse da quelle sopra indicate.</w:t>
      </w:r>
    </w:p>
    <w:p>
      <w:pPr>
        <w:pStyle w:val="Normal"/>
        <w:spacing w:before="60" w:after="60"/>
        <w:rPr>
          <w:rFonts w:ascii="Titillium" w:hAnsi="Titillium" w:cs="Calibri"/>
          <w:sz w:val="18"/>
          <w:szCs w:val="18"/>
        </w:rPr>
      </w:pPr>
      <w:r>
        <w:rPr>
          <w:rFonts w:cs="Calibri" w:ascii="Titillium" w:hAnsi="Titillium"/>
          <w:sz w:val="18"/>
          <w:szCs w:val="18"/>
        </w:rPr>
      </w:r>
    </w:p>
    <w:p>
      <w:pPr>
        <w:pStyle w:val="Heading3"/>
        <w:numPr>
          <w:ilvl w:val="1"/>
          <w:numId w:val="3"/>
        </w:numPr>
        <w:ind w:hanging="426" w:left="426"/>
        <w:rPr>
          <w:rFonts w:ascii="Titillium" w:hAnsi="Titillium"/>
          <w:caps/>
          <w:sz w:val="18"/>
          <w:szCs w:val="18"/>
        </w:rPr>
      </w:pPr>
      <w:bookmarkStart w:id="58" w:name="_Toc231396658"/>
      <w:bookmarkStart w:id="59" w:name="_Ref132304898"/>
      <w:r>
        <w:rPr>
          <w:rFonts w:ascii="Titillium" w:hAnsi="Titillium"/>
          <w:sz w:val="18"/>
          <w:szCs w:val="18"/>
        </w:rPr>
        <w:t>COMUNICAZIONI</w:t>
      </w:r>
      <w:bookmarkEnd w:id="58"/>
      <w:bookmarkEnd w:id="59"/>
    </w:p>
    <w:p>
      <w:pPr>
        <w:pStyle w:val="Normal"/>
        <w:rPr>
          <w:rFonts w:ascii="Titillium" w:hAnsi="Titillium"/>
          <w:sz w:val="18"/>
          <w:szCs w:val="18"/>
        </w:rPr>
      </w:pPr>
      <w:r>
        <w:rPr>
          <w:rFonts w:ascii="Titillium" w:hAnsi="Titillium"/>
          <w:sz w:val="18"/>
          <w:szCs w:val="18"/>
        </w:rPr>
        <w:t xml:space="preserve">Tutte le comunicazioni e gli scambi di informazioni tra stazione appaltante e operatori economici sono eseguiti in conformità con quanto disposto dal decreto legislativo n. 82/05, tramite la PAD e, per quanto non previsto dalle stessa piattaforma,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pPr>
        <w:pStyle w:val="Normal"/>
        <w:rPr/>
      </w:pPr>
      <w:r>
        <w:rPr>
          <w:rFonts w:ascii="Titillium" w:hAnsi="Titillium"/>
          <w:sz w:val="18"/>
          <w:szCs w:val="18"/>
        </w:rPr>
        <w:t>In caso di malfunzionamento della PAD, la stazione appaltante provvederà all’invio di qualsiasi comunicazione al domicilio digitale presente negli indici di cui ai richiamati articoli 6-bis,6-ter, 6-quater del decreto legislativo n. 82/05.</w:t>
      </w:r>
    </w:p>
    <w:p>
      <w:pPr>
        <w:pStyle w:val="Normal"/>
        <w:spacing w:before="60" w:after="60"/>
        <w:rPr/>
      </w:pPr>
      <w:r>
        <w:rPr>
          <w:rFonts w:ascii="Titillium" w:hAnsi="Titillium"/>
          <w:sz w:val="18"/>
          <w:szCs w:val="18"/>
        </w:rPr>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pPr>
        <w:pStyle w:val="Normal"/>
        <w:spacing w:before="60" w:after="60"/>
        <w:rPr/>
      </w:pPr>
      <w:r>
        <w:rPr>
          <w:rFonts w:ascii="Titillium" w:hAnsi="Titillium"/>
          <w:sz w:val="18"/>
          <w:szCs w:val="18"/>
        </w:rPr>
        <w:t>In caso di consorzi di cui all’art. 65 lett. b), c), d) del Codice, la comunicazione recapitata nei modi sopra indicati al consorzio si intende validamente resa a tutte le consorziate.</w:t>
      </w:r>
    </w:p>
    <w:p>
      <w:pPr>
        <w:pStyle w:val="Normal"/>
        <w:spacing w:before="60" w:after="60"/>
        <w:rPr/>
      </w:pPr>
      <w:r>
        <w:rPr>
          <w:rFonts w:ascii="Titillium" w:hAnsi="Titillium"/>
          <w:sz w:val="18"/>
          <w:szCs w:val="18"/>
        </w:rPr>
        <w:t>In caso di avvalimento, la comunicazione recapitata all’offerente nei modi sopra indicati si intende validamente resa a tutti gli operatori economici ausiliari.</w:t>
      </w:r>
    </w:p>
    <w:p>
      <w:pPr>
        <w:pStyle w:val="Normal"/>
        <w:rPr/>
      </w:pPr>
      <w:r>
        <w:rPr/>
      </w:r>
    </w:p>
    <w:p>
      <w:pPr>
        <w:pStyle w:val="Heading2"/>
        <w:numPr>
          <w:ilvl w:val="0"/>
          <w:numId w:val="3"/>
        </w:numPr>
        <w:rPr/>
      </w:pPr>
      <w:bookmarkStart w:id="60" w:name="_Toc231396659"/>
      <w:bookmarkStart w:id="61" w:name="_Toc354038170"/>
      <w:bookmarkStart w:id="62" w:name="_Toc380501861"/>
      <w:bookmarkStart w:id="63" w:name="_Toc391035973"/>
      <w:bookmarkStart w:id="64" w:name="_Toc391036046"/>
      <w:bookmarkStart w:id="65" w:name="_Ref132304635"/>
      <w:bookmarkStart w:id="66" w:name="_Ref132304546"/>
      <w:bookmarkStart w:id="67" w:name="_Ref132303600"/>
      <w:bookmarkStart w:id="68" w:name="_Ref131768152"/>
      <w:bookmarkStart w:id="69" w:name="_Ref498597801"/>
      <w:bookmarkStart w:id="70" w:name="_Toc392577488"/>
      <w:bookmarkStart w:id="71" w:name="_Toc393110555"/>
      <w:bookmarkStart w:id="72" w:name="_Toc393112119"/>
      <w:bookmarkStart w:id="73" w:name="_Toc393187836"/>
      <w:bookmarkStart w:id="74" w:name="_Toc393272592"/>
      <w:bookmarkStart w:id="75" w:name="_Toc393272650"/>
      <w:bookmarkStart w:id="76" w:name="_Toc393283166"/>
      <w:bookmarkStart w:id="77" w:name="_Toc393700825"/>
      <w:bookmarkStart w:id="78" w:name="_Toc393706898"/>
      <w:bookmarkStart w:id="79" w:name="_Toc397346813"/>
      <w:bookmarkStart w:id="80" w:name="_Toc397422854"/>
      <w:bookmarkStart w:id="81" w:name="_Toc403471261"/>
      <w:bookmarkStart w:id="82" w:name="_Toc406058367"/>
      <w:bookmarkStart w:id="83" w:name="_Toc406754168"/>
      <w:bookmarkStart w:id="84" w:name="_Toc416423353"/>
      <w:r>
        <w:rPr/>
        <w:t>OGGETTO DELL’APPALTO</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Normal"/>
        <w:spacing w:before="60" w:after="60"/>
        <w:rPr>
          <w:vertAlign w:val="superscript"/>
        </w:rPr>
      </w:pPr>
      <w:r>
        <w:rPr>
          <w:rFonts w:ascii="Titillium" w:hAnsi="Titillium"/>
          <w:sz w:val="18"/>
          <w:szCs w:val="18"/>
        </w:rPr>
        <w:t xml:space="preserve">L’appalto è costituito da un unico lotto per l’unicità della prestazione. </w:t>
      </w:r>
    </w:p>
    <w:p>
      <w:pPr>
        <w:pStyle w:val="Normal"/>
        <w:spacing w:before="60" w:after="60"/>
        <w:rPr>
          <w:rFonts w:ascii="Titillium" w:hAnsi="Titillium"/>
          <w:sz w:val="18"/>
          <w:szCs w:val="18"/>
        </w:rPr>
      </w:pPr>
      <w:r>
        <w:rPr>
          <w:rFonts w:ascii="Titillium" w:hAnsi="Titillium"/>
          <w:sz w:val="18"/>
          <w:szCs w:val="18"/>
        </w:rPr>
      </w:r>
    </w:p>
    <w:p>
      <w:pPr>
        <w:pStyle w:val="Normal"/>
        <w:spacing w:before="60" w:after="60"/>
        <w:rPr/>
      </w:pPr>
      <w:r>
        <w:rPr>
          <w:rFonts w:ascii="Titillium" w:hAnsi="Titillium"/>
          <w:sz w:val="18"/>
          <w:szCs w:val="18"/>
        </w:rPr>
        <w:t>Tabella 1</w:t>
      </w:r>
    </w:p>
    <w:tbl>
      <w:tblPr>
        <w:tblW w:w="9163" w:type="dxa"/>
        <w:jc w:val="left"/>
        <w:tblInd w:w="148" w:type="dxa"/>
        <w:tblLayout w:type="fixed"/>
        <w:tblCellMar>
          <w:top w:w="0" w:type="dxa"/>
          <w:left w:w="108" w:type="dxa"/>
          <w:bottom w:w="0" w:type="dxa"/>
          <w:right w:w="108" w:type="dxa"/>
        </w:tblCellMar>
        <w:tblLook w:firstRow="1" w:noVBand="1" w:lastRow="0" w:firstColumn="1" w:lastColumn="0" w:noHBand="0" w:val="04a0"/>
      </w:tblPr>
      <w:tblGrid>
        <w:gridCol w:w="500"/>
        <w:gridCol w:w="4371"/>
        <w:gridCol w:w="1079"/>
        <w:gridCol w:w="813"/>
        <w:gridCol w:w="735"/>
        <w:gridCol w:w="1665"/>
      </w:tblGrid>
      <w:tr>
        <w:trPr/>
        <w:tc>
          <w:tcPr>
            <w:tcW w:w="5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sz w:val="18"/>
                <w:szCs w:val="18"/>
              </w:rPr>
            </w:pPr>
            <w:r>
              <w:rPr>
                <w:rFonts w:ascii="Titillium" w:hAnsi="Titillium"/>
                <w:sz w:val="18"/>
                <w:szCs w:val="18"/>
              </w:rPr>
              <w:t>n.</w:t>
            </w:r>
          </w:p>
        </w:tc>
        <w:tc>
          <w:tcPr>
            <w:tcW w:w="437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60" w:after="60"/>
              <w:jc w:val="center"/>
              <w:rPr>
                <w:rFonts w:ascii="Titillium" w:hAnsi="Titillium"/>
                <w:sz w:val="18"/>
                <w:szCs w:val="18"/>
              </w:rPr>
            </w:pPr>
            <w:r>
              <w:rPr>
                <w:rFonts w:ascii="Titillium" w:hAnsi="Titillium"/>
                <w:sz w:val="18"/>
                <w:szCs w:val="18"/>
              </w:rPr>
              <w:t>Descrizione servizi/beni/lavori</w:t>
            </w:r>
          </w:p>
        </w:tc>
        <w:tc>
          <w:tcPr>
            <w:tcW w:w="107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60" w:after="60"/>
              <w:jc w:val="center"/>
              <w:rPr>
                <w:rFonts w:ascii="Titillium" w:hAnsi="Titillium"/>
                <w:sz w:val="18"/>
                <w:szCs w:val="18"/>
              </w:rPr>
            </w:pPr>
            <w:r>
              <w:rPr>
                <w:rFonts w:ascii="Titillium" w:hAnsi="Titillium"/>
                <w:sz w:val="18"/>
                <w:szCs w:val="18"/>
              </w:rPr>
              <w:t>CPV</w:t>
            </w:r>
          </w:p>
        </w:tc>
        <w:tc>
          <w:tcPr>
            <w:tcW w:w="8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60" w:after="60"/>
              <w:jc w:val="center"/>
              <w:rPr>
                <w:rFonts w:ascii="Titillium" w:hAnsi="Titillium"/>
                <w:sz w:val="18"/>
                <w:szCs w:val="18"/>
              </w:rPr>
            </w:pPr>
            <w:r>
              <w:rPr>
                <w:rFonts w:ascii="Titillium" w:hAnsi="Titillium"/>
                <w:sz w:val="18"/>
                <w:szCs w:val="18"/>
              </w:rPr>
              <w:t>ATECO</w:t>
            </w:r>
          </w:p>
        </w:tc>
        <w:tc>
          <w:tcPr>
            <w:tcW w:w="73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60" w:after="60"/>
              <w:jc w:val="center"/>
              <w:rPr>
                <w:rFonts w:ascii="Titillium" w:hAnsi="Titillium"/>
                <w:sz w:val="18"/>
                <w:szCs w:val="18"/>
              </w:rPr>
            </w:pPr>
            <w:r>
              <w:rPr>
                <w:rFonts w:ascii="Titillium" w:hAnsi="Titillium"/>
                <w:sz w:val="18"/>
                <w:szCs w:val="18"/>
              </w:rPr>
              <w:t>P (principale)</w:t>
            </w:r>
          </w:p>
          <w:p>
            <w:pPr>
              <w:pStyle w:val="Normal"/>
              <w:spacing w:before="60" w:after="60"/>
              <w:jc w:val="center"/>
              <w:rPr>
                <w:rFonts w:ascii="Titillium" w:hAnsi="Titillium"/>
                <w:sz w:val="18"/>
                <w:szCs w:val="18"/>
              </w:rPr>
            </w:pPr>
            <w:r>
              <w:rPr>
                <w:rFonts w:ascii="Titillium" w:hAnsi="Titillium"/>
                <w:sz w:val="18"/>
                <w:szCs w:val="18"/>
              </w:rPr>
              <w:t>S (secondaria)</w:t>
            </w:r>
          </w:p>
        </w:tc>
        <w:tc>
          <w:tcPr>
            <w:tcW w:w="166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60" w:after="60"/>
              <w:jc w:val="center"/>
              <w:rPr>
                <w:rFonts w:ascii="Titillium" w:hAnsi="Titillium"/>
                <w:sz w:val="18"/>
                <w:szCs w:val="18"/>
              </w:rPr>
            </w:pPr>
            <w:r>
              <w:rPr>
                <w:rFonts w:ascii="Titillium" w:hAnsi="Titillium"/>
                <w:sz w:val="18"/>
                <w:szCs w:val="18"/>
              </w:rPr>
              <w:t>Importo</w:t>
            </w:r>
          </w:p>
        </w:tc>
      </w:tr>
      <w:tr>
        <w:trPr/>
        <w:tc>
          <w:tcPr>
            <w:tcW w:w="50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sz w:val="18"/>
                <w:szCs w:val="18"/>
              </w:rPr>
            </w:pPr>
            <w:r>
              <w:rPr>
                <w:rFonts w:ascii="Titillium" w:hAnsi="Titillium"/>
                <w:sz w:val="18"/>
                <w:szCs w:val="18"/>
              </w:rPr>
              <w:t>1</w:t>
            </w:r>
          </w:p>
        </w:tc>
        <w:tc>
          <w:tcPr>
            <w:tcW w:w="437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tillium" w:hAnsi="Titillium"/>
                <w:sz w:val="18"/>
                <w:szCs w:val="18"/>
              </w:rPr>
            </w:pPr>
            <w:r>
              <w:rPr>
                <w:sz w:val="22"/>
              </w:rPr>
              <w:t>Trasporto di parti anatomiche riconoscibili e feti, nonché di salme/cadaveri</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tillium" w:hAnsi="Titillium"/>
                <w:sz w:val="18"/>
                <w:szCs w:val="18"/>
              </w:rPr>
            </w:pPr>
            <w:r>
              <w:rPr>
                <w:rFonts w:ascii="Titillium" w:hAnsi="Titillium"/>
                <w:sz w:val="18"/>
                <w:szCs w:val="18"/>
              </w:rPr>
              <w:t>98370000-7</w:t>
            </w:r>
          </w:p>
        </w:tc>
        <w:tc>
          <w:tcPr>
            <w:tcW w:w="813"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sz w:val="18"/>
                <w:szCs w:val="18"/>
              </w:rPr>
            </w:pPr>
            <w:r>
              <w:rPr>
                <w:rFonts w:ascii="Titillium" w:hAnsi="Titillium"/>
                <w:sz w:val="18"/>
                <w:szCs w:val="18"/>
              </w:rPr>
              <w:t>96.30.0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Titillium" w:hAnsi="Titillium"/>
                <w:sz w:val="18"/>
                <w:szCs w:val="18"/>
              </w:rPr>
            </w:pPr>
            <w:r>
              <w:rPr>
                <w:rFonts w:ascii="Titillium" w:hAnsi="Titillium"/>
                <w:sz w:val="18"/>
                <w:szCs w:val="18"/>
              </w:rPr>
              <w:t>P</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rFonts w:cs="Arial" w:ascii="Arial" w:hAnsi="Arial"/>
                <w:color w:val="000000"/>
                <w:sz w:val="20"/>
                <w:szCs w:val="20"/>
                <w:shd w:fill="FFFFFF" w:val="clear"/>
              </w:rPr>
              <w:t xml:space="preserve">€ </w:t>
            </w:r>
            <w:r>
              <w:rPr>
                <w:rFonts w:cs="Arial" w:ascii="Arial" w:hAnsi="Arial"/>
                <w:color w:val="000000"/>
                <w:sz w:val="20"/>
                <w:szCs w:val="20"/>
                <w:shd w:fill="FFFFFF" w:val="clear"/>
              </w:rPr>
              <w:t>407.800,00</w:t>
            </w:r>
          </w:p>
        </w:tc>
      </w:tr>
      <w:tr>
        <w:trPr/>
        <w:tc>
          <w:tcPr>
            <w:tcW w:w="7498" w:type="dxa"/>
            <w:gridSpan w:val="5"/>
            <w:tcBorders>
              <w:top w:val="single" w:sz="4" w:space="0" w:color="000000"/>
              <w:left w:val="single" w:sz="4" w:space="0" w:color="000000"/>
              <w:bottom w:val="single" w:sz="4" w:space="0" w:color="000000"/>
              <w:right w:val="single" w:sz="4" w:space="0" w:color="000000"/>
            </w:tcBorders>
          </w:tcPr>
          <w:p>
            <w:pPr>
              <w:pStyle w:val="ListParagraph"/>
              <w:numPr>
                <w:ilvl w:val="0"/>
                <w:numId w:val="28"/>
              </w:numPr>
              <w:spacing w:before="60" w:after="60"/>
              <w:ind w:hanging="284" w:left="3232"/>
              <w:contextualSpacing w:val="false"/>
              <w:jc w:val="left"/>
              <w:rPr/>
            </w:pPr>
            <w:r>
              <w:rPr>
                <w:rFonts w:ascii="Titillium" w:hAnsi="Titillium"/>
                <w:b/>
                <w:sz w:val="18"/>
                <w:szCs w:val="18"/>
              </w:rPr>
              <w:t>Importo a base di gara</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rFonts w:cs="Arial" w:ascii="Arial" w:hAnsi="Arial"/>
                <w:color w:val="000000"/>
                <w:sz w:val="20"/>
                <w:szCs w:val="20"/>
              </w:rPr>
              <w:t xml:space="preserve">€ </w:t>
            </w:r>
            <w:r>
              <w:rPr>
                <w:rFonts w:cs="Arial" w:ascii="Arial" w:hAnsi="Arial"/>
                <w:color w:val="000000"/>
                <w:sz w:val="20"/>
                <w:szCs w:val="20"/>
              </w:rPr>
              <w:t>407.800,00</w:t>
            </w:r>
          </w:p>
        </w:tc>
      </w:tr>
      <w:tr>
        <w:trPr/>
        <w:tc>
          <w:tcPr>
            <w:tcW w:w="7498" w:type="dxa"/>
            <w:gridSpan w:val="5"/>
            <w:tcBorders>
              <w:top w:val="single" w:sz="4" w:space="0" w:color="000000"/>
              <w:left w:val="single" w:sz="4" w:space="0" w:color="000000"/>
              <w:bottom w:val="single" w:sz="4" w:space="0" w:color="000000"/>
              <w:right w:val="single" w:sz="4" w:space="0" w:color="000000"/>
            </w:tcBorders>
          </w:tcPr>
          <w:p>
            <w:pPr>
              <w:pStyle w:val="ListParagraph"/>
              <w:numPr>
                <w:ilvl w:val="0"/>
                <w:numId w:val="28"/>
              </w:numPr>
              <w:spacing w:before="60" w:after="60"/>
              <w:ind w:hanging="284" w:left="3232"/>
              <w:contextualSpacing w:val="false"/>
              <w:jc w:val="left"/>
              <w:rPr/>
            </w:pPr>
            <w:r>
              <w:rPr>
                <w:rFonts w:ascii="Titillium" w:hAnsi="Titillium"/>
                <w:b/>
                <w:sz w:val="18"/>
                <w:szCs w:val="18"/>
              </w:rPr>
              <w:t>Costi della sicurezza da interferenze non soggetti a ribasso</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rFonts w:cs="Arial" w:ascii="Arial" w:hAnsi="Arial"/>
                <w:color w:val="000000"/>
                <w:sz w:val="20"/>
                <w:szCs w:val="20"/>
              </w:rPr>
              <w:t xml:space="preserve">€    </w:t>
            </w:r>
            <w:r>
              <w:rPr>
                <w:rFonts w:cs="Arial" w:ascii="Arial" w:hAnsi="Arial"/>
                <w:color w:val="000000"/>
                <w:sz w:val="20"/>
                <w:szCs w:val="20"/>
              </w:rPr>
              <w:t>1.170,00</w:t>
            </w:r>
          </w:p>
        </w:tc>
      </w:tr>
      <w:tr>
        <w:trPr/>
        <w:tc>
          <w:tcPr>
            <w:tcW w:w="7498" w:type="dxa"/>
            <w:gridSpan w:val="5"/>
            <w:tcBorders>
              <w:top w:val="single" w:sz="4" w:space="0" w:color="000000"/>
              <w:left w:val="single" w:sz="4" w:space="0" w:color="000000"/>
              <w:bottom w:val="single" w:sz="4" w:space="0" w:color="000000"/>
              <w:right w:val="single" w:sz="4" w:space="0" w:color="000000"/>
            </w:tcBorders>
          </w:tcPr>
          <w:p>
            <w:pPr>
              <w:pStyle w:val="ListParagraph"/>
              <w:spacing w:before="60" w:after="60"/>
              <w:ind w:hanging="284" w:left="2807"/>
              <w:contextualSpacing/>
              <w:jc w:val="left"/>
              <w:rPr>
                <w:rFonts w:ascii="Titillium" w:hAnsi="Titillium"/>
                <w:b/>
                <w:sz w:val="18"/>
                <w:szCs w:val="18"/>
              </w:rPr>
            </w:pPr>
            <w:r>
              <w:rPr>
                <w:rFonts w:ascii="Titillium" w:hAnsi="Titillium"/>
                <w:b/>
                <w:sz w:val="18"/>
                <w:szCs w:val="18"/>
              </w:rPr>
              <w:t>A) + B) Importo complessivo</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left"/>
              <w:rPr>
                <w:rFonts w:ascii="Titillium" w:hAnsi="Titillium"/>
                <w:b/>
                <w:sz w:val="18"/>
                <w:szCs w:val="18"/>
              </w:rPr>
            </w:pPr>
            <w:r>
              <w:rPr>
                <w:rFonts w:cs="Arial" w:ascii="Arial" w:hAnsi="Arial"/>
                <w:b/>
                <w:color w:val="000000"/>
                <w:sz w:val="20"/>
                <w:szCs w:val="20"/>
                <w:shd w:fill="FFFFFF" w:val="clear"/>
              </w:rPr>
              <w:t xml:space="preserve">  € </w:t>
            </w:r>
            <w:r>
              <w:rPr>
                <w:rFonts w:cs="Arial" w:ascii="Arial" w:hAnsi="Arial"/>
                <w:b/>
                <w:color w:val="000000"/>
                <w:sz w:val="20"/>
                <w:szCs w:val="20"/>
                <w:shd w:fill="FFFFFF" w:val="clear"/>
              </w:rPr>
              <w:t>408.970,00</w:t>
            </w:r>
          </w:p>
          <w:p>
            <w:pPr>
              <w:pStyle w:val="Normal"/>
              <w:spacing w:before="60" w:after="60"/>
              <w:jc w:val="left"/>
              <w:rPr>
                <w:rFonts w:ascii="Titillium" w:hAnsi="Titillium"/>
                <w:b/>
                <w:sz w:val="18"/>
                <w:szCs w:val="18"/>
              </w:rPr>
            </w:pPr>
            <w:r>
              <w:rPr>
                <w:rFonts w:ascii="Titillium" w:hAnsi="Titillium"/>
                <w:b/>
                <w:sz w:val="18"/>
                <w:szCs w:val="18"/>
              </w:rPr>
            </w:r>
          </w:p>
        </w:tc>
      </w:tr>
    </w:tbl>
    <w:p>
      <w:pPr>
        <w:pStyle w:val="Normal"/>
        <w:spacing w:before="60" w:after="60"/>
        <w:rPr>
          <w:rFonts w:ascii="Titillium" w:hAnsi="Titillium"/>
          <w:sz w:val="18"/>
          <w:szCs w:val="18"/>
        </w:rPr>
      </w:pPr>
      <w:r>
        <w:rPr>
          <w:rFonts w:ascii="Titillium" w:hAnsi="Titillium"/>
          <w:sz w:val="18"/>
          <w:szCs w:val="18"/>
        </w:rPr>
      </w:r>
    </w:p>
    <w:p>
      <w:pPr>
        <w:pStyle w:val="Normal"/>
        <w:spacing w:before="60" w:after="60"/>
        <w:rPr>
          <w:shd w:fill="FFFFFF" w:val="clear"/>
        </w:rPr>
      </w:pPr>
      <w:r>
        <w:rPr>
          <w:rFonts w:ascii="Titillium" w:hAnsi="Titillium"/>
          <w:sz w:val="18"/>
          <w:szCs w:val="18"/>
          <w:shd w:fill="FFFFFF" w:val="clear"/>
        </w:rPr>
        <w:t xml:space="preserve">L’importo a base di gara comprende i costi della manodopera che la stazione appaltante ha stimato </w:t>
      </w:r>
      <w:r>
        <w:rPr>
          <w:rFonts w:ascii="Titillium" w:hAnsi="Titillium"/>
          <w:iCs/>
          <w:sz w:val="18"/>
          <w:szCs w:val="18"/>
          <w:shd w:fill="FFFFFF" w:val="clear"/>
        </w:rPr>
        <w:t>pari al 20%</w:t>
      </w:r>
      <w:r>
        <w:rPr>
          <w:rFonts w:ascii="Titillium" w:hAnsi="Titillium"/>
          <w:i/>
          <w:sz w:val="18"/>
          <w:szCs w:val="18"/>
          <w:shd w:fill="FFFFFF" w:val="clear"/>
        </w:rPr>
        <w:t xml:space="preserve"> </w:t>
      </w:r>
      <w:r>
        <w:rPr>
          <w:rFonts w:ascii="Titillium" w:hAnsi="Titillium"/>
          <w:sz w:val="18"/>
          <w:szCs w:val="18"/>
          <w:shd w:fill="FFFFFF" w:val="clear"/>
        </w:rPr>
        <w:t>calcolati sulla base di contratti analoghi.</w:t>
      </w:r>
    </w:p>
    <w:p>
      <w:pPr>
        <w:pStyle w:val="Normal"/>
        <w:spacing w:before="60" w:after="60"/>
        <w:rPr>
          <w:rFonts w:ascii="Titillium" w:hAnsi="Titillium"/>
          <w:b/>
          <w:bCs/>
          <w:iCs/>
          <w:sz w:val="18"/>
          <w:szCs w:val="18"/>
        </w:rPr>
      </w:pPr>
      <w:bookmarkStart w:id="85" w:name="_Hlk193974566"/>
      <w:r>
        <w:rPr>
          <w:rFonts w:ascii="Titillium" w:hAnsi="Titillium"/>
          <w:b/>
          <w:bCs/>
          <w:iCs/>
          <w:sz w:val="18"/>
          <w:szCs w:val="18"/>
        </w:rPr>
        <w:t xml:space="preserve">I costi della manodopera non sono ribassabili </w:t>
      </w:r>
      <w:r>
        <w:rPr>
          <w:rFonts w:ascii="Titillium" w:hAnsi="Titillium"/>
          <w:bCs/>
          <w:iCs/>
          <w:sz w:val="18"/>
          <w:szCs w:val="18"/>
        </w:rPr>
        <w:t>se non per dimostrate ragioni attinenti ad una più efficiente organizzazione aziendale o a condizioni fiscali o contributive di maggior favore che non comportano penalizzazioni per la manodopera.</w:t>
      </w:r>
      <w:bookmarkEnd w:id="85"/>
    </w:p>
    <w:p>
      <w:pPr>
        <w:pStyle w:val="Normal"/>
        <w:spacing w:before="60" w:after="60"/>
        <w:rPr>
          <w:rFonts w:ascii="Titillium" w:hAnsi="Titillium"/>
          <w:iCs/>
          <w:sz w:val="18"/>
          <w:szCs w:val="18"/>
        </w:rPr>
      </w:pPr>
      <w:r>
        <w:rPr>
          <w:rFonts w:ascii="Titillium" w:hAnsi="Titillium"/>
          <w:iCs/>
          <w:sz w:val="18"/>
          <w:szCs w:val="18"/>
        </w:rPr>
        <w:t xml:space="preserve">Il contratto collettivo nazionale di lavoro applicato al personale dipendente impiegato nell'attività oggetto dell'appalto è il seguente: </w:t>
      </w:r>
      <w:r>
        <w:rPr>
          <w:rFonts w:ascii="Titillium" w:hAnsi="Titillium"/>
          <w:iCs/>
          <w:sz w:val="18"/>
          <w:szCs w:val="18"/>
          <w:u w:val="single"/>
        </w:rPr>
        <w:t>Personale dipendente da imprese per attività di pompe e trasporti funebri – IB11</w:t>
      </w:r>
      <w:r>
        <w:rPr>
          <w:rFonts w:ascii="Titillium" w:hAnsi="Titillium"/>
          <w:iCs/>
          <w:sz w:val="18"/>
          <w:szCs w:val="18"/>
        </w:rPr>
        <w:t>.</w:t>
      </w:r>
    </w:p>
    <w:p>
      <w:pPr>
        <w:pStyle w:val="Normal"/>
        <w:spacing w:before="60" w:after="60"/>
        <w:rPr>
          <w:rFonts w:ascii="Titillium" w:hAnsi="Titillium" w:cs="Calibri"/>
          <w:sz w:val="18"/>
          <w:szCs w:val="18"/>
          <w:shd w:fill="FFFFFF" w:val="clear"/>
        </w:rPr>
      </w:pPr>
      <w:r>
        <w:rPr>
          <w:rFonts w:cs="Calibri" w:ascii="Titillium" w:hAnsi="Titillium"/>
          <w:sz w:val="18"/>
          <w:szCs w:val="18"/>
          <w:shd w:fill="FFFFFF" w:val="clear"/>
        </w:rPr>
        <w:t xml:space="preserve">L’importo dei costi della sicurezza da interferenze è pari a € 1.170,00 (di cui € 190,00 per Ausl di Bologna, € 870,00 per IRCCS Aou di Bologna e € 110,00 per IRCCS Ist. Ortopedico Rizzoli). </w:t>
      </w:r>
    </w:p>
    <w:p>
      <w:pPr>
        <w:pStyle w:val="Normal"/>
        <w:spacing w:before="60" w:after="60"/>
        <w:rPr>
          <w:shd w:fill="FFFFFF" w:val="clear"/>
        </w:rPr>
      </w:pPr>
      <w:r>
        <w:rPr>
          <w:rFonts w:ascii="Titillium" w:hAnsi="Titillium"/>
          <w:sz w:val="18"/>
          <w:szCs w:val="18"/>
        </w:rPr>
        <w:t xml:space="preserve">L’importo complessivo è al </w:t>
      </w:r>
      <w:r>
        <w:rPr>
          <w:rFonts w:cs="Calibri" w:ascii="Titillium" w:hAnsi="Titillium"/>
          <w:sz w:val="18"/>
          <w:szCs w:val="18"/>
        </w:rPr>
        <w:t>netto di</w:t>
      </w:r>
      <w:r>
        <w:rPr>
          <w:rFonts w:cs="Calibri" w:ascii="Titillium" w:hAnsi="Titillium"/>
          <w:i/>
          <w:sz w:val="18"/>
          <w:szCs w:val="18"/>
        </w:rPr>
        <w:t xml:space="preserve"> </w:t>
      </w:r>
      <w:r>
        <w:rPr>
          <w:rFonts w:cs="Calibri" w:ascii="Titillium" w:hAnsi="Titillium"/>
          <w:sz w:val="18"/>
          <w:szCs w:val="18"/>
        </w:rPr>
        <w:t>Iva.</w:t>
      </w:r>
    </w:p>
    <w:p>
      <w:pPr>
        <w:pStyle w:val="Normal"/>
        <w:spacing w:before="60" w:after="60"/>
        <w:rPr>
          <w:rFonts w:ascii="Titillium" w:hAnsi="Titillium"/>
          <w:sz w:val="18"/>
          <w:szCs w:val="18"/>
        </w:rPr>
      </w:pPr>
      <w:r>
        <w:rPr>
          <w:rFonts w:ascii="Titillium" w:hAnsi="Titillium"/>
          <w:sz w:val="18"/>
          <w:szCs w:val="18"/>
        </w:rPr>
        <w:t>L’appalto è finanziato con Fondi dell’Azienda Committente.</w:t>
      </w:r>
    </w:p>
    <w:p>
      <w:pPr>
        <w:pStyle w:val="Heading3"/>
        <w:numPr>
          <w:ilvl w:val="1"/>
          <w:numId w:val="3"/>
        </w:numPr>
        <w:spacing w:before="120" w:after="80"/>
        <w:ind w:hanging="426" w:left="426"/>
        <w:rPr/>
      </w:pPr>
      <w:bookmarkStart w:id="86" w:name="_Toc231396660"/>
      <w:bookmarkStart w:id="87" w:name="_Toc484688819"/>
      <w:bookmarkStart w:id="88" w:name="_Toc485218255"/>
      <w:bookmarkStart w:id="89" w:name="_Toc483302328"/>
      <w:bookmarkStart w:id="90" w:name="_Toc483315878"/>
      <w:bookmarkStart w:id="91" w:name="_Toc483316084"/>
      <w:bookmarkStart w:id="92" w:name="_Toc483316287"/>
      <w:bookmarkStart w:id="93" w:name="_Toc483316418"/>
      <w:bookmarkStart w:id="94" w:name="_Toc483325721"/>
      <w:bookmarkStart w:id="95" w:name="_Toc483401200"/>
      <w:bookmarkStart w:id="96" w:name="_Toc483473997"/>
      <w:bookmarkStart w:id="97" w:name="_Toc483571426"/>
      <w:bookmarkStart w:id="98" w:name="_Toc483571547"/>
      <w:bookmarkStart w:id="99" w:name="_Toc483906924"/>
      <w:bookmarkStart w:id="100" w:name="_Toc484010674"/>
      <w:bookmarkStart w:id="101" w:name="_Toc484010796"/>
      <w:bookmarkStart w:id="102" w:name="_Toc484010920"/>
      <w:bookmarkStart w:id="103" w:name="_Toc484011042"/>
      <w:bookmarkStart w:id="104" w:name="_Toc484011164"/>
      <w:bookmarkStart w:id="105" w:name="_Toc484011639"/>
      <w:bookmarkStart w:id="106" w:name="_Toc484097713"/>
      <w:bookmarkStart w:id="107" w:name="_Toc484428885"/>
      <w:bookmarkStart w:id="108" w:name="_Toc484429055"/>
      <w:bookmarkStart w:id="109" w:name="_Toc484438630"/>
      <w:bookmarkStart w:id="110" w:name="_Toc484438754"/>
      <w:bookmarkStart w:id="111" w:name="_Toc484438878"/>
      <w:bookmarkStart w:id="112" w:name="_Toc484439798"/>
      <w:bookmarkStart w:id="113" w:name="_Toc484439921"/>
      <w:bookmarkStart w:id="114" w:name="_Toc484440045"/>
      <w:bookmarkStart w:id="115" w:name="_Toc484440405"/>
      <w:bookmarkStart w:id="116" w:name="_Toc484448064"/>
      <w:bookmarkStart w:id="117" w:name="_Toc484448189"/>
      <w:bookmarkStart w:id="118" w:name="_Toc484448313"/>
      <w:bookmarkStart w:id="119" w:name="_Toc484448437"/>
      <w:bookmarkStart w:id="120" w:name="_Toc484448561"/>
      <w:bookmarkStart w:id="121" w:name="_Toc484448685"/>
      <w:bookmarkStart w:id="122" w:name="_Toc484448808"/>
      <w:bookmarkStart w:id="123" w:name="_Toc484448932"/>
      <w:bookmarkStart w:id="124" w:name="_Toc484449056"/>
      <w:bookmarkStart w:id="125" w:name="_Toc484526551"/>
      <w:bookmarkStart w:id="126" w:name="_Toc484605271"/>
      <w:bookmarkStart w:id="127" w:name="_Toc484605395"/>
      <w:bookmarkStart w:id="128" w:name="_Toc48468826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itillium" w:hAnsi="Titillium"/>
          <w:sz w:val="18"/>
          <w:szCs w:val="18"/>
        </w:rPr>
        <w:t>DURATA</w:t>
      </w:r>
      <w:bookmarkEnd w:id="86"/>
      <w:r>
        <w:rPr>
          <w:rFonts w:ascii="Titillium" w:hAnsi="Titillium"/>
          <w:sz w:val="18"/>
          <w:szCs w:val="18"/>
        </w:rPr>
        <w:t xml:space="preserve"> </w:t>
      </w:r>
    </w:p>
    <w:p>
      <w:pPr>
        <w:pStyle w:val="Default"/>
        <w:rPr>
          <w:rFonts w:ascii="Titillium" w:hAnsi="Titillium" w:eastAsia="Times New Roman" w:cs="Times New Roman"/>
          <w:color w:val="auto"/>
          <w:sz w:val="18"/>
          <w:szCs w:val="18"/>
          <w:lang w:eastAsia="en-US"/>
        </w:rPr>
      </w:pPr>
      <w:r>
        <w:rPr>
          <w:rFonts w:eastAsia="Times New Roman" w:cs="Times New Roman" w:ascii="Titillium" w:hAnsi="Titillium"/>
          <w:color w:val="auto"/>
          <w:sz w:val="18"/>
          <w:szCs w:val="18"/>
          <w:lang w:eastAsia="en-US"/>
        </w:rPr>
        <w:t>Il servizio in oggetto avrà la durata di anni tre a far data dalla data di stipula del contratto.</w:t>
      </w:r>
    </w:p>
    <w:p>
      <w:pPr>
        <w:pStyle w:val="Default"/>
        <w:rPr>
          <w:rFonts w:ascii="Titillium" w:hAnsi="Titillium" w:eastAsia="Times New Roman" w:cs="Times New Roman"/>
          <w:color w:val="auto"/>
          <w:sz w:val="18"/>
          <w:szCs w:val="18"/>
          <w:lang w:eastAsia="en-US"/>
        </w:rPr>
      </w:pPr>
      <w:r>
        <w:rPr>
          <w:rFonts w:eastAsia="Times New Roman" w:cs="Times New Roman" w:ascii="Titillium" w:hAnsi="Titillium"/>
          <w:color w:val="auto"/>
          <w:sz w:val="18"/>
          <w:szCs w:val="18"/>
          <w:lang w:eastAsia="en-US"/>
        </w:rPr>
        <w:t>La Stazione appaltante si riserva la facoltà di rinnovo del servizio per ulteriori due anni, anche separatamente considerati, previo interpello della Ditta aggiudicataria a mezzo posta elettronica/PEC.</w:t>
      </w:r>
    </w:p>
    <w:p>
      <w:pPr>
        <w:pStyle w:val="Default"/>
        <w:rPr>
          <w:rFonts w:ascii="Titillium" w:hAnsi="Titillium" w:eastAsia="Times New Roman" w:cs="Times New Roman"/>
          <w:color w:val="auto"/>
          <w:sz w:val="18"/>
          <w:szCs w:val="18"/>
          <w:lang w:eastAsia="en-US"/>
        </w:rPr>
      </w:pPr>
      <w:r>
        <w:rPr>
          <w:rFonts w:eastAsia="Times New Roman" w:cs="Times New Roman" w:ascii="Titillium" w:hAnsi="Titillium"/>
          <w:color w:val="auto"/>
          <w:sz w:val="18"/>
          <w:szCs w:val="18"/>
          <w:lang w:eastAsia="en-US"/>
        </w:rPr>
        <w:t xml:space="preserve">Durante il periodo di rinnovo, l’attività dovrà essere eseguita alle stesse condizioni e modalità previste in sede di gara, senza che per questo la Ditta aggiudicataria possa sollevare eccezione alcuna. </w:t>
      </w:r>
    </w:p>
    <w:p>
      <w:pPr>
        <w:pStyle w:val="Default"/>
        <w:rPr>
          <w:rFonts w:ascii="Titillium" w:hAnsi="Titillium" w:eastAsia="Times New Roman" w:cs="Times New Roman"/>
          <w:color w:val="auto"/>
          <w:sz w:val="18"/>
          <w:szCs w:val="18"/>
          <w:lang w:eastAsia="en-US"/>
        </w:rPr>
      </w:pPr>
      <w:r>
        <w:rPr>
          <w:rFonts w:eastAsia="Times New Roman" w:cs="Times New Roman" w:ascii="Titillium" w:hAnsi="Titillium"/>
          <w:color w:val="auto"/>
          <w:sz w:val="18"/>
          <w:szCs w:val="18"/>
          <w:lang w:eastAsia="en-US"/>
        </w:rPr>
        <w:t>In casi eccezionali, il contratto in corso di esecuzione può essere prorogato per il tempo strettamente necessario alla conclusione della procedura di individuazione del nuovo contraente se si verificano le condizioni indicate all’articolo 120, comma 11, del Codice. In tal caso il contraente è tenuto all’esecuzione delle prestazioni oggetto del contratto agli stessi prezzi, patti e condizioni previsti nel contratto.</w:t>
      </w:r>
    </w:p>
    <w:p>
      <w:pPr>
        <w:pStyle w:val="Default"/>
        <w:rPr>
          <w:rFonts w:ascii="Titillium" w:hAnsi="Titillium" w:eastAsia="Times New Roman" w:cs="Times New Roman"/>
          <w:color w:val="auto"/>
          <w:sz w:val="18"/>
          <w:szCs w:val="18"/>
          <w:lang w:eastAsia="en-US"/>
        </w:rPr>
      </w:pPr>
      <w:r>
        <w:rPr>
          <w:rFonts w:eastAsia="Times New Roman" w:cs="Times New Roman" w:ascii="Titillium" w:hAnsi="Titillium"/>
          <w:color w:val="auto"/>
          <w:sz w:val="18"/>
          <w:szCs w:val="18"/>
          <w:lang w:eastAsia="en-US"/>
        </w:rPr>
        <w:t>Diversamente, il contratto avrà termine a tutti gli effetti alla sua naturale scadenza, senza alcun obbligo di comunicazione.</w:t>
      </w:r>
    </w:p>
    <w:p>
      <w:pPr>
        <w:pStyle w:val="Heading3"/>
        <w:numPr>
          <w:ilvl w:val="1"/>
          <w:numId w:val="3"/>
        </w:numPr>
        <w:spacing w:before="120" w:after="80"/>
        <w:ind w:hanging="426" w:left="426"/>
        <w:rPr>
          <w:rFonts w:ascii="Titillium" w:hAnsi="Titillium"/>
          <w:b/>
          <w:bCs/>
          <w:sz w:val="18"/>
          <w:szCs w:val="18"/>
        </w:rPr>
      </w:pPr>
      <w:bookmarkStart w:id="129" w:name="_Toc231396661"/>
      <w:r>
        <w:rPr>
          <w:rFonts w:ascii="Titillium" w:hAnsi="Titillium"/>
          <w:sz w:val="18"/>
          <w:szCs w:val="18"/>
        </w:rPr>
        <w:t>REVISIONE PREZZI</w:t>
      </w:r>
      <w:bookmarkEnd w:id="129"/>
      <w:r>
        <w:rPr>
          <w:rFonts w:ascii="Titillium" w:hAnsi="Titillium"/>
          <w:sz w:val="18"/>
          <w:szCs w:val="18"/>
        </w:rPr>
        <w:t xml:space="preserve"> </w:t>
      </w:r>
    </w:p>
    <w:p>
      <w:pPr>
        <w:pStyle w:val="Normal"/>
        <w:spacing w:before="120" w:after="60"/>
        <w:rPr>
          <w:rFonts w:ascii="Titillium" w:hAnsi="Titillium"/>
          <w:sz w:val="18"/>
          <w:szCs w:val="18"/>
        </w:rPr>
      </w:pPr>
      <w:r>
        <w:rPr>
          <w:rFonts w:ascii="Titillium" w:hAnsi="Titillium"/>
          <w:bCs/>
          <w:iCs/>
          <w:sz w:val="18"/>
          <w:szCs w:val="18"/>
        </w:rPr>
        <w:t>Q</w:t>
      </w:r>
      <w:r>
        <w:rPr>
          <w:rFonts w:ascii="Titillium" w:hAnsi="Titillium"/>
          <w:iCs/>
          <w:sz w:val="18"/>
          <w:szCs w:val="18"/>
        </w:rPr>
        <w:t xml:space="preserve">ualora nel corso di esecuzione del contratto, al verificarsi di particolari condizioni di natura oggettiva, si determina </w:t>
      </w:r>
      <w:r>
        <w:rPr>
          <w:rFonts w:cs="Calibri" w:ascii="Titillium" w:hAnsi="Titillium"/>
          <w:iCs/>
          <w:sz w:val="18"/>
          <w:szCs w:val="18"/>
        </w:rPr>
        <w:t>una variazione, in aumento o in diminuzione, del costo del servizio o dei beni superiore al cinque per cento dell’importo complessivo, i prezzi sono aggiornati automaticamente, nella misura dell’ottanta per cento del</w:t>
      </w:r>
      <w:r>
        <w:rPr>
          <w:rFonts w:ascii="Titillium" w:hAnsi="Titillium"/>
          <w:sz w:val="18"/>
          <w:szCs w:val="18"/>
        </w:rPr>
        <w:t xml:space="preserve"> valore eccedente la variazione del 5 per cento applicata alle prestazioni da eseguire. Ai fini della determinazione della variazione dei costi e dei prezzi si utilizzano gli indici sintetici elaborati dall’ISTAT con riguardo ai contratti di servizi e forniture, anche disaggregati, dei prezzi al consumo.</w:t>
      </w:r>
    </w:p>
    <w:p>
      <w:pPr>
        <w:pStyle w:val="Normal"/>
        <w:spacing w:before="120" w:after="60"/>
        <w:rPr>
          <w:rFonts w:ascii="Titillium" w:hAnsi="Titillium"/>
          <w:sz w:val="18"/>
          <w:szCs w:val="18"/>
        </w:rPr>
      </w:pPr>
      <w:r>
        <w:rPr>
          <w:rFonts w:ascii="Titillium" w:hAnsi="Titillium"/>
          <w:sz w:val="18"/>
          <w:szCs w:val="18"/>
        </w:rPr>
        <w:t>L'appaltatore potrà presentare richiesta scritta di revisione dei prezzi alla stazione appaltante, corredata dalla documentazione che attesti la variazione degli indici di prezzo.</w:t>
      </w:r>
    </w:p>
    <w:p>
      <w:pPr>
        <w:pStyle w:val="Normal"/>
        <w:spacing w:before="120" w:after="60"/>
        <w:rPr>
          <w:rFonts w:ascii="Titillium" w:hAnsi="Titillium"/>
          <w:sz w:val="18"/>
          <w:szCs w:val="18"/>
        </w:rPr>
      </w:pPr>
      <w:r>
        <w:rPr>
          <w:rFonts w:ascii="Titillium" w:hAnsi="Titillium"/>
          <w:sz w:val="18"/>
          <w:szCs w:val="18"/>
        </w:rPr>
        <w:t>La stazione appaltante valuterà la richiesta entro 30 giorni dalla ricezione della stessa. In caso di esito positivo, la revisione dei prezzi sarà formalizzata mediante comunicazione.</w:t>
      </w:r>
    </w:p>
    <w:p>
      <w:pPr>
        <w:pStyle w:val="Normal"/>
        <w:spacing w:before="120" w:after="60"/>
        <w:rPr>
          <w:rFonts w:ascii="Titillium" w:hAnsi="Titillium"/>
          <w:sz w:val="18"/>
          <w:szCs w:val="18"/>
        </w:rPr>
      </w:pPr>
      <w:r>
        <w:rPr>
          <w:rFonts w:ascii="Titillium" w:hAnsi="Titillium"/>
          <w:sz w:val="18"/>
          <w:szCs w:val="18"/>
        </w:rPr>
        <w:t>La revisione dei prezzi non potrà, in nessun caso, alterare la natura generale del contratto né comportare una modifica sostanziale delle prestazioni previste.</w:t>
      </w:r>
    </w:p>
    <w:p>
      <w:pPr>
        <w:pStyle w:val="Normal"/>
        <w:spacing w:before="120" w:after="60"/>
        <w:rPr>
          <w:rFonts w:ascii="Titillium" w:hAnsi="Titillium"/>
          <w:sz w:val="18"/>
          <w:szCs w:val="18"/>
        </w:rPr>
      </w:pPr>
      <w:r>
        <w:rPr>
          <w:rFonts w:ascii="Titillium" w:hAnsi="Titillium"/>
          <w:sz w:val="18"/>
          <w:szCs w:val="18"/>
        </w:rPr>
        <w:t>Le nuove condizioni economiche determinate dalla revisione dei prezzi saranno applicabili a partire dal 30° giorno successivo alla data di accettazione da parte della stazione appaltante.</w:t>
      </w:r>
    </w:p>
    <w:p>
      <w:pPr>
        <w:pStyle w:val="Normal"/>
        <w:spacing w:before="120" w:after="60"/>
        <w:rPr>
          <w:rFonts w:ascii="Titillium" w:hAnsi="Titillium"/>
          <w:color w:val="FF0000"/>
          <w:sz w:val="18"/>
          <w:szCs w:val="18"/>
        </w:rPr>
      </w:pPr>
      <w:r>
        <w:rPr>
          <w:rFonts w:ascii="Titillium" w:hAnsi="Titillium"/>
          <w:sz w:val="18"/>
          <w:szCs w:val="18"/>
        </w:rPr>
        <w:t>Al verificarsi delle particolari condizioni di natura oggettiva indicate al primo capoverso, si applica la revisione dei prezzi anche ai contratti di subappalto e ai subcontratti comunicati alla stazione appaltante.</w:t>
      </w:r>
    </w:p>
    <w:p>
      <w:pPr>
        <w:pStyle w:val="Normal"/>
        <w:spacing w:before="120" w:after="60"/>
        <w:rPr>
          <w:rFonts w:ascii="Titillium" w:hAnsi="Titillium"/>
          <w:color w:val="FF0000"/>
          <w:sz w:val="18"/>
          <w:szCs w:val="18"/>
        </w:rPr>
      </w:pPr>
      <w:r>
        <w:rPr>
          <w:rFonts w:ascii="Titillium" w:hAnsi="Titillium"/>
          <w:color w:val="FF0000"/>
          <w:sz w:val="18"/>
          <w:szCs w:val="18"/>
        </w:rPr>
      </w:r>
    </w:p>
    <w:p>
      <w:pPr>
        <w:pStyle w:val="Heading3"/>
        <w:numPr>
          <w:ilvl w:val="1"/>
          <w:numId w:val="3"/>
        </w:numPr>
        <w:spacing w:before="120" w:after="80"/>
        <w:ind w:hanging="426" w:left="426"/>
        <w:rPr>
          <w:rFonts w:ascii="Titillium" w:hAnsi="Titillium"/>
          <w:sz w:val="18"/>
          <w:szCs w:val="18"/>
        </w:rPr>
      </w:pPr>
      <w:bookmarkStart w:id="130" w:name="_Toc231396662"/>
      <w:r>
        <w:rPr>
          <w:rFonts w:ascii="Titillium" w:hAnsi="Titillium"/>
          <w:sz w:val="18"/>
          <w:szCs w:val="18"/>
        </w:rPr>
        <w:t>MODIFICA DEL CONTRATTO IN FASE DI ESECUZIONE</w:t>
      </w:r>
      <w:bookmarkEnd w:id="130"/>
    </w:p>
    <w:p>
      <w:pPr>
        <w:pStyle w:val="Normal"/>
        <w:spacing w:before="60" w:after="60"/>
        <w:rPr>
          <w:rFonts w:ascii="Titillium" w:hAnsi="Titillium"/>
          <w:iCs/>
          <w:sz w:val="18"/>
          <w:szCs w:val="18"/>
        </w:rPr>
      </w:pPr>
      <w:r>
        <w:rPr>
          <w:rFonts w:ascii="Titillium" w:hAnsi="Titillium"/>
          <w:b/>
          <w:iCs/>
          <w:sz w:val="18"/>
          <w:szCs w:val="18"/>
        </w:rPr>
        <w:t>Opzione di proroga del contratto</w:t>
      </w:r>
      <w:r>
        <w:rPr>
          <w:rFonts w:ascii="Titillium" w:hAnsi="Titillium"/>
          <w:bCs/>
          <w:iCs/>
          <w:sz w:val="18"/>
          <w:szCs w:val="18"/>
        </w:rPr>
        <w:t xml:space="preserve">: </w:t>
      </w:r>
      <w:r>
        <w:rPr>
          <w:rFonts w:ascii="Titillium" w:hAnsi="Titillium"/>
          <w:iCs/>
          <w:sz w:val="18"/>
          <w:szCs w:val="18"/>
        </w:rPr>
        <w:t xml:space="preserve">la stazione appaltante si riserva di prorogare il contratto (rinnovo) per una durata massima pari a 24 mesi, ai prezzi, patti e condizioni stabiliti nel contratto. L’importo stimato di tale opzione è pari a € </w:t>
      </w:r>
      <w:r>
        <w:rPr>
          <w:rFonts w:ascii="Titillium" w:hAnsi="Titillium"/>
          <w:bCs/>
          <w:iCs/>
          <w:sz w:val="18"/>
          <w:szCs w:val="18"/>
        </w:rPr>
        <w:t>271.866,67</w:t>
      </w:r>
      <w:r>
        <w:rPr>
          <w:rFonts w:ascii="Titillium" w:hAnsi="Titillium"/>
          <w:iCs/>
          <w:sz w:val="18"/>
          <w:szCs w:val="18"/>
        </w:rPr>
        <w:t>, al netto di Iva. L’esercizio di tale facoltà è comunicato all’appaltatore almeno 30 gg. prima della scadenza del contratto.</w:t>
      </w:r>
    </w:p>
    <w:p>
      <w:pPr>
        <w:pStyle w:val="Normal"/>
        <w:spacing w:before="60" w:after="60"/>
        <w:rPr>
          <w:rFonts w:ascii="Titillium" w:hAnsi="Titillium"/>
          <w:iCs/>
          <w:sz w:val="18"/>
          <w:szCs w:val="18"/>
        </w:rPr>
      </w:pPr>
      <w:r>
        <w:rPr>
          <w:rFonts w:ascii="Titillium" w:hAnsi="Titillium"/>
          <w:iCs/>
          <w:sz w:val="18"/>
          <w:szCs w:val="18"/>
        </w:rPr>
        <w:t xml:space="preserve">In casi eccezionali, il contratto in corso di esecuzione può essere prorogato per il tempo strettamente necessario alla conclusione della procedura di individuazione del nuovo contraente se si verificano le condizioni indicate all’articolo 120, comma 11, del Codice. In tal caso il contraente è tenuto all’esecuzione delle prestazioni oggetto del contratto agli stessi prezzi, patti e condizioni previsti nel contratto. Il valore della proroga tecnica ammonta a € </w:t>
      </w:r>
      <w:r>
        <w:rPr>
          <w:rFonts w:ascii="Titillium" w:hAnsi="Titillium"/>
          <w:bCs/>
          <w:iCs/>
          <w:sz w:val="18"/>
          <w:szCs w:val="18"/>
        </w:rPr>
        <w:t>67.966,67.</w:t>
      </w:r>
    </w:p>
    <w:p>
      <w:pPr>
        <w:pStyle w:val="Normal"/>
        <w:spacing w:before="60" w:after="60"/>
        <w:rPr>
          <w:rFonts w:ascii="Titillium" w:hAnsi="Titillium"/>
          <w:bCs/>
          <w:iCs/>
          <w:sz w:val="18"/>
          <w:szCs w:val="18"/>
        </w:rPr>
      </w:pPr>
      <w:bookmarkStart w:id="131" w:name="_Toc484688821"/>
      <w:bookmarkStart w:id="132" w:name="_Toc485218257"/>
      <w:bookmarkStart w:id="133" w:name="_Toc482025708"/>
      <w:bookmarkStart w:id="134" w:name="_Toc482097531"/>
      <w:bookmarkStart w:id="135" w:name="_Toc482097620"/>
      <w:bookmarkStart w:id="136" w:name="_Toc482097709"/>
      <w:bookmarkStart w:id="137" w:name="_Toc482097901"/>
      <w:bookmarkStart w:id="138" w:name="_Toc482098999"/>
      <w:bookmarkStart w:id="139" w:name="_Toc483302330"/>
      <w:bookmarkStart w:id="140" w:name="_Toc483315880"/>
      <w:bookmarkStart w:id="141" w:name="_Toc483316086"/>
      <w:bookmarkStart w:id="142" w:name="_Toc483316289"/>
      <w:bookmarkStart w:id="143" w:name="_Toc483316420"/>
      <w:bookmarkStart w:id="144" w:name="_Toc483325723"/>
      <w:bookmarkStart w:id="145" w:name="_Toc483401202"/>
      <w:bookmarkStart w:id="146" w:name="_Toc483473999"/>
      <w:bookmarkStart w:id="147" w:name="_Toc483571428"/>
      <w:bookmarkStart w:id="148" w:name="_Toc483571549"/>
      <w:bookmarkStart w:id="149" w:name="_Toc483906926"/>
      <w:bookmarkStart w:id="150" w:name="_Toc484010676"/>
      <w:bookmarkStart w:id="151" w:name="_Toc484010798"/>
      <w:bookmarkStart w:id="152" w:name="_Toc484010922"/>
      <w:bookmarkStart w:id="153" w:name="_Toc484011044"/>
      <w:bookmarkStart w:id="154" w:name="_Toc484011166"/>
      <w:bookmarkStart w:id="155" w:name="_Toc484011641"/>
      <w:bookmarkStart w:id="156" w:name="_Toc484097715"/>
      <w:bookmarkStart w:id="157" w:name="_Toc484428887"/>
      <w:bookmarkStart w:id="158" w:name="_Toc484429057"/>
      <w:bookmarkStart w:id="159" w:name="_Toc484438632"/>
      <w:bookmarkStart w:id="160" w:name="_Toc484438756"/>
      <w:bookmarkStart w:id="161" w:name="_Toc484438880"/>
      <w:bookmarkStart w:id="162" w:name="_Toc484439800"/>
      <w:bookmarkStart w:id="163" w:name="_Toc484439923"/>
      <w:bookmarkStart w:id="164" w:name="_Toc484440047"/>
      <w:bookmarkStart w:id="165" w:name="_Toc484440407"/>
      <w:bookmarkStart w:id="166" w:name="_Toc484448066"/>
      <w:bookmarkStart w:id="167" w:name="_Toc484448191"/>
      <w:bookmarkStart w:id="168" w:name="_Toc484448315"/>
      <w:bookmarkStart w:id="169" w:name="_Toc484448439"/>
      <w:bookmarkStart w:id="170" w:name="_Toc484448563"/>
      <w:bookmarkStart w:id="171" w:name="_Toc484448687"/>
      <w:bookmarkStart w:id="172" w:name="_Toc484448810"/>
      <w:bookmarkStart w:id="173" w:name="_Toc484448934"/>
      <w:bookmarkStart w:id="174" w:name="_Toc484449058"/>
      <w:bookmarkStart w:id="175" w:name="_Toc484526553"/>
      <w:bookmarkStart w:id="176" w:name="_Toc484605273"/>
      <w:bookmarkStart w:id="177" w:name="_Toc484605397"/>
      <w:bookmarkStart w:id="178" w:name="_Toc484688266"/>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Titillium" w:hAnsi="Titillium"/>
          <w:b/>
          <w:iCs/>
          <w:sz w:val="18"/>
          <w:szCs w:val="18"/>
        </w:rPr>
        <w:t xml:space="preserve">Variazione fino a concorrenza del quinto dell’importo del contratto: </w:t>
      </w:r>
      <w:r>
        <w:rPr>
          <w:rFonts w:ascii="Titillium" w:hAnsi="Titillium"/>
          <w:bCs/>
          <w:iCs/>
          <w:sz w:val="18"/>
          <w:szCs w:val="18"/>
        </w:rPr>
        <w:t xml:space="preserve">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 </w:t>
      </w:r>
    </w:p>
    <w:p>
      <w:pPr>
        <w:pStyle w:val="Normal"/>
        <w:spacing w:before="60" w:after="60"/>
        <w:rPr>
          <w:rFonts w:ascii="Titillium" w:hAnsi="Titillium" w:cs="Calibri"/>
          <w:iCs/>
          <w:sz w:val="18"/>
          <w:szCs w:val="18"/>
        </w:rPr>
      </w:pPr>
      <w:r>
        <w:rPr>
          <w:rFonts w:ascii="Titillium" w:hAnsi="Titillium"/>
          <w:b/>
          <w:bCs/>
          <w:iCs/>
          <w:sz w:val="18"/>
          <w:szCs w:val="18"/>
        </w:rPr>
        <w:t>M</w:t>
      </w:r>
      <w:r>
        <w:rPr>
          <w:rFonts w:cs="Calibri" w:ascii="Titillium" w:hAnsi="Titillium"/>
          <w:b/>
          <w:bCs/>
          <w:iCs/>
          <w:sz w:val="18"/>
          <w:szCs w:val="18"/>
        </w:rPr>
        <w:t xml:space="preserve">odifiche del contratto ai sensi dell’articolo 120, comma 1, lettera a) del Codice: </w:t>
      </w:r>
      <w:r>
        <w:rPr>
          <w:rFonts w:cs="Calibri" w:ascii="Titillium" w:hAnsi="Titillium"/>
          <w:iCs/>
          <w:sz w:val="18"/>
          <w:szCs w:val="18"/>
        </w:rPr>
        <w:t>la stazione appaltante si riserva di modificare il contratto in corso di esecuzione, nei casi di aumento dei fabbisogni, in caso di adesione di altre Aziende sanitarie Avec nell’arco della durata contrattuale, nonché per la revisione prezzi, per un importo complessivo di € 326.240,00.</w:t>
      </w:r>
    </w:p>
    <w:p>
      <w:pPr>
        <w:pStyle w:val="Normal"/>
        <w:spacing w:before="60" w:after="60"/>
        <w:rPr>
          <w:rFonts w:ascii="Titillium" w:hAnsi="Titillium"/>
          <w:sz w:val="18"/>
          <w:szCs w:val="18"/>
        </w:rPr>
      </w:pPr>
      <w:r>
        <w:rPr>
          <w:rFonts w:ascii="Titillium" w:hAnsi="Titillium"/>
          <w:iCs/>
          <w:sz w:val="18"/>
          <w:szCs w:val="18"/>
        </w:rPr>
        <w:t xml:space="preserve">Il </w:t>
      </w:r>
      <w:r>
        <w:rPr>
          <w:rFonts w:ascii="Titillium" w:hAnsi="Titillium"/>
          <w:b/>
          <w:bCs/>
          <w:sz w:val="18"/>
          <w:szCs w:val="18"/>
        </w:rPr>
        <w:t>valore globale stimato</w:t>
      </w:r>
      <w:r>
        <w:rPr>
          <w:rFonts w:ascii="Titillium" w:hAnsi="Titillium"/>
          <w:sz w:val="18"/>
          <w:szCs w:val="18"/>
        </w:rPr>
        <w:t xml:space="preserve"> dell’appalto è pari ad</w:t>
      </w:r>
      <w:r>
        <w:rPr>
          <w:rFonts w:ascii="Titillium" w:hAnsi="Titillium"/>
          <w:sz w:val="18"/>
          <w:szCs w:val="18"/>
          <w:shd w:fill="FFFFFF" w:val="clear"/>
        </w:rPr>
        <w:t xml:space="preserve"> </w:t>
      </w:r>
      <w:r>
        <w:rPr>
          <w:rFonts w:ascii="Titillium" w:hAnsi="Titillium"/>
          <w:sz w:val="18"/>
          <w:szCs w:val="18"/>
        </w:rPr>
        <w:t>€ 1.156.603,34, così distinto:</w:t>
      </w:r>
    </w:p>
    <w:p>
      <w:pPr>
        <w:pStyle w:val="Normal"/>
        <w:spacing w:before="60" w:after="60"/>
        <w:rPr>
          <w:rFonts w:ascii="Titillium" w:hAnsi="Titillium" w:cs="Calibri"/>
          <w:iCs/>
          <w:sz w:val="18"/>
          <w:szCs w:val="18"/>
        </w:rPr>
      </w:pPr>
      <w:r>
        <w:rPr/>
        <w:t xml:space="preserve">Tabella </w:t>
      </w:r>
      <w:r>
        <w:rPr/>
        <w:fldChar w:fldCharType="begin"/>
      </w:r>
      <w:r>
        <w:rPr/>
        <w:instrText xml:space="preserve"> SEQ Tabella \* ARABIC </w:instrText>
      </w:r>
      <w:r>
        <w:rPr/>
        <w:fldChar w:fldCharType="separate"/>
      </w:r>
      <w:r>
        <w:rPr/>
        <w:t>1</w:t>
      </w:r>
      <w:r>
        <w:rPr/>
        <w:fldChar w:fldCharType="end"/>
      </w:r>
    </w:p>
    <w:tbl>
      <w:tblPr>
        <w:tblStyle w:val="Grigliatabella"/>
        <w:tblW w:w="921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943"/>
        <w:gridCol w:w="3271"/>
      </w:tblGrid>
      <w:tr>
        <w:trPr/>
        <w:tc>
          <w:tcPr>
            <w:tcW w:w="5943" w:type="dxa"/>
            <w:tcBorders/>
          </w:tcPr>
          <w:p>
            <w:pPr>
              <w:pStyle w:val="Normal"/>
              <w:widowControl/>
              <w:suppressAutoHyphens w:val="true"/>
              <w:spacing w:before="60" w:after="60"/>
              <w:rPr>
                <w:rFonts w:ascii="Titillium" w:hAnsi="Titillium" w:cs="Calibri"/>
                <w:iCs/>
                <w:sz w:val="18"/>
                <w:szCs w:val="18"/>
              </w:rPr>
            </w:pPr>
            <w:r>
              <w:rPr>
                <w:rFonts w:cs="Calibri" w:ascii="Titillium" w:hAnsi="Titillium"/>
                <w:iCs/>
                <w:sz w:val="18"/>
                <w:szCs w:val="18"/>
                <w:lang w:val="it-IT" w:eastAsia="it-IT" w:bidi="ar-SA"/>
              </w:rPr>
              <w:t>Importo complessivo (A+B)</w:t>
            </w:r>
          </w:p>
        </w:tc>
        <w:tc>
          <w:tcPr>
            <w:tcW w:w="3271" w:type="dxa"/>
            <w:tcBorders/>
          </w:tcPr>
          <w:p>
            <w:pPr>
              <w:pStyle w:val="Normal"/>
              <w:widowControl/>
              <w:suppressAutoHyphens w:val="true"/>
              <w:spacing w:before="60" w:after="60"/>
              <w:rPr>
                <w:rFonts w:ascii="Titillium" w:hAnsi="Titillium"/>
                <w:bCs/>
                <w:iCs/>
                <w:sz w:val="18"/>
                <w:szCs w:val="18"/>
              </w:rPr>
            </w:pPr>
            <w:r>
              <w:rPr>
                <w:rFonts w:ascii="Titillium" w:hAnsi="Titillium"/>
                <w:bCs/>
                <w:iCs/>
                <w:sz w:val="18"/>
                <w:szCs w:val="18"/>
                <w:lang w:val="it-IT" w:eastAsia="it-IT" w:bidi="ar-SA"/>
              </w:rPr>
              <w:t xml:space="preserve">€ </w:t>
            </w:r>
            <w:r>
              <w:rPr>
                <w:rFonts w:ascii="Titillium" w:hAnsi="Titillium"/>
                <w:bCs/>
                <w:iCs/>
                <w:sz w:val="18"/>
                <w:szCs w:val="18"/>
                <w:lang w:val="it-IT" w:eastAsia="it-IT" w:bidi="ar-SA"/>
              </w:rPr>
              <w:t>408.970,00</w:t>
            </w:r>
          </w:p>
        </w:tc>
      </w:tr>
      <w:tr>
        <w:trPr/>
        <w:tc>
          <w:tcPr>
            <w:tcW w:w="5943" w:type="dxa"/>
            <w:tcBorders/>
          </w:tcPr>
          <w:p>
            <w:pPr>
              <w:pStyle w:val="Normal"/>
              <w:widowControl/>
              <w:suppressAutoHyphens w:val="true"/>
              <w:spacing w:before="60" w:after="60"/>
              <w:rPr>
                <w:rFonts w:ascii="Titillium" w:hAnsi="Titillium"/>
                <w:bCs/>
                <w:iCs/>
                <w:sz w:val="18"/>
                <w:szCs w:val="18"/>
              </w:rPr>
            </w:pPr>
            <w:r>
              <w:rPr>
                <w:rFonts w:ascii="Titillium" w:hAnsi="Titillium"/>
                <w:bCs/>
                <w:iCs/>
                <w:sz w:val="18"/>
                <w:szCs w:val="18"/>
                <w:lang w:val="it-IT" w:eastAsia="it-IT" w:bidi="ar-SA"/>
              </w:rPr>
              <w:t>Importo per l’opzione di proroga contrattuale</w:t>
            </w:r>
          </w:p>
        </w:tc>
        <w:tc>
          <w:tcPr>
            <w:tcW w:w="3271" w:type="dxa"/>
            <w:tcBorders/>
          </w:tcPr>
          <w:p>
            <w:pPr>
              <w:pStyle w:val="Normal"/>
              <w:widowControl/>
              <w:suppressAutoHyphens w:val="true"/>
              <w:spacing w:before="60" w:after="60"/>
              <w:rPr>
                <w:rFonts w:ascii="Titillium" w:hAnsi="Titillium"/>
                <w:bCs/>
                <w:iCs/>
                <w:sz w:val="18"/>
                <w:szCs w:val="18"/>
              </w:rPr>
            </w:pPr>
            <w:r>
              <w:rPr>
                <w:rFonts w:ascii="Titillium" w:hAnsi="Titillium"/>
                <w:bCs/>
                <w:iCs/>
                <w:sz w:val="18"/>
                <w:szCs w:val="18"/>
                <w:lang w:val="it-IT" w:eastAsia="it-IT" w:bidi="ar-SA"/>
              </w:rPr>
              <w:t xml:space="preserve">€   </w:t>
            </w:r>
            <w:r>
              <w:rPr>
                <w:rFonts w:ascii="Titillium" w:hAnsi="Titillium"/>
                <w:bCs/>
                <w:iCs/>
                <w:sz w:val="18"/>
                <w:szCs w:val="18"/>
                <w:lang w:val="it-IT" w:eastAsia="it-IT" w:bidi="ar-SA"/>
              </w:rPr>
              <w:t>67.966,67</w:t>
            </w:r>
          </w:p>
        </w:tc>
      </w:tr>
      <w:tr>
        <w:trPr/>
        <w:tc>
          <w:tcPr>
            <w:tcW w:w="5943" w:type="dxa"/>
            <w:tcBorders>
              <w:top w:val="nil"/>
            </w:tcBorders>
          </w:tcPr>
          <w:p>
            <w:pPr>
              <w:pStyle w:val="Normal"/>
              <w:widowControl/>
              <w:suppressAutoHyphens w:val="true"/>
              <w:spacing w:before="60" w:after="60"/>
              <w:rPr>
                <w:rFonts w:ascii="Titillium" w:hAnsi="Titillium"/>
                <w:bCs/>
                <w:iCs/>
                <w:sz w:val="18"/>
                <w:szCs w:val="18"/>
              </w:rPr>
            </w:pPr>
            <w:r>
              <w:rPr>
                <w:rFonts w:ascii="Titillium" w:hAnsi="Titillium"/>
                <w:bCs/>
                <w:iCs/>
                <w:sz w:val="18"/>
                <w:szCs w:val="18"/>
                <w:lang w:val="it-IT" w:eastAsia="it-IT" w:bidi="ar-SA"/>
              </w:rPr>
              <w:t>Rinnovo di 24 mesi</w:t>
            </w:r>
          </w:p>
        </w:tc>
        <w:tc>
          <w:tcPr>
            <w:tcW w:w="3271" w:type="dxa"/>
            <w:tcBorders>
              <w:top w:val="nil"/>
            </w:tcBorders>
          </w:tcPr>
          <w:p>
            <w:pPr>
              <w:pStyle w:val="Normal"/>
              <w:widowControl/>
              <w:suppressAutoHyphens w:val="true"/>
              <w:spacing w:before="60" w:after="60"/>
              <w:rPr>
                <w:rFonts w:ascii="Titillium" w:hAnsi="Titillium"/>
                <w:bCs/>
                <w:iCs/>
                <w:sz w:val="18"/>
                <w:szCs w:val="18"/>
              </w:rPr>
            </w:pPr>
            <w:r>
              <w:rPr>
                <w:rFonts w:ascii="Titillium" w:hAnsi="Titillium"/>
                <w:bCs/>
                <w:iCs/>
                <w:sz w:val="18"/>
                <w:szCs w:val="18"/>
                <w:lang w:val="it-IT" w:eastAsia="it-IT" w:bidi="ar-SA"/>
              </w:rPr>
              <w:t xml:space="preserve">€ </w:t>
            </w:r>
            <w:r>
              <w:rPr>
                <w:rFonts w:ascii="Titillium" w:hAnsi="Titillium"/>
                <w:bCs/>
                <w:iCs/>
                <w:sz w:val="18"/>
                <w:szCs w:val="18"/>
                <w:lang w:val="it-IT" w:eastAsia="it-IT" w:bidi="ar-SA"/>
              </w:rPr>
              <w:t>271.866,67</w:t>
            </w:r>
          </w:p>
        </w:tc>
      </w:tr>
      <w:tr>
        <w:trPr/>
        <w:tc>
          <w:tcPr>
            <w:tcW w:w="5943" w:type="dxa"/>
            <w:tcBorders/>
          </w:tcPr>
          <w:p>
            <w:pPr>
              <w:pStyle w:val="Normal"/>
              <w:widowControl/>
              <w:suppressAutoHyphens w:val="true"/>
              <w:spacing w:before="60" w:after="60"/>
              <w:rPr>
                <w:rFonts w:ascii="Titillium" w:hAnsi="Titillium" w:cs="Calibri"/>
                <w:iCs/>
                <w:sz w:val="18"/>
                <w:szCs w:val="18"/>
              </w:rPr>
            </w:pPr>
            <w:r>
              <w:rPr>
                <w:rFonts w:cs="Calibri" w:ascii="Titillium" w:hAnsi="Titillium"/>
                <w:iCs/>
                <w:sz w:val="18"/>
                <w:szCs w:val="18"/>
                <w:lang w:val="it-IT" w:eastAsia="it-IT" w:bidi="ar-SA"/>
              </w:rPr>
              <w:t>Importo massimo del quinto d’obbligo, in caso di variazioni in aumento</w:t>
            </w:r>
          </w:p>
        </w:tc>
        <w:tc>
          <w:tcPr>
            <w:tcW w:w="3271" w:type="dxa"/>
            <w:tcBorders/>
          </w:tcPr>
          <w:p>
            <w:pPr>
              <w:pStyle w:val="Normal"/>
              <w:widowControl/>
              <w:suppressAutoHyphens w:val="true"/>
              <w:spacing w:before="60" w:after="60"/>
              <w:rPr>
                <w:rFonts w:ascii="Titillium" w:hAnsi="Titillium" w:cs="Calibri"/>
                <w:iCs/>
                <w:sz w:val="18"/>
                <w:szCs w:val="18"/>
              </w:rPr>
            </w:pPr>
            <w:r>
              <w:rPr>
                <w:rFonts w:cs="Calibri" w:ascii="Titillium" w:hAnsi="Titillium"/>
                <w:iCs/>
                <w:sz w:val="18"/>
                <w:szCs w:val="18"/>
                <w:lang w:val="it-IT" w:eastAsia="it-IT" w:bidi="ar-SA"/>
              </w:rPr>
              <w:t xml:space="preserve">€    </w:t>
            </w:r>
            <w:r>
              <w:rPr>
                <w:rFonts w:cs="Calibri" w:ascii="Titillium" w:hAnsi="Titillium"/>
                <w:iCs/>
                <w:sz w:val="18"/>
                <w:szCs w:val="18"/>
                <w:lang w:val="it-IT" w:eastAsia="it-IT" w:bidi="ar-SA"/>
              </w:rPr>
              <w:t>81.560,00</w:t>
            </w:r>
          </w:p>
        </w:tc>
      </w:tr>
      <w:tr>
        <w:trPr/>
        <w:tc>
          <w:tcPr>
            <w:tcW w:w="5943" w:type="dxa"/>
            <w:tcBorders/>
          </w:tcPr>
          <w:p>
            <w:pPr>
              <w:pStyle w:val="Normal"/>
              <w:widowControl/>
              <w:suppressAutoHyphens w:val="true"/>
              <w:spacing w:before="60" w:after="60"/>
              <w:rPr>
                <w:rFonts w:ascii="Titillium" w:hAnsi="Titillium" w:cs="Calibri"/>
                <w:iCs/>
                <w:sz w:val="18"/>
                <w:szCs w:val="18"/>
              </w:rPr>
            </w:pPr>
            <w:r>
              <w:rPr>
                <w:rFonts w:cs="Calibri" w:ascii="Titillium" w:hAnsi="Titillium"/>
                <w:iCs/>
                <w:sz w:val="18"/>
                <w:szCs w:val="18"/>
                <w:lang w:val="it-IT" w:eastAsia="it-IT" w:bidi="ar-SA"/>
              </w:rPr>
              <w:t>Modifiche del contratto ai sensi dell’articolo 120, comma 1, lettera a) del Codice</w:t>
            </w:r>
          </w:p>
        </w:tc>
        <w:tc>
          <w:tcPr>
            <w:tcW w:w="3271" w:type="dxa"/>
            <w:tcBorders/>
          </w:tcPr>
          <w:p>
            <w:pPr>
              <w:pStyle w:val="Normal"/>
              <w:widowControl/>
              <w:suppressAutoHyphens w:val="true"/>
              <w:spacing w:before="60" w:after="60"/>
              <w:rPr>
                <w:rFonts w:ascii="Titillium" w:hAnsi="Titillium" w:cs="Calibri"/>
                <w:iCs/>
                <w:sz w:val="18"/>
                <w:szCs w:val="18"/>
              </w:rPr>
            </w:pPr>
            <w:r>
              <w:rPr>
                <w:rFonts w:cs="Calibri" w:ascii="Titillium" w:hAnsi="Titillium"/>
                <w:iCs/>
                <w:sz w:val="18"/>
                <w:szCs w:val="18"/>
                <w:lang w:val="it-IT" w:eastAsia="it-IT" w:bidi="ar-SA"/>
              </w:rPr>
              <w:t xml:space="preserve">€ </w:t>
            </w:r>
            <w:r>
              <w:rPr>
                <w:rFonts w:cs="Calibri" w:ascii="Titillium" w:hAnsi="Titillium"/>
                <w:iCs/>
                <w:sz w:val="18"/>
                <w:szCs w:val="18"/>
                <w:lang w:val="it-IT" w:eastAsia="it-IT" w:bidi="ar-SA"/>
              </w:rPr>
              <w:t>326.240,00</w:t>
            </w:r>
          </w:p>
        </w:tc>
      </w:tr>
      <w:tr>
        <w:trPr/>
        <w:tc>
          <w:tcPr>
            <w:tcW w:w="5943" w:type="dxa"/>
            <w:tcBorders/>
          </w:tcPr>
          <w:p>
            <w:pPr>
              <w:pStyle w:val="Normal"/>
              <w:widowControl/>
              <w:suppressAutoHyphens w:val="true"/>
              <w:spacing w:before="60" w:after="60"/>
              <w:rPr>
                <w:rFonts w:ascii="Titillium" w:hAnsi="Titillium" w:cs="Calibri"/>
                <w:b/>
                <w:bCs/>
                <w:iCs/>
                <w:sz w:val="18"/>
                <w:szCs w:val="18"/>
              </w:rPr>
            </w:pPr>
            <w:r>
              <w:rPr>
                <w:rFonts w:cs="Calibri" w:ascii="Titillium" w:hAnsi="Titillium"/>
                <w:b/>
                <w:bCs/>
                <w:iCs/>
                <w:sz w:val="18"/>
                <w:szCs w:val="18"/>
                <w:lang w:val="it-IT" w:eastAsia="it-IT" w:bidi="ar-SA"/>
              </w:rPr>
              <w:t>Valore globale stimato</w:t>
            </w:r>
          </w:p>
        </w:tc>
        <w:tc>
          <w:tcPr>
            <w:tcW w:w="3271" w:type="dxa"/>
            <w:tcBorders/>
          </w:tcPr>
          <w:p>
            <w:pPr>
              <w:pStyle w:val="Normal"/>
              <w:widowControl/>
              <w:suppressAutoHyphens w:val="true"/>
              <w:spacing w:before="60" w:after="60"/>
              <w:rPr>
                <w:rFonts w:ascii="Titillium" w:hAnsi="Titillium" w:cs="Calibri"/>
                <w:b/>
                <w:bCs/>
                <w:iCs/>
                <w:sz w:val="18"/>
                <w:szCs w:val="18"/>
              </w:rPr>
            </w:pPr>
            <w:r>
              <w:rPr>
                <w:rFonts w:cs="Calibri" w:ascii="Titillium" w:hAnsi="Titillium"/>
                <w:b/>
                <w:bCs/>
                <w:iCs/>
                <w:sz w:val="18"/>
                <w:szCs w:val="18"/>
                <w:lang w:val="it-IT" w:eastAsia="it-IT" w:bidi="ar-SA"/>
              </w:rPr>
              <w:t xml:space="preserve"> </w:t>
            </w:r>
            <w:r>
              <w:rPr>
                <w:rFonts w:cs="Arial" w:ascii="Arial" w:hAnsi="Arial"/>
                <w:b/>
                <w:bCs/>
                <w:i/>
                <w:iCs/>
                <w:sz w:val="20"/>
                <w:szCs w:val="20"/>
                <w:lang w:val="it-IT" w:eastAsia="it-IT" w:bidi="ar-SA"/>
              </w:rPr>
              <w:t xml:space="preserve">€ </w:t>
            </w:r>
            <w:r>
              <w:rPr>
                <w:rFonts w:cs="Arial" w:ascii="Arial" w:hAnsi="Arial"/>
                <w:b/>
                <w:bCs/>
                <w:i/>
                <w:iCs/>
                <w:sz w:val="20"/>
                <w:szCs w:val="20"/>
                <w:lang w:val="it-IT" w:eastAsia="it-IT" w:bidi="ar-SA"/>
              </w:rPr>
              <w:t>1.156.603,34</w:t>
            </w:r>
          </w:p>
        </w:tc>
      </w:tr>
    </w:tbl>
    <w:p>
      <w:pPr>
        <w:pStyle w:val="Normal"/>
        <w:spacing w:before="60" w:after="60"/>
        <w:rPr>
          <w:rFonts w:ascii="Titillium" w:hAnsi="Titillium" w:cs="Calibri"/>
          <w:iCs/>
          <w:sz w:val="18"/>
          <w:szCs w:val="18"/>
        </w:rPr>
      </w:pPr>
      <w:r>
        <w:rPr>
          <w:rFonts w:cs="Calibri" w:ascii="Titillium" w:hAnsi="Titillium"/>
          <w:iCs/>
          <w:sz w:val="18"/>
          <w:szCs w:val="18"/>
        </w:rPr>
      </w:r>
    </w:p>
    <w:p>
      <w:pPr>
        <w:pStyle w:val="Heading2"/>
        <w:numPr>
          <w:ilvl w:val="0"/>
          <w:numId w:val="3"/>
        </w:numPr>
        <w:rPr>
          <w:iCs/>
        </w:rPr>
      </w:pPr>
      <w:bookmarkStart w:id="179" w:name="_Toc231396663"/>
      <w:bookmarkStart w:id="180" w:name="_Toc497831535"/>
      <w:bookmarkStart w:id="181" w:name="_Toc498419727"/>
      <w:bookmarkEnd w:id="180"/>
      <w:bookmarkEnd w:id="181"/>
      <w:r>
        <w:rPr/>
        <w:t>SOGGETTI AMMESSI IN FORMA SINGOLA E ASSOCIATA E CONDIZIONI DI PARTECIPAZIONE</w:t>
      </w:r>
      <w:bookmarkEnd w:id="179"/>
    </w:p>
    <w:p>
      <w:pPr>
        <w:pStyle w:val="Normal"/>
        <w:spacing w:before="60" w:after="60"/>
        <w:rPr>
          <w:rFonts w:ascii="Titillium" w:hAnsi="Titillium" w:cs="Calibri"/>
          <w:sz w:val="18"/>
          <w:szCs w:val="18"/>
        </w:rPr>
      </w:pPr>
      <w:r>
        <w:rPr>
          <w:rFonts w:cs="Calibri" w:ascii="Titillium" w:hAnsi="Titillium"/>
          <w:sz w:val="18"/>
          <w:szCs w:val="18"/>
        </w:rPr>
        <w:t>Gli operatori economici possono partecipare alla presente gara in forma singola o associata.</w:t>
      </w:r>
    </w:p>
    <w:p>
      <w:pPr>
        <w:pStyle w:val="Normal"/>
        <w:spacing w:before="60" w:after="60"/>
        <w:rPr>
          <w:rFonts w:ascii="Titillium" w:hAnsi="Titillium" w:cs="Calibri"/>
          <w:sz w:val="18"/>
          <w:szCs w:val="18"/>
        </w:rPr>
      </w:pPr>
      <w:r>
        <w:rPr>
          <w:rFonts w:cs="Calibri" w:ascii="Titillium" w:hAnsi="Titillium"/>
          <w:sz w:val="18"/>
          <w:szCs w:val="18"/>
        </w:rPr>
        <w:t xml:space="preserve">Ai soggetti costituiti in forma associata si applicano le disposizioni di cui agli articoli 67 e 68 del Codice. </w:t>
      </w:r>
    </w:p>
    <w:p>
      <w:pPr>
        <w:pStyle w:val="Normal"/>
        <w:spacing w:before="60" w:after="60"/>
        <w:rPr>
          <w:rFonts w:ascii="Titillium" w:hAnsi="Titillium" w:cs="Courier New"/>
          <w:sz w:val="18"/>
          <w:szCs w:val="18"/>
        </w:rPr>
      </w:pPr>
      <w:r>
        <w:rPr>
          <w:rFonts w:cs="Courier New" w:ascii="Titillium" w:hAnsi="Titillium"/>
          <w:sz w:val="18"/>
          <w:szCs w:val="18"/>
        </w:rPr>
        <w:t>I consorzi di cui agli articoli 65, comma 2, lett.  d) del Codice che intendono eseguire le prestazioni tramite le proprie consorziate sono tenuti ad indicare in sede di offerta per quali consorziati il consorzio concorre.</w:t>
      </w:r>
    </w:p>
    <w:p>
      <w:pPr>
        <w:pStyle w:val="Normal"/>
        <w:spacing w:before="60" w:after="60"/>
        <w:rPr>
          <w:rFonts w:ascii="Titillium" w:hAnsi="Titillium" w:cs="Courier New"/>
          <w:sz w:val="18"/>
          <w:szCs w:val="18"/>
        </w:rPr>
      </w:pPr>
      <w:r>
        <w:rPr>
          <w:rFonts w:cs="Courier New" w:ascii="Titillium" w:hAnsi="Titillium"/>
          <w:sz w:val="18"/>
          <w:szCs w:val="18"/>
        </w:rPr>
        <w:t>I consorzi di cui agli articoli 65, comma 2, lett. b) e c) del Codice sono tenuti ad indicare in sede di offerta per quali consorziati il consorzio concorre.</w:t>
      </w:r>
    </w:p>
    <w:p>
      <w:pPr>
        <w:pStyle w:val="Normal"/>
        <w:spacing w:before="60" w:after="60"/>
        <w:rPr>
          <w:rFonts w:ascii="Titillium" w:hAnsi="Titillium" w:cs="Courier New"/>
          <w:sz w:val="18"/>
          <w:szCs w:val="18"/>
        </w:rPr>
      </w:pPr>
      <w:r>
        <w:rPr>
          <w:rFonts w:cs="Courier New" w:ascii="Titillium" w:hAnsi="Titillium"/>
          <w:sz w:val="18"/>
          <w:szCs w:val="18"/>
        </w:rPr>
        <w:t>Quando la consorziata designata è, a sua volta, un consorzio di cui all'articolo 65, comma 2, lettere b) e c), è tenuto anch'esso a indicare, in sede di offerta, le consorziate per le quali concorre.</w:t>
      </w:r>
    </w:p>
    <w:p>
      <w:pPr>
        <w:pStyle w:val="Normal"/>
        <w:spacing w:before="60" w:after="60"/>
        <w:rPr>
          <w:rFonts w:ascii="Titillium" w:hAnsi="Titillium" w:cs="Courier New"/>
          <w:sz w:val="18"/>
          <w:szCs w:val="18"/>
        </w:rPr>
      </w:pPr>
      <w:r>
        <w:rPr>
          <w:rFonts w:cs="Courier New" w:ascii="Titillium" w:hAnsi="Titillium"/>
          <w:sz w:val="18"/>
          <w:szCs w:val="18"/>
        </w:rPr>
        <w:t xml:space="preserve">È fatto divieto di partecipare a più di un consorzio stabile. </w:t>
      </w:r>
    </w:p>
    <w:p>
      <w:pPr>
        <w:pStyle w:val="Normal"/>
        <w:spacing w:before="60" w:after="60"/>
        <w:rPr>
          <w:rFonts w:ascii="Titillium" w:hAnsi="Titillium" w:cs="Calibri"/>
          <w:iCs/>
          <w:sz w:val="18"/>
          <w:szCs w:val="18"/>
        </w:rPr>
      </w:pPr>
      <w:r>
        <w:rPr>
          <w:rFonts w:cs="Courier New" w:ascii="Titillium" w:hAnsi="Titillium"/>
          <w:sz w:val="18"/>
          <w:szCs w:val="18"/>
        </w:rPr>
        <w:t xml:space="preserve">Il concorrente che partecipa alla </w:t>
      </w:r>
      <w:r>
        <w:rPr>
          <w:rFonts w:cs="Calibri" w:ascii="Titillium" w:hAnsi="Titillium"/>
          <w:iCs/>
          <w:sz w:val="18"/>
          <w:szCs w:val="18"/>
        </w:rPr>
        <w:t xml:space="preserve">in una delle forme di seguito indicate è escluso nel caso in cui la stazione </w:t>
      </w:r>
      <w:bookmarkStart w:id="182" w:name="_Hlk130830647"/>
      <w:r>
        <w:rPr>
          <w:rFonts w:cs="Calibri" w:ascii="Titillium" w:hAnsi="Titillium"/>
          <w:iCs/>
          <w:sz w:val="18"/>
          <w:szCs w:val="18"/>
        </w:rPr>
        <w:t>appaltante accerti la sussistenza di rilevanti indizi tali da far ritenere che le offerte degli operatori economici siano imputabili ad un unico centro decisiona</w:t>
      </w:r>
      <w:bookmarkEnd w:id="182"/>
      <w:r>
        <w:rPr>
          <w:rFonts w:cs="Calibri" w:ascii="Titillium" w:hAnsi="Titillium"/>
          <w:iCs/>
          <w:sz w:val="18"/>
          <w:szCs w:val="18"/>
        </w:rPr>
        <w:t>le a cagione di accordi intercorsi con altri operatori economici partecipanti alla stessa gara:</w:t>
      </w:r>
    </w:p>
    <w:p>
      <w:pPr>
        <w:pStyle w:val="ListParagraph"/>
        <w:numPr>
          <w:ilvl w:val="0"/>
          <w:numId w:val="25"/>
        </w:numPr>
        <w:spacing w:before="60" w:after="60"/>
        <w:contextualSpacing w:val="false"/>
        <w:rPr>
          <w:rFonts w:ascii="Titillium" w:hAnsi="Titillium" w:cs="Courier New"/>
          <w:sz w:val="18"/>
          <w:szCs w:val="18"/>
        </w:rPr>
      </w:pPr>
      <w:r>
        <w:rPr>
          <w:rFonts w:cs="Courier New" w:ascii="Titillium" w:hAnsi="Titillium"/>
          <w:sz w:val="18"/>
          <w:szCs w:val="18"/>
        </w:rPr>
        <w:t>partecipazione in più</w:t>
      </w:r>
      <w:r>
        <w:rPr>
          <w:rFonts w:cs="Courier New" w:ascii="Titillium" w:hAnsi="Titillium"/>
          <w:b/>
          <w:sz w:val="18"/>
          <w:szCs w:val="18"/>
        </w:rPr>
        <w:t xml:space="preserve"> </w:t>
      </w:r>
      <w:r>
        <w:rPr>
          <w:rFonts w:cs="Courier New" w:ascii="Titillium" w:hAnsi="Titillium"/>
          <w:sz w:val="18"/>
          <w:szCs w:val="18"/>
        </w:rPr>
        <w:t xml:space="preserve">di un raggruppamento temporaneo o consorzio ordinario di concorrenti o </w:t>
      </w:r>
      <w:r>
        <w:rPr>
          <w:rFonts w:cs="Calibri" w:ascii="Titillium" w:hAnsi="Titillium"/>
          <w:sz w:val="18"/>
          <w:szCs w:val="18"/>
        </w:rPr>
        <w:t xml:space="preserve">aggregazione di operatori economici aderenti al contratto di rete (nel prosieguo, aggregazione </w:t>
      </w:r>
      <w:r>
        <w:rPr>
          <w:rFonts w:ascii="Titillium" w:hAnsi="Titillium"/>
          <w:sz w:val="18"/>
          <w:szCs w:val="18"/>
        </w:rPr>
        <w:t>di reti</w:t>
      </w:r>
      <w:r>
        <w:rPr>
          <w:rFonts w:cs="Calibri" w:ascii="Titillium" w:hAnsi="Titillium"/>
          <w:sz w:val="18"/>
          <w:szCs w:val="18"/>
        </w:rPr>
        <w:t>sti);</w:t>
      </w:r>
    </w:p>
    <w:p>
      <w:pPr>
        <w:pStyle w:val="ListParagraph"/>
        <w:numPr>
          <w:ilvl w:val="0"/>
          <w:numId w:val="25"/>
        </w:numPr>
        <w:spacing w:before="60" w:after="60"/>
        <w:contextualSpacing w:val="false"/>
        <w:rPr>
          <w:rFonts w:ascii="Titillium" w:hAnsi="Titillium" w:cs="Courier New"/>
          <w:sz w:val="18"/>
          <w:szCs w:val="18"/>
        </w:rPr>
      </w:pPr>
      <w:r>
        <w:rPr>
          <w:rFonts w:cs="Courier New" w:ascii="Titillium" w:hAnsi="Titillium"/>
          <w:sz w:val="18"/>
          <w:szCs w:val="18"/>
        </w:rPr>
        <w:t>partecipazione sia in raggruppamento o consorzio ordinario di concorrenti sia in forma individuale;</w:t>
      </w:r>
    </w:p>
    <w:p>
      <w:pPr>
        <w:pStyle w:val="ListParagraph"/>
        <w:numPr>
          <w:ilvl w:val="0"/>
          <w:numId w:val="25"/>
        </w:numPr>
        <w:spacing w:before="60" w:after="60"/>
        <w:contextualSpacing w:val="false"/>
        <w:rPr>
          <w:rFonts w:ascii="Titillium" w:hAnsi="Titillium" w:cs="Calibri"/>
          <w:sz w:val="18"/>
          <w:szCs w:val="18"/>
        </w:rPr>
      </w:pPr>
      <w:r>
        <w:rPr>
          <w:rFonts w:cs="Courier New" w:ascii="Titillium" w:hAnsi="Titillium"/>
          <w:sz w:val="18"/>
          <w:szCs w:val="18"/>
        </w:rPr>
        <w:t xml:space="preserve">partecipazione sia in aggregazione di retisti sia in forma individuale. </w:t>
      </w:r>
      <w:r>
        <w:rPr>
          <w:rFonts w:cs="Calibri" w:ascii="Titillium" w:hAnsi="Titillium"/>
          <w:sz w:val="18"/>
          <w:szCs w:val="18"/>
        </w:rPr>
        <w:t xml:space="preserve">Tale esclusione non si applica alle retiste </w:t>
      </w:r>
      <w:r>
        <w:rPr>
          <w:rFonts w:cs="Courier New" w:ascii="Titillium" w:hAnsi="Titillium"/>
          <w:sz w:val="18"/>
          <w:szCs w:val="18"/>
        </w:rPr>
        <w:t>non partecipanti all’aggregazione, le quali possono presentare offerta, per la medesima in forma singola o associata;</w:t>
      </w:r>
    </w:p>
    <w:p>
      <w:pPr>
        <w:pStyle w:val="ListParagraph"/>
        <w:numPr>
          <w:ilvl w:val="0"/>
          <w:numId w:val="25"/>
        </w:numPr>
        <w:spacing w:before="60" w:after="60"/>
        <w:contextualSpacing w:val="false"/>
        <w:rPr>
          <w:rFonts w:ascii="Titillium" w:hAnsi="Titillium" w:cs="Calibri"/>
          <w:color w:val="FF0000"/>
          <w:sz w:val="18"/>
          <w:szCs w:val="18"/>
        </w:rPr>
      </w:pPr>
      <w:r>
        <w:rPr>
          <w:rFonts w:cs="Courier New" w:ascii="Titillium" w:hAnsi="Titillium"/>
          <w:sz w:val="18"/>
          <w:szCs w:val="18"/>
        </w:rPr>
        <w:t>partecipazione di un consorzio di cui all’articolo 65, comma 2, lett. b), c) e d) del Codice che ha designato una consorziata esecutrice la quale, a sua volta, partecipa in una qualsiasi altra forma.</w:t>
      </w:r>
    </w:p>
    <w:p>
      <w:pPr>
        <w:pStyle w:val="Normal"/>
        <w:spacing w:before="60" w:after="60"/>
        <w:rPr>
          <w:rFonts w:ascii="Titillium" w:hAnsi="Titillium" w:cs="Calibri"/>
          <w:color w:val="FF0000"/>
          <w:sz w:val="18"/>
          <w:szCs w:val="18"/>
        </w:rPr>
      </w:pPr>
      <w:r>
        <w:rPr>
          <w:rFonts w:cs="Calibri" w:ascii="Titillium" w:hAnsi="Titillium"/>
          <w:color w:val="FF0000"/>
          <w:sz w:val="18"/>
          <w:szCs w:val="18"/>
        </w:rPr>
      </w:r>
    </w:p>
    <w:p>
      <w:pPr>
        <w:pStyle w:val="Normal"/>
        <w:spacing w:before="60" w:after="60"/>
        <w:rPr>
          <w:rFonts w:ascii="Titillium" w:hAnsi="Titillium" w:cs="Courier New"/>
          <w:sz w:val="18"/>
          <w:szCs w:val="18"/>
        </w:rPr>
      </w:pPr>
      <w:r>
        <w:rPr>
          <w:rFonts w:cs="Calibri" w:ascii="Titillium" w:hAnsi="Titillium"/>
          <w:sz w:val="18"/>
          <w:szCs w:val="18"/>
        </w:rPr>
        <w:t>Nel caso venga accertato quanto sopra, si provvede ad informare gli operatori economici coinvolti i quali possono, entro 10</w:t>
      </w:r>
      <w:r>
        <w:rPr>
          <w:rFonts w:cs="Calibri" w:ascii="Titillium" w:hAnsi="Titillium"/>
          <w:i/>
          <w:iCs/>
          <w:sz w:val="18"/>
          <w:szCs w:val="18"/>
        </w:rPr>
        <w:t xml:space="preserve"> </w:t>
      </w:r>
      <w:r>
        <w:rPr>
          <w:rFonts w:cs="Calibri" w:ascii="Titillium" w:hAnsi="Titillium"/>
          <w:sz w:val="18"/>
          <w:szCs w:val="18"/>
        </w:rPr>
        <w:t xml:space="preserve">giorni, dimostrare </w:t>
      </w:r>
      <w:r>
        <w:rPr>
          <w:rFonts w:cs="Courier New" w:ascii="Titillium" w:hAnsi="Titillium"/>
          <w:sz w:val="18"/>
          <w:szCs w:val="18"/>
        </w:rPr>
        <w:t xml:space="preserve">che la circostanza non ha influito sulla gara, né è idonea a incidere sulla capacità di rispettare gli obblighi contrattuali. </w:t>
      </w:r>
    </w:p>
    <w:p>
      <w:pPr>
        <w:pStyle w:val="Normal"/>
        <w:spacing w:before="60" w:after="60"/>
        <w:rPr>
          <w:rFonts w:ascii="Titillium" w:hAnsi="Titillium" w:cs="Courier New"/>
          <w:sz w:val="18"/>
          <w:szCs w:val="18"/>
        </w:rPr>
      </w:pPr>
      <w:r>
        <w:rPr>
          <w:rFonts w:cs="Courier New" w:ascii="Titillium" w:hAnsi="Titillium"/>
          <w:sz w:val="18"/>
          <w:szCs w:val="18"/>
        </w:rPr>
        <w:t>Le aggregazioni di retisti di cui all’articolo 65, comma 2, lettera g) del Codice, rispettano la disciplina prevista per i raggruppamenti temporanei in quanto compatibile. In particolare:</w:t>
      </w:r>
    </w:p>
    <w:p>
      <w:pPr>
        <w:pStyle w:val="ListParagraph"/>
        <w:numPr>
          <w:ilvl w:val="3"/>
          <w:numId w:val="16"/>
        </w:numPr>
        <w:spacing w:before="60" w:after="60"/>
        <w:ind w:hanging="284" w:left="567"/>
        <w:contextualSpacing w:val="false"/>
        <w:rPr>
          <w:rFonts w:ascii="Titillium" w:hAnsi="Titillium" w:cs="Courier New"/>
          <w:sz w:val="18"/>
          <w:szCs w:val="18"/>
        </w:rPr>
      </w:pPr>
      <w:r>
        <w:rPr>
          <w:rFonts w:cs="Courier New" w:ascii="Titillium" w:hAnsi="Titillium"/>
          <w:sz w:val="18"/>
          <w:szCs w:val="18"/>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pPr>
        <w:pStyle w:val="ListParagraph"/>
        <w:numPr>
          <w:ilvl w:val="3"/>
          <w:numId w:val="16"/>
        </w:numPr>
        <w:spacing w:before="60" w:after="60"/>
        <w:ind w:hanging="284" w:left="567"/>
        <w:contextualSpacing w:val="false"/>
        <w:rPr>
          <w:rFonts w:ascii="Titillium" w:hAnsi="Titillium" w:cs="Courier New"/>
          <w:sz w:val="18"/>
          <w:szCs w:val="18"/>
        </w:rPr>
      </w:pPr>
      <w:r>
        <w:rPr>
          <w:rFonts w:cs="Courier New" w:ascii="Titillium" w:hAnsi="Titillium"/>
          <w:sz w:val="18"/>
          <w:szCs w:val="18"/>
        </w:rPr>
        <w:t xml:space="preserve">nel caso in cui la rete sia dotata di organo comune con potere di rappresentanza ma priva di soggettività giuridica (cd. Rete – 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pPr>
        <w:pStyle w:val="ListParagraph"/>
        <w:numPr>
          <w:ilvl w:val="3"/>
          <w:numId w:val="16"/>
        </w:numPr>
        <w:spacing w:before="60" w:after="60"/>
        <w:ind w:hanging="284" w:left="567"/>
        <w:contextualSpacing w:val="false"/>
        <w:rPr>
          <w:rFonts w:ascii="Titillium" w:hAnsi="Titillium" w:cs="Courier New"/>
          <w:sz w:val="18"/>
          <w:szCs w:val="18"/>
        </w:rPr>
      </w:pPr>
      <w:r>
        <w:rPr>
          <w:rFonts w:cs="Courier New" w:ascii="Titillium" w:hAnsi="Titillium"/>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pPr>
        <w:pStyle w:val="Normal"/>
        <w:spacing w:before="60" w:after="60"/>
        <w:rPr/>
      </w:pPr>
      <w:r>
        <w:rPr>
          <w:rFonts w:cs="Courier New" w:ascii="Titillium" w:hAnsi="Titillium"/>
          <w:sz w:val="18"/>
          <w:szCs w:val="18"/>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w:t>
      </w:r>
    </w:p>
    <w:p>
      <w:pPr>
        <w:pStyle w:val="Normal"/>
        <w:spacing w:before="60" w:after="60"/>
        <w:rPr>
          <w:rFonts w:ascii="Titillium" w:hAnsi="Titillium" w:cs="Courier New"/>
          <w:sz w:val="18"/>
          <w:szCs w:val="18"/>
        </w:rPr>
      </w:pPr>
      <w:r>
        <w:rPr>
          <w:rFonts w:cs="Courier New" w:ascii="Titillium" w:hAnsi="Titillium"/>
          <w:sz w:val="18"/>
          <w:szCs w:val="18"/>
        </w:rPr>
        <w:t>Ad un raggruppamento temporaneo può partecipare anche un consorzio di cui all’articolo 65, comma 2, lettera b), c), d).</w:t>
      </w:r>
    </w:p>
    <w:p>
      <w:pPr>
        <w:pStyle w:val="Normal"/>
        <w:spacing w:before="60" w:after="60"/>
        <w:rPr/>
      </w:pPr>
      <w:r>
        <w:rPr>
          <w:rFonts w:cs="Courier New" w:ascii="Titillium" w:hAnsi="Titillium"/>
          <w:sz w:val="18"/>
          <w:szCs w:val="18"/>
        </w:rPr>
        <w:t xml:space="preserve">L’impresa in concordato preventivo può concorrere anche riunita in raggruppamento temporaneo di imprese e sempre che le altre imprese aderenti al raggruppamento temporaneo di imprese non siano assoggettate ad una procedura concorsuale.   </w:t>
      </w:r>
    </w:p>
    <w:p>
      <w:pPr>
        <w:pStyle w:val="Normal"/>
        <w:spacing w:before="120" w:after="60"/>
        <w:rPr>
          <w:rFonts w:ascii="Titillium" w:hAnsi="Titillium" w:cs="Calibri"/>
          <w:i/>
          <w:sz w:val="18"/>
          <w:szCs w:val="18"/>
        </w:rPr>
      </w:pPr>
      <w:r>
        <w:rPr>
          <w:rFonts w:cs="Calibri" w:ascii="Titillium" w:hAnsi="Titillium"/>
          <w:i/>
          <w:sz w:val="18"/>
          <w:szCs w:val="18"/>
        </w:rPr>
      </w:r>
    </w:p>
    <w:p>
      <w:pPr>
        <w:pStyle w:val="Heading2"/>
        <w:numPr>
          <w:ilvl w:val="0"/>
          <w:numId w:val="3"/>
        </w:numPr>
        <w:rPr/>
      </w:pPr>
      <w:bookmarkStart w:id="183" w:name="_Toc231396664"/>
      <w:bookmarkStart w:id="184" w:name="_Hlk194054262"/>
      <w:bookmarkStart w:id="185" w:name="_Ref128477566"/>
      <w:bookmarkStart w:id="186" w:name="_Ref531184613"/>
      <w:bookmarkStart w:id="187" w:name="_Toc406754172"/>
      <w:bookmarkStart w:id="188" w:name="_Toc416423357"/>
      <w:bookmarkStart w:id="189" w:name="_Toc482025712"/>
      <w:bookmarkStart w:id="190" w:name="_Toc482097535"/>
      <w:bookmarkStart w:id="191" w:name="_Toc482097624"/>
      <w:bookmarkStart w:id="192" w:name="_Toc482097713"/>
      <w:bookmarkStart w:id="193" w:name="_Toc482097905"/>
      <w:bookmarkStart w:id="194" w:name="_Toc482099003"/>
      <w:bookmarkStart w:id="195" w:name="_Toc482100720"/>
      <w:bookmarkStart w:id="196" w:name="_Toc482100877"/>
      <w:bookmarkStart w:id="197" w:name="_Toc482101303"/>
      <w:bookmarkStart w:id="198" w:name="_Toc482101440"/>
      <w:bookmarkStart w:id="199" w:name="_Toc482101555"/>
      <w:bookmarkStart w:id="200" w:name="_Toc482101730"/>
      <w:bookmarkStart w:id="201" w:name="_Toc482101823"/>
      <w:bookmarkStart w:id="202" w:name="_Toc482101918"/>
      <w:bookmarkStart w:id="203" w:name="_Toc482102013"/>
      <w:bookmarkStart w:id="204" w:name="_Toc482102107"/>
      <w:bookmarkStart w:id="205" w:name="_Toc482351971"/>
      <w:bookmarkStart w:id="206" w:name="_Toc482352061"/>
      <w:bookmarkStart w:id="207" w:name="_Toc482352151"/>
      <w:bookmarkStart w:id="208" w:name="_Toc482352241"/>
      <w:bookmarkStart w:id="209" w:name="_Toc482633081"/>
      <w:bookmarkStart w:id="210" w:name="_Toc482641258"/>
      <w:bookmarkStart w:id="211" w:name="_Toc482712704"/>
      <w:bookmarkStart w:id="212" w:name="_Toc482959474"/>
      <w:bookmarkStart w:id="213" w:name="_Toc482959584"/>
      <w:bookmarkStart w:id="214" w:name="_Toc482959694"/>
      <w:bookmarkStart w:id="215" w:name="_Toc482978813"/>
      <w:bookmarkStart w:id="216" w:name="_Toc482978922"/>
      <w:bookmarkStart w:id="217" w:name="_Toc482979030"/>
      <w:bookmarkStart w:id="218" w:name="_Toc482979141"/>
      <w:bookmarkStart w:id="219" w:name="_Toc482979250"/>
      <w:bookmarkStart w:id="220" w:name="_Toc482979359"/>
      <w:bookmarkStart w:id="221" w:name="_Toc482979467"/>
      <w:bookmarkStart w:id="222" w:name="_Toc482979576"/>
      <w:bookmarkStart w:id="223" w:name="_Toc482979674"/>
      <w:bookmarkStart w:id="224" w:name="_Toc483233635"/>
      <w:bookmarkStart w:id="225" w:name="_Toc483302335"/>
      <w:bookmarkStart w:id="226" w:name="_Toc483315885"/>
      <w:bookmarkStart w:id="227" w:name="_Toc483316090"/>
      <w:bookmarkStart w:id="228" w:name="_Toc483316293"/>
      <w:bookmarkStart w:id="229" w:name="_Toc483316424"/>
      <w:bookmarkStart w:id="230" w:name="_Toc483325727"/>
      <w:bookmarkStart w:id="231" w:name="_Toc483401206"/>
      <w:bookmarkStart w:id="232" w:name="_Toc483474003"/>
      <w:bookmarkStart w:id="233" w:name="_Toc483571432"/>
      <w:bookmarkStart w:id="234" w:name="_Toc483571553"/>
      <w:bookmarkStart w:id="235" w:name="_Toc483906930"/>
      <w:bookmarkStart w:id="236" w:name="_Toc484010680"/>
      <w:bookmarkStart w:id="237" w:name="_Toc484010802"/>
      <w:bookmarkStart w:id="238" w:name="_Toc484010926"/>
      <w:bookmarkStart w:id="239" w:name="_Toc484011048"/>
      <w:bookmarkStart w:id="240" w:name="_Toc484011170"/>
      <w:bookmarkStart w:id="241" w:name="_Toc484011645"/>
      <w:bookmarkStart w:id="242" w:name="_Toc484097719"/>
      <w:bookmarkStart w:id="243" w:name="_Toc484428891"/>
      <w:bookmarkStart w:id="244" w:name="_Toc484429061"/>
      <w:bookmarkStart w:id="245" w:name="_Toc484438636"/>
      <w:bookmarkStart w:id="246" w:name="_Toc484438760"/>
      <w:bookmarkStart w:id="247" w:name="_Toc484438884"/>
      <w:bookmarkStart w:id="248" w:name="_Toc484439804"/>
      <w:bookmarkStart w:id="249" w:name="_Toc484439927"/>
      <w:bookmarkStart w:id="250" w:name="_Toc484440051"/>
      <w:bookmarkStart w:id="251" w:name="_Toc484440411"/>
      <w:bookmarkStart w:id="252" w:name="_Toc484448070"/>
      <w:bookmarkStart w:id="253" w:name="_Toc484448195"/>
      <w:bookmarkStart w:id="254" w:name="_Toc484448319"/>
      <w:bookmarkStart w:id="255" w:name="_Toc484448443"/>
      <w:bookmarkStart w:id="256" w:name="_Toc484448567"/>
      <w:bookmarkStart w:id="257" w:name="_Toc484448691"/>
      <w:bookmarkStart w:id="258" w:name="_Toc484448814"/>
      <w:bookmarkStart w:id="259" w:name="_Toc484448938"/>
      <w:bookmarkStart w:id="260" w:name="_Toc484449062"/>
      <w:bookmarkStart w:id="261" w:name="_Toc484526557"/>
      <w:bookmarkStart w:id="262" w:name="_Toc484605277"/>
      <w:bookmarkStart w:id="263" w:name="_Toc484605401"/>
      <w:bookmarkStart w:id="264" w:name="_Toc484688270"/>
      <w:bookmarkStart w:id="265" w:name="_Toc484688825"/>
      <w:bookmarkStart w:id="266" w:name="_Toc485218261"/>
      <w:bookmarkStart w:id="267" w:name="_Toc482025713"/>
      <w:bookmarkStart w:id="268" w:name="_Toc482097536"/>
      <w:bookmarkStart w:id="269" w:name="_Toc482097625"/>
      <w:bookmarkStart w:id="270" w:name="_Toc482097714"/>
      <w:bookmarkStart w:id="271" w:name="_Toc482097906"/>
      <w:bookmarkStart w:id="272" w:name="_Toc482099004"/>
      <w:bookmarkStart w:id="273" w:name="_Toc482100721"/>
      <w:bookmarkStart w:id="274" w:name="_Toc482100878"/>
      <w:bookmarkStart w:id="275" w:name="_Toc482101304"/>
      <w:bookmarkStart w:id="276" w:name="_Toc482101441"/>
      <w:bookmarkStart w:id="277" w:name="_Toc482101556"/>
      <w:bookmarkStart w:id="278" w:name="_Toc482101731"/>
      <w:bookmarkStart w:id="279" w:name="_Toc482101824"/>
      <w:bookmarkStart w:id="280" w:name="_Toc482101919"/>
      <w:bookmarkStart w:id="281" w:name="_Toc482102014"/>
      <w:bookmarkStart w:id="282" w:name="_Toc482102108"/>
      <w:bookmarkStart w:id="283" w:name="_Toc482351972"/>
      <w:bookmarkStart w:id="284" w:name="_Toc482352062"/>
      <w:bookmarkStart w:id="285" w:name="_Toc482352152"/>
      <w:bookmarkStart w:id="286" w:name="_Toc482352242"/>
      <w:bookmarkStart w:id="287" w:name="_Toc482633082"/>
      <w:bookmarkStart w:id="288" w:name="_Toc482641259"/>
      <w:bookmarkStart w:id="289" w:name="_Toc482712705"/>
      <w:bookmarkStart w:id="290" w:name="_Toc482959475"/>
      <w:bookmarkStart w:id="291" w:name="_Toc482959585"/>
      <w:bookmarkStart w:id="292" w:name="_Toc482959695"/>
      <w:bookmarkStart w:id="293" w:name="_Toc482978814"/>
      <w:bookmarkStart w:id="294" w:name="_Toc482978923"/>
      <w:bookmarkStart w:id="295" w:name="_Toc482979031"/>
      <w:bookmarkStart w:id="296" w:name="_Toc482979142"/>
      <w:bookmarkStart w:id="297" w:name="_Toc482979251"/>
      <w:bookmarkStart w:id="298" w:name="_Toc482979360"/>
      <w:bookmarkStart w:id="299" w:name="_Toc482979468"/>
      <w:bookmarkStart w:id="300" w:name="_Toc482979577"/>
      <w:bookmarkStart w:id="301" w:name="_Toc482979675"/>
      <w:bookmarkStart w:id="302" w:name="_Toc483233636"/>
      <w:bookmarkStart w:id="303" w:name="_Toc483302336"/>
      <w:bookmarkStart w:id="304" w:name="_Toc483315886"/>
      <w:bookmarkStart w:id="305" w:name="_Toc483316091"/>
      <w:bookmarkStart w:id="306" w:name="_Toc483316294"/>
      <w:bookmarkStart w:id="307" w:name="_Toc483316425"/>
      <w:bookmarkStart w:id="308" w:name="_Toc483325728"/>
      <w:bookmarkStart w:id="309" w:name="_Toc483401207"/>
      <w:bookmarkStart w:id="310" w:name="_Toc483474004"/>
      <w:bookmarkStart w:id="311" w:name="_Toc483571433"/>
      <w:bookmarkStart w:id="312" w:name="_Toc483571554"/>
      <w:bookmarkStart w:id="313" w:name="_Toc483906931"/>
      <w:bookmarkStart w:id="314" w:name="_Toc484010681"/>
      <w:bookmarkStart w:id="315" w:name="_Toc484010803"/>
      <w:bookmarkStart w:id="316" w:name="_Toc484010927"/>
      <w:bookmarkStart w:id="317" w:name="_Toc484011049"/>
      <w:bookmarkStart w:id="318" w:name="_Toc484011171"/>
      <w:bookmarkStart w:id="319" w:name="_Toc484011646"/>
      <w:bookmarkStart w:id="320" w:name="_Toc484097720"/>
      <w:bookmarkStart w:id="321" w:name="_Toc484428892"/>
      <w:bookmarkStart w:id="322" w:name="_Toc484429062"/>
      <w:bookmarkStart w:id="323" w:name="_Toc484438637"/>
      <w:bookmarkStart w:id="324" w:name="_Toc484438761"/>
      <w:bookmarkStart w:id="325" w:name="_Toc484438885"/>
      <w:bookmarkStart w:id="326" w:name="_Toc484439805"/>
      <w:bookmarkStart w:id="327" w:name="_Toc484439928"/>
      <w:bookmarkStart w:id="328" w:name="_Toc484440052"/>
      <w:bookmarkStart w:id="329" w:name="_Toc484440412"/>
      <w:bookmarkStart w:id="330" w:name="_Toc484448071"/>
      <w:bookmarkStart w:id="331" w:name="_Toc484448196"/>
      <w:bookmarkStart w:id="332" w:name="_Toc484448320"/>
      <w:bookmarkStart w:id="333" w:name="_Toc484448444"/>
      <w:bookmarkStart w:id="334" w:name="_Toc484448568"/>
      <w:bookmarkStart w:id="335" w:name="_Toc484448692"/>
      <w:bookmarkStart w:id="336" w:name="_Toc484448815"/>
      <w:bookmarkStart w:id="337" w:name="_Toc484448939"/>
      <w:bookmarkStart w:id="338" w:name="_Toc484449063"/>
      <w:bookmarkStart w:id="339" w:name="_Toc484526558"/>
      <w:bookmarkStart w:id="340" w:name="_Toc484605278"/>
      <w:bookmarkStart w:id="341" w:name="_Toc484605402"/>
      <w:bookmarkStart w:id="342" w:name="_Toc484688271"/>
      <w:bookmarkStart w:id="343" w:name="_Toc484688826"/>
      <w:bookmarkStart w:id="344" w:name="_Toc485218262"/>
      <w:bookmarkStart w:id="345" w:name="_Toc482025714"/>
      <w:bookmarkStart w:id="346" w:name="_Toc482097537"/>
      <w:bookmarkStart w:id="347" w:name="_Toc482097626"/>
      <w:bookmarkStart w:id="348" w:name="_Toc482097715"/>
      <w:bookmarkStart w:id="349" w:name="_Toc482097907"/>
      <w:bookmarkStart w:id="350" w:name="_Toc482099005"/>
      <w:bookmarkStart w:id="351" w:name="_Toc482100722"/>
      <w:bookmarkStart w:id="352" w:name="_Toc482100879"/>
      <w:bookmarkStart w:id="353" w:name="_Toc482101305"/>
      <w:bookmarkStart w:id="354" w:name="_Toc482101442"/>
      <w:bookmarkStart w:id="355" w:name="_Toc482101557"/>
      <w:bookmarkStart w:id="356" w:name="_Toc482101732"/>
      <w:bookmarkStart w:id="357" w:name="_Toc482101825"/>
      <w:bookmarkStart w:id="358" w:name="_Toc482101920"/>
      <w:bookmarkStart w:id="359" w:name="_Toc482102015"/>
      <w:bookmarkStart w:id="360" w:name="_Toc482102109"/>
      <w:bookmarkStart w:id="361" w:name="_Toc482351973"/>
      <w:bookmarkStart w:id="362" w:name="_Toc482352063"/>
      <w:bookmarkStart w:id="363" w:name="_Toc482352153"/>
      <w:bookmarkStart w:id="364" w:name="_Toc482352243"/>
      <w:bookmarkStart w:id="365" w:name="_Toc482633083"/>
      <w:bookmarkStart w:id="366" w:name="_Toc482641260"/>
      <w:bookmarkStart w:id="367" w:name="_Toc482712706"/>
      <w:bookmarkStart w:id="368" w:name="_Toc482959476"/>
      <w:bookmarkStart w:id="369" w:name="_Toc482959586"/>
      <w:bookmarkStart w:id="370" w:name="_Toc482959696"/>
      <w:bookmarkStart w:id="371" w:name="_Toc482978815"/>
      <w:bookmarkStart w:id="372" w:name="_Toc482978924"/>
      <w:bookmarkStart w:id="373" w:name="_Toc482979032"/>
      <w:bookmarkStart w:id="374" w:name="_Toc482979143"/>
      <w:bookmarkStart w:id="375" w:name="_Toc482979252"/>
      <w:bookmarkStart w:id="376" w:name="_Toc482979361"/>
      <w:bookmarkStart w:id="377" w:name="_Toc482979469"/>
      <w:bookmarkStart w:id="378" w:name="_Toc482979578"/>
      <w:bookmarkStart w:id="379" w:name="_Toc482979676"/>
      <w:bookmarkStart w:id="380" w:name="_Toc483233637"/>
      <w:bookmarkStart w:id="381" w:name="_Toc483302337"/>
      <w:bookmarkStart w:id="382" w:name="_Toc483315887"/>
      <w:bookmarkStart w:id="383" w:name="_Toc483316092"/>
      <w:bookmarkStart w:id="384" w:name="_Toc483316295"/>
      <w:bookmarkStart w:id="385" w:name="_Toc483316426"/>
      <w:bookmarkStart w:id="386" w:name="_Toc483325729"/>
      <w:bookmarkStart w:id="387" w:name="_Toc483401208"/>
      <w:bookmarkStart w:id="388" w:name="_Toc483474005"/>
      <w:bookmarkStart w:id="389" w:name="_Toc483571434"/>
      <w:bookmarkStart w:id="390" w:name="_Toc483571555"/>
      <w:bookmarkStart w:id="391" w:name="_Toc483906932"/>
      <w:bookmarkStart w:id="392" w:name="_Toc484010682"/>
      <w:bookmarkStart w:id="393" w:name="_Toc484010804"/>
      <w:bookmarkStart w:id="394" w:name="_Toc484010928"/>
      <w:bookmarkStart w:id="395" w:name="_Toc484011050"/>
      <w:bookmarkStart w:id="396" w:name="_Toc484011172"/>
      <w:bookmarkStart w:id="397" w:name="_Toc484011647"/>
      <w:bookmarkStart w:id="398" w:name="_Toc484097721"/>
      <w:bookmarkStart w:id="399" w:name="_Toc484428893"/>
      <w:bookmarkStart w:id="400" w:name="_Toc484429063"/>
      <w:bookmarkStart w:id="401" w:name="_Toc484438638"/>
      <w:bookmarkStart w:id="402" w:name="_Toc484438762"/>
      <w:bookmarkStart w:id="403" w:name="_Toc484438886"/>
      <w:bookmarkStart w:id="404" w:name="_Toc484439806"/>
      <w:bookmarkStart w:id="405" w:name="_Toc484439929"/>
      <w:bookmarkStart w:id="406" w:name="_Toc484440053"/>
      <w:bookmarkStart w:id="407" w:name="_Toc484440413"/>
      <w:bookmarkStart w:id="408" w:name="_Toc484448072"/>
      <w:bookmarkStart w:id="409" w:name="_Toc484448197"/>
      <w:bookmarkStart w:id="410" w:name="_Toc484448321"/>
      <w:bookmarkStart w:id="411" w:name="_Toc484448445"/>
      <w:bookmarkStart w:id="412" w:name="_Toc484448569"/>
      <w:bookmarkStart w:id="413" w:name="_Toc484448693"/>
      <w:bookmarkStart w:id="414" w:name="_Toc484448816"/>
      <w:bookmarkStart w:id="415" w:name="_Toc484448940"/>
      <w:bookmarkStart w:id="416" w:name="_Toc484449064"/>
      <w:bookmarkStart w:id="417" w:name="_Toc484526559"/>
      <w:bookmarkStart w:id="418" w:name="_Toc484605279"/>
      <w:bookmarkStart w:id="419" w:name="_Toc484605403"/>
      <w:bookmarkStart w:id="420" w:name="_Toc484688272"/>
      <w:bookmarkStart w:id="421" w:name="_Toc484688827"/>
      <w:bookmarkStart w:id="422" w:name="_Toc485218263"/>
      <w:bookmarkStart w:id="423" w:name="_Toc482025715"/>
      <w:bookmarkStart w:id="424" w:name="_Toc482097538"/>
      <w:bookmarkStart w:id="425" w:name="_Toc482097627"/>
      <w:bookmarkStart w:id="426" w:name="_Toc482097716"/>
      <w:bookmarkStart w:id="427" w:name="_Toc482097908"/>
      <w:bookmarkStart w:id="428" w:name="_Toc482099006"/>
      <w:bookmarkStart w:id="429" w:name="_Toc482100723"/>
      <w:bookmarkStart w:id="430" w:name="_Toc482100880"/>
      <w:bookmarkStart w:id="431" w:name="_Toc482101306"/>
      <w:bookmarkStart w:id="432" w:name="_Toc482101443"/>
      <w:bookmarkStart w:id="433" w:name="_Toc482101558"/>
      <w:bookmarkStart w:id="434" w:name="_Toc482101733"/>
      <w:bookmarkStart w:id="435" w:name="_Toc482101826"/>
      <w:bookmarkStart w:id="436" w:name="_Toc482101921"/>
      <w:bookmarkStart w:id="437" w:name="_Toc482102016"/>
      <w:bookmarkStart w:id="438" w:name="_Toc482102110"/>
      <w:bookmarkStart w:id="439" w:name="_Toc482351974"/>
      <w:bookmarkStart w:id="440" w:name="_Toc482352064"/>
      <w:bookmarkStart w:id="441" w:name="_Toc482352154"/>
      <w:bookmarkStart w:id="442" w:name="_Toc482352244"/>
      <w:bookmarkStart w:id="443" w:name="_Toc482633084"/>
      <w:bookmarkStart w:id="444" w:name="_Toc482641261"/>
      <w:bookmarkStart w:id="445" w:name="_Toc482712707"/>
      <w:bookmarkStart w:id="446" w:name="_Toc482959477"/>
      <w:bookmarkStart w:id="447" w:name="_Toc482959587"/>
      <w:bookmarkStart w:id="448" w:name="_Toc482959697"/>
      <w:bookmarkStart w:id="449" w:name="_Toc482978816"/>
      <w:bookmarkStart w:id="450" w:name="_Toc482978925"/>
      <w:bookmarkStart w:id="451" w:name="_Toc482979033"/>
      <w:bookmarkStart w:id="452" w:name="_Toc482979144"/>
      <w:bookmarkStart w:id="453" w:name="_Toc482979253"/>
      <w:bookmarkStart w:id="454" w:name="_Toc482979362"/>
      <w:bookmarkStart w:id="455" w:name="_Toc482979470"/>
      <w:bookmarkStart w:id="456" w:name="_Toc482979579"/>
      <w:bookmarkStart w:id="457" w:name="_Toc482979677"/>
      <w:bookmarkStart w:id="458" w:name="_Toc483233638"/>
      <w:bookmarkStart w:id="459" w:name="_Toc483302338"/>
      <w:bookmarkStart w:id="460" w:name="_Toc483315888"/>
      <w:bookmarkStart w:id="461" w:name="_Toc483316093"/>
      <w:bookmarkStart w:id="462" w:name="_Toc483316296"/>
      <w:bookmarkStart w:id="463" w:name="_Toc483316427"/>
      <w:bookmarkStart w:id="464" w:name="_Toc483325730"/>
      <w:bookmarkStart w:id="465" w:name="_Toc483401209"/>
      <w:bookmarkStart w:id="466" w:name="_Toc483474006"/>
      <w:bookmarkStart w:id="467" w:name="_Toc483571435"/>
      <w:bookmarkStart w:id="468" w:name="_Toc483571556"/>
      <w:bookmarkStart w:id="469" w:name="_Toc483906933"/>
      <w:bookmarkStart w:id="470" w:name="_Toc484010683"/>
      <w:bookmarkStart w:id="471" w:name="_Toc484010805"/>
      <w:bookmarkStart w:id="472" w:name="_Toc484010929"/>
      <w:bookmarkStart w:id="473" w:name="_Toc484011051"/>
      <w:bookmarkStart w:id="474" w:name="_Toc484011173"/>
      <w:bookmarkStart w:id="475" w:name="_Toc484011648"/>
      <w:bookmarkStart w:id="476" w:name="_Toc484097722"/>
      <w:bookmarkStart w:id="477" w:name="_Toc484428894"/>
      <w:bookmarkStart w:id="478" w:name="_Toc484429064"/>
      <w:bookmarkStart w:id="479" w:name="_Toc484438639"/>
      <w:bookmarkStart w:id="480" w:name="_Toc484438763"/>
      <w:bookmarkStart w:id="481" w:name="_Toc484438887"/>
      <w:bookmarkStart w:id="482" w:name="_Toc484439807"/>
      <w:bookmarkStart w:id="483" w:name="_Toc484439930"/>
      <w:bookmarkStart w:id="484" w:name="_Toc484440054"/>
      <w:bookmarkStart w:id="485" w:name="_Toc484440414"/>
      <w:bookmarkStart w:id="486" w:name="_Toc484448073"/>
      <w:bookmarkStart w:id="487" w:name="_Toc484448198"/>
      <w:bookmarkStart w:id="488" w:name="_Toc484448322"/>
      <w:bookmarkStart w:id="489" w:name="_Toc484448446"/>
      <w:bookmarkStart w:id="490" w:name="_Toc484448570"/>
      <w:bookmarkStart w:id="491" w:name="_Toc484448694"/>
      <w:bookmarkStart w:id="492" w:name="_Toc484448817"/>
      <w:bookmarkStart w:id="493" w:name="_Toc484448941"/>
      <w:bookmarkStart w:id="494" w:name="_Toc484449065"/>
      <w:bookmarkStart w:id="495" w:name="_Toc484526560"/>
      <w:bookmarkStart w:id="496" w:name="_Toc484605280"/>
      <w:bookmarkStart w:id="497" w:name="_Toc484605404"/>
      <w:bookmarkStart w:id="498" w:name="_Toc484688273"/>
      <w:bookmarkStart w:id="499" w:name="_Toc484688828"/>
      <w:bookmarkStart w:id="500" w:name="_Toc485218264"/>
      <w:bookmarkStart w:id="501" w:name="_Toc482025716"/>
      <w:bookmarkStart w:id="502" w:name="_Toc482097539"/>
      <w:bookmarkStart w:id="503" w:name="_Toc482097628"/>
      <w:bookmarkStart w:id="504" w:name="_Toc482097717"/>
      <w:bookmarkStart w:id="505" w:name="_Toc482097909"/>
      <w:bookmarkStart w:id="506" w:name="_Toc482099007"/>
      <w:bookmarkStart w:id="507" w:name="_Toc482100724"/>
      <w:bookmarkStart w:id="508" w:name="_Toc482100881"/>
      <w:bookmarkStart w:id="509" w:name="_Toc482101307"/>
      <w:bookmarkStart w:id="510" w:name="_Toc482101444"/>
      <w:bookmarkStart w:id="511" w:name="_Toc482101559"/>
      <w:bookmarkStart w:id="512" w:name="_Toc482101734"/>
      <w:bookmarkStart w:id="513" w:name="_Toc482101827"/>
      <w:bookmarkStart w:id="514" w:name="_Toc482101922"/>
      <w:bookmarkStart w:id="515" w:name="_Toc482102017"/>
      <w:bookmarkStart w:id="516" w:name="_Toc482102111"/>
      <w:bookmarkStart w:id="517" w:name="_Toc482351975"/>
      <w:bookmarkStart w:id="518" w:name="_Toc482352065"/>
      <w:bookmarkStart w:id="519" w:name="_Toc482352155"/>
      <w:bookmarkStart w:id="520" w:name="_Toc482352245"/>
      <w:bookmarkStart w:id="521" w:name="_Toc482633085"/>
      <w:bookmarkStart w:id="522" w:name="_Toc482641262"/>
      <w:bookmarkStart w:id="523" w:name="_Toc482712708"/>
      <w:bookmarkStart w:id="524" w:name="_Toc482959478"/>
      <w:bookmarkStart w:id="525" w:name="_Toc482959588"/>
      <w:bookmarkStart w:id="526" w:name="_Toc482959698"/>
      <w:bookmarkStart w:id="527" w:name="_Toc482978817"/>
      <w:bookmarkStart w:id="528" w:name="_Toc482978926"/>
      <w:bookmarkStart w:id="529" w:name="_Toc482979034"/>
      <w:bookmarkStart w:id="530" w:name="_Toc482979145"/>
      <w:bookmarkStart w:id="531" w:name="_Toc482979254"/>
      <w:bookmarkStart w:id="532" w:name="_Toc482979363"/>
      <w:bookmarkStart w:id="533" w:name="_Toc482979471"/>
      <w:bookmarkStart w:id="534" w:name="_Toc482979580"/>
      <w:bookmarkStart w:id="535" w:name="_Toc482979678"/>
      <w:bookmarkStart w:id="536" w:name="_Toc483233639"/>
      <w:bookmarkStart w:id="537" w:name="_Toc483302339"/>
      <w:bookmarkStart w:id="538" w:name="_Toc483315889"/>
      <w:bookmarkStart w:id="539" w:name="_Toc483316094"/>
      <w:bookmarkStart w:id="540" w:name="_Toc483316297"/>
      <w:bookmarkStart w:id="541" w:name="_Toc483316428"/>
      <w:bookmarkStart w:id="542" w:name="_Toc483325731"/>
      <w:bookmarkStart w:id="543" w:name="_Toc483401210"/>
      <w:bookmarkStart w:id="544" w:name="_Toc483474007"/>
      <w:bookmarkStart w:id="545" w:name="_Toc483571436"/>
      <w:bookmarkStart w:id="546" w:name="_Toc483571557"/>
      <w:bookmarkStart w:id="547" w:name="_Toc483906934"/>
      <w:bookmarkStart w:id="548" w:name="_Toc484010684"/>
      <w:bookmarkStart w:id="549" w:name="_Toc484010806"/>
      <w:bookmarkStart w:id="550" w:name="_Toc484010930"/>
      <w:bookmarkStart w:id="551" w:name="_Toc484011052"/>
      <w:bookmarkStart w:id="552" w:name="_Toc484011174"/>
      <w:bookmarkStart w:id="553" w:name="_Toc484011649"/>
      <w:bookmarkStart w:id="554" w:name="_Toc484097723"/>
      <w:bookmarkStart w:id="555" w:name="_Toc484428895"/>
      <w:bookmarkStart w:id="556" w:name="_Toc484429065"/>
      <w:bookmarkStart w:id="557" w:name="_Toc484438640"/>
      <w:bookmarkStart w:id="558" w:name="_Toc484438764"/>
      <w:bookmarkStart w:id="559" w:name="_Toc484438888"/>
      <w:bookmarkStart w:id="560" w:name="_Toc484439808"/>
      <w:bookmarkStart w:id="561" w:name="_Toc484439931"/>
      <w:bookmarkStart w:id="562" w:name="_Toc484440055"/>
      <w:bookmarkStart w:id="563" w:name="_Toc484440415"/>
      <w:bookmarkStart w:id="564" w:name="_Toc484448074"/>
      <w:bookmarkStart w:id="565" w:name="_Toc484448199"/>
      <w:bookmarkStart w:id="566" w:name="_Toc484448323"/>
      <w:bookmarkStart w:id="567" w:name="_Toc484448447"/>
      <w:bookmarkStart w:id="568" w:name="_Toc484448571"/>
      <w:bookmarkStart w:id="569" w:name="_Toc484448695"/>
      <w:bookmarkStart w:id="570" w:name="_Toc484448818"/>
      <w:bookmarkStart w:id="571" w:name="_Toc484448942"/>
      <w:bookmarkStart w:id="572" w:name="_Toc484449066"/>
      <w:bookmarkStart w:id="573" w:name="_Toc484526561"/>
      <w:bookmarkStart w:id="574" w:name="_Toc484605281"/>
      <w:bookmarkStart w:id="575" w:name="_Toc484605405"/>
      <w:bookmarkStart w:id="576" w:name="_Toc484688274"/>
      <w:bookmarkStart w:id="577" w:name="_Toc484688829"/>
      <w:bookmarkStart w:id="578" w:name="_Toc485218265"/>
      <w:bookmarkStart w:id="579" w:name="_Toc482025717"/>
      <w:bookmarkStart w:id="580" w:name="_Toc482097540"/>
      <w:bookmarkStart w:id="581" w:name="_Toc482097629"/>
      <w:bookmarkStart w:id="582" w:name="_Toc482097718"/>
      <w:bookmarkStart w:id="583" w:name="_Toc482097910"/>
      <w:bookmarkStart w:id="584" w:name="_Toc482099008"/>
      <w:bookmarkStart w:id="585" w:name="_Toc482100725"/>
      <w:bookmarkStart w:id="586" w:name="_Toc482100882"/>
      <w:bookmarkStart w:id="587" w:name="_Toc482101308"/>
      <w:bookmarkStart w:id="588" w:name="_Toc482101445"/>
      <w:bookmarkStart w:id="589" w:name="_Toc482101560"/>
      <w:bookmarkStart w:id="590" w:name="_Toc482101735"/>
      <w:bookmarkStart w:id="591" w:name="_Toc482101828"/>
      <w:bookmarkStart w:id="592" w:name="_Toc482101923"/>
      <w:bookmarkStart w:id="593" w:name="_Toc482102018"/>
      <w:bookmarkStart w:id="594" w:name="_Toc482102112"/>
      <w:bookmarkStart w:id="595" w:name="_Toc482351976"/>
      <w:bookmarkStart w:id="596" w:name="_Toc482352066"/>
      <w:bookmarkStart w:id="597" w:name="_Toc482352156"/>
      <w:bookmarkStart w:id="598" w:name="_Toc482352246"/>
      <w:bookmarkStart w:id="599" w:name="_Toc482633086"/>
      <w:bookmarkStart w:id="600" w:name="_Toc482641263"/>
      <w:bookmarkStart w:id="601" w:name="_Toc482712709"/>
      <w:bookmarkStart w:id="602" w:name="_Toc482959479"/>
      <w:bookmarkStart w:id="603" w:name="_Toc482959589"/>
      <w:bookmarkStart w:id="604" w:name="_Toc482959699"/>
      <w:bookmarkStart w:id="605" w:name="_Toc482978818"/>
      <w:bookmarkStart w:id="606" w:name="_Toc482978927"/>
      <w:bookmarkStart w:id="607" w:name="_Toc482979035"/>
      <w:bookmarkStart w:id="608" w:name="_Toc482979146"/>
      <w:bookmarkStart w:id="609" w:name="_Toc482979255"/>
      <w:bookmarkStart w:id="610" w:name="_Toc482979364"/>
      <w:bookmarkStart w:id="611" w:name="_Toc482979472"/>
      <w:bookmarkStart w:id="612" w:name="_Toc482979581"/>
      <w:bookmarkStart w:id="613" w:name="_Toc482979679"/>
      <w:bookmarkStart w:id="614" w:name="_Toc483233640"/>
      <w:bookmarkStart w:id="615" w:name="_Toc483302340"/>
      <w:bookmarkStart w:id="616" w:name="_Toc483315890"/>
      <w:bookmarkStart w:id="617" w:name="_Toc483316095"/>
      <w:bookmarkStart w:id="618" w:name="_Toc483316298"/>
      <w:bookmarkStart w:id="619" w:name="_Toc483316429"/>
      <w:bookmarkStart w:id="620" w:name="_Toc483325732"/>
      <w:bookmarkStart w:id="621" w:name="_Toc483401211"/>
      <w:bookmarkStart w:id="622" w:name="_Toc483474008"/>
      <w:bookmarkStart w:id="623" w:name="_Toc483571437"/>
      <w:bookmarkStart w:id="624" w:name="_Toc483571558"/>
      <w:bookmarkStart w:id="625" w:name="_Toc483906935"/>
      <w:bookmarkStart w:id="626" w:name="_Toc484010685"/>
      <w:bookmarkStart w:id="627" w:name="_Toc484010807"/>
      <w:bookmarkStart w:id="628" w:name="_Toc484010931"/>
      <w:bookmarkStart w:id="629" w:name="_Toc484011053"/>
      <w:bookmarkStart w:id="630" w:name="_Toc484011175"/>
      <w:bookmarkStart w:id="631" w:name="_Toc484011650"/>
      <w:bookmarkStart w:id="632" w:name="_Toc484097724"/>
      <w:bookmarkStart w:id="633" w:name="_Toc484428896"/>
      <w:bookmarkStart w:id="634" w:name="_Toc484429066"/>
      <w:bookmarkStart w:id="635" w:name="_Toc484438641"/>
      <w:bookmarkStart w:id="636" w:name="_Toc484438765"/>
      <w:bookmarkStart w:id="637" w:name="_Toc484438889"/>
      <w:bookmarkStart w:id="638" w:name="_Toc484439809"/>
      <w:bookmarkStart w:id="639" w:name="_Toc484439932"/>
      <w:bookmarkStart w:id="640" w:name="_Toc484440056"/>
      <w:bookmarkStart w:id="641" w:name="_Toc484440416"/>
      <w:bookmarkStart w:id="642" w:name="_Toc484448075"/>
      <w:bookmarkStart w:id="643" w:name="_Toc484448200"/>
      <w:bookmarkStart w:id="644" w:name="_Toc484448324"/>
      <w:bookmarkStart w:id="645" w:name="_Toc484448448"/>
      <w:bookmarkStart w:id="646" w:name="_Toc484448572"/>
      <w:bookmarkStart w:id="647" w:name="_Toc484448696"/>
      <w:bookmarkStart w:id="648" w:name="_Toc484448819"/>
      <w:bookmarkStart w:id="649" w:name="_Toc484448943"/>
      <w:bookmarkStart w:id="650" w:name="_Toc484449067"/>
      <w:bookmarkStart w:id="651" w:name="_Toc484526562"/>
      <w:bookmarkStart w:id="652" w:name="_Toc484605282"/>
      <w:bookmarkStart w:id="653" w:name="_Toc484605406"/>
      <w:bookmarkStart w:id="654" w:name="_Toc484688275"/>
      <w:bookmarkStart w:id="655" w:name="_Toc484688830"/>
      <w:bookmarkStart w:id="656" w:name="_Toc485218266"/>
      <w:bookmarkStart w:id="657" w:name="_Toc482025718"/>
      <w:bookmarkStart w:id="658" w:name="_Toc482097541"/>
      <w:bookmarkStart w:id="659" w:name="_Toc482097630"/>
      <w:bookmarkStart w:id="660" w:name="_Toc482097719"/>
      <w:bookmarkStart w:id="661" w:name="_Toc482097911"/>
      <w:bookmarkStart w:id="662" w:name="_Toc482099009"/>
      <w:bookmarkStart w:id="663" w:name="_Toc482100726"/>
      <w:bookmarkStart w:id="664" w:name="_Toc482100883"/>
      <w:bookmarkStart w:id="665" w:name="_Toc482101309"/>
      <w:bookmarkStart w:id="666" w:name="_Toc482101446"/>
      <w:bookmarkStart w:id="667" w:name="_Toc482101561"/>
      <w:bookmarkStart w:id="668" w:name="_Toc482101736"/>
      <w:bookmarkStart w:id="669" w:name="_Toc482101829"/>
      <w:bookmarkStart w:id="670" w:name="_Toc482101924"/>
      <w:bookmarkStart w:id="671" w:name="_Toc482102019"/>
      <w:bookmarkStart w:id="672" w:name="_Toc482102113"/>
      <w:bookmarkStart w:id="673" w:name="_Toc482351977"/>
      <w:bookmarkStart w:id="674" w:name="_Toc482352067"/>
      <w:bookmarkStart w:id="675" w:name="_Toc482352157"/>
      <w:bookmarkStart w:id="676" w:name="_Toc482352247"/>
      <w:bookmarkStart w:id="677" w:name="_Toc482633087"/>
      <w:bookmarkStart w:id="678" w:name="_Toc482641264"/>
      <w:bookmarkStart w:id="679" w:name="_Toc482712710"/>
      <w:bookmarkStart w:id="680" w:name="_Toc482959480"/>
      <w:bookmarkStart w:id="681" w:name="_Toc482959590"/>
      <w:bookmarkStart w:id="682" w:name="_Toc482959700"/>
      <w:bookmarkStart w:id="683" w:name="_Toc482978819"/>
      <w:bookmarkStart w:id="684" w:name="_Toc482978928"/>
      <w:bookmarkStart w:id="685" w:name="_Toc482979036"/>
      <w:bookmarkStart w:id="686" w:name="_Toc482979147"/>
      <w:bookmarkStart w:id="687" w:name="_Toc482979256"/>
      <w:bookmarkStart w:id="688" w:name="_Toc482979365"/>
      <w:bookmarkStart w:id="689" w:name="_Toc482979473"/>
      <w:bookmarkStart w:id="690" w:name="_Toc482979582"/>
      <w:bookmarkStart w:id="691" w:name="_Toc482979680"/>
      <w:bookmarkStart w:id="692" w:name="_Toc483233641"/>
      <w:bookmarkStart w:id="693" w:name="_Toc483302341"/>
      <w:bookmarkStart w:id="694" w:name="_Toc483315891"/>
      <w:bookmarkStart w:id="695" w:name="_Toc483316096"/>
      <w:bookmarkStart w:id="696" w:name="_Toc483316299"/>
      <w:bookmarkStart w:id="697" w:name="_Toc483316430"/>
      <w:bookmarkStart w:id="698" w:name="_Toc483325733"/>
      <w:bookmarkStart w:id="699" w:name="_Toc483401212"/>
      <w:bookmarkStart w:id="700" w:name="_Toc483474009"/>
      <w:bookmarkStart w:id="701" w:name="_Toc483571438"/>
      <w:bookmarkStart w:id="702" w:name="_Toc483571559"/>
      <w:bookmarkStart w:id="703" w:name="_Toc483906936"/>
      <w:bookmarkStart w:id="704" w:name="_Toc484010686"/>
      <w:bookmarkStart w:id="705" w:name="_Toc484010808"/>
      <w:bookmarkStart w:id="706" w:name="_Toc484010932"/>
      <w:bookmarkStart w:id="707" w:name="_Toc484011054"/>
      <w:bookmarkStart w:id="708" w:name="_Toc484011176"/>
      <w:bookmarkStart w:id="709" w:name="_Toc484011651"/>
      <w:bookmarkStart w:id="710" w:name="_Toc484097725"/>
      <w:bookmarkStart w:id="711" w:name="_Toc484428897"/>
      <w:bookmarkStart w:id="712" w:name="_Toc484429067"/>
      <w:bookmarkStart w:id="713" w:name="_Toc484438642"/>
      <w:bookmarkStart w:id="714" w:name="_Toc484438766"/>
      <w:bookmarkStart w:id="715" w:name="_Toc484438890"/>
      <w:bookmarkStart w:id="716" w:name="_Toc484439810"/>
      <w:bookmarkStart w:id="717" w:name="_Toc484439933"/>
      <w:bookmarkStart w:id="718" w:name="_Toc484440057"/>
      <w:bookmarkStart w:id="719" w:name="_Toc484440417"/>
      <w:bookmarkStart w:id="720" w:name="_Toc484448076"/>
      <w:bookmarkStart w:id="721" w:name="_Toc484448201"/>
      <w:bookmarkStart w:id="722" w:name="_Toc484448325"/>
      <w:bookmarkStart w:id="723" w:name="_Toc484448449"/>
      <w:bookmarkStart w:id="724" w:name="_Toc484448573"/>
      <w:bookmarkStart w:id="725" w:name="_Toc484448697"/>
      <w:bookmarkStart w:id="726" w:name="_Toc484448820"/>
      <w:bookmarkStart w:id="727" w:name="_Toc484448944"/>
      <w:bookmarkStart w:id="728" w:name="_Toc484449068"/>
      <w:bookmarkStart w:id="729" w:name="_Toc484526563"/>
      <w:bookmarkStart w:id="730" w:name="_Toc484605283"/>
      <w:bookmarkStart w:id="731" w:name="_Toc484605407"/>
      <w:bookmarkStart w:id="732" w:name="_Toc484688276"/>
      <w:bookmarkStart w:id="733" w:name="_Toc484688831"/>
      <w:bookmarkStart w:id="734" w:name="_Toc485218267"/>
      <w:bookmarkStart w:id="735" w:name="_Toc482025719"/>
      <w:bookmarkStart w:id="736" w:name="_Toc482097542"/>
      <w:bookmarkStart w:id="737" w:name="_Toc482097631"/>
      <w:bookmarkStart w:id="738" w:name="_Toc482097720"/>
      <w:bookmarkStart w:id="739" w:name="_Toc482097912"/>
      <w:bookmarkStart w:id="740" w:name="_Toc482099010"/>
      <w:bookmarkStart w:id="741" w:name="_Toc482100727"/>
      <w:bookmarkStart w:id="742" w:name="_Toc482100884"/>
      <w:bookmarkStart w:id="743" w:name="_Toc482101310"/>
      <w:bookmarkStart w:id="744" w:name="_Toc482101447"/>
      <w:bookmarkStart w:id="745" w:name="_Toc482101562"/>
      <w:bookmarkStart w:id="746" w:name="_Toc482101737"/>
      <w:bookmarkStart w:id="747" w:name="_Toc482101830"/>
      <w:bookmarkStart w:id="748" w:name="_Toc482101925"/>
      <w:bookmarkStart w:id="749" w:name="_Toc482102020"/>
      <w:bookmarkStart w:id="750" w:name="_Toc482102114"/>
      <w:bookmarkStart w:id="751" w:name="_Toc482351978"/>
      <w:bookmarkStart w:id="752" w:name="_Toc482352068"/>
      <w:bookmarkStart w:id="753" w:name="_Toc482352158"/>
      <w:bookmarkStart w:id="754" w:name="_Toc482352248"/>
      <w:bookmarkStart w:id="755" w:name="_Toc482633088"/>
      <w:bookmarkStart w:id="756" w:name="_Toc482641265"/>
      <w:bookmarkStart w:id="757" w:name="_Toc482712711"/>
      <w:bookmarkStart w:id="758" w:name="_Toc482959481"/>
      <w:bookmarkStart w:id="759" w:name="_Toc482959591"/>
      <w:bookmarkStart w:id="760" w:name="_Toc482959701"/>
      <w:bookmarkStart w:id="761" w:name="_Toc482978820"/>
      <w:bookmarkStart w:id="762" w:name="_Toc482978929"/>
      <w:bookmarkStart w:id="763" w:name="_Toc482979037"/>
      <w:bookmarkStart w:id="764" w:name="_Toc482979148"/>
      <w:bookmarkStart w:id="765" w:name="_Toc482979257"/>
      <w:bookmarkStart w:id="766" w:name="_Toc482979366"/>
      <w:bookmarkStart w:id="767" w:name="_Toc482979474"/>
      <w:bookmarkStart w:id="768" w:name="_Toc482979583"/>
      <w:bookmarkStart w:id="769" w:name="_Toc482979681"/>
      <w:bookmarkStart w:id="770" w:name="_Toc483233642"/>
      <w:bookmarkStart w:id="771" w:name="_Toc483302342"/>
      <w:bookmarkStart w:id="772" w:name="_Toc483315892"/>
      <w:bookmarkStart w:id="773" w:name="_Toc483316097"/>
      <w:bookmarkStart w:id="774" w:name="_Toc483316300"/>
      <w:bookmarkStart w:id="775" w:name="_Toc483316431"/>
      <w:bookmarkStart w:id="776" w:name="_Toc483325734"/>
      <w:bookmarkStart w:id="777" w:name="_Toc483401213"/>
      <w:bookmarkStart w:id="778" w:name="_Toc483474010"/>
      <w:bookmarkStart w:id="779" w:name="_Toc483571439"/>
      <w:bookmarkStart w:id="780" w:name="_Toc483571560"/>
      <w:bookmarkStart w:id="781" w:name="_Toc483906937"/>
      <w:bookmarkStart w:id="782" w:name="_Toc484010687"/>
      <w:bookmarkStart w:id="783" w:name="_Toc484010809"/>
      <w:bookmarkStart w:id="784" w:name="_Toc484010933"/>
      <w:bookmarkStart w:id="785" w:name="_Toc484011055"/>
      <w:bookmarkStart w:id="786" w:name="_Toc484011177"/>
      <w:bookmarkStart w:id="787" w:name="_Toc484011652"/>
      <w:bookmarkStart w:id="788" w:name="_Toc484097726"/>
      <w:bookmarkStart w:id="789" w:name="_Toc484428898"/>
      <w:bookmarkStart w:id="790" w:name="_Toc484429068"/>
      <w:bookmarkStart w:id="791" w:name="_Toc484438643"/>
      <w:bookmarkStart w:id="792" w:name="_Toc484438767"/>
      <w:bookmarkStart w:id="793" w:name="_Toc484438891"/>
      <w:bookmarkStart w:id="794" w:name="_Toc484439811"/>
      <w:bookmarkStart w:id="795" w:name="_Toc484439934"/>
      <w:bookmarkStart w:id="796" w:name="_Toc484440058"/>
      <w:bookmarkStart w:id="797" w:name="_Toc484440418"/>
      <w:bookmarkStart w:id="798" w:name="_Toc484448077"/>
      <w:bookmarkStart w:id="799" w:name="_Toc484448202"/>
      <w:bookmarkStart w:id="800" w:name="_Toc484448326"/>
      <w:bookmarkStart w:id="801" w:name="_Toc484448450"/>
      <w:bookmarkStart w:id="802" w:name="_Toc484448574"/>
      <w:bookmarkStart w:id="803" w:name="_Toc484448698"/>
      <w:bookmarkStart w:id="804" w:name="_Toc484448821"/>
      <w:bookmarkStart w:id="805" w:name="_Toc484448945"/>
      <w:bookmarkStart w:id="806" w:name="_Toc484449069"/>
      <w:bookmarkStart w:id="807" w:name="_Toc484526564"/>
      <w:bookmarkStart w:id="808" w:name="_Toc484605284"/>
      <w:bookmarkStart w:id="809" w:name="_Toc484605408"/>
      <w:bookmarkStart w:id="810" w:name="_Toc484688277"/>
      <w:bookmarkStart w:id="811" w:name="_Toc484688832"/>
      <w:bookmarkStart w:id="812" w:name="_Toc485218268"/>
      <w:bookmarkStart w:id="813" w:name="_Toc482025720"/>
      <w:bookmarkStart w:id="814" w:name="_Toc482097543"/>
      <w:bookmarkStart w:id="815" w:name="_Toc482097632"/>
      <w:bookmarkStart w:id="816" w:name="_Toc482097721"/>
      <w:bookmarkStart w:id="817" w:name="_Toc482097913"/>
      <w:bookmarkStart w:id="818" w:name="_Toc482099011"/>
      <w:bookmarkStart w:id="819" w:name="_Toc482100728"/>
      <w:bookmarkStart w:id="820" w:name="_Toc482100885"/>
      <w:bookmarkStart w:id="821" w:name="_Toc482101311"/>
      <w:bookmarkStart w:id="822" w:name="_Toc482101448"/>
      <w:bookmarkStart w:id="823" w:name="_Toc482101563"/>
      <w:bookmarkStart w:id="824" w:name="_Toc482101738"/>
      <w:bookmarkStart w:id="825" w:name="_Toc482101831"/>
      <w:bookmarkStart w:id="826" w:name="_Toc482101926"/>
      <w:bookmarkStart w:id="827" w:name="_Toc482102021"/>
      <w:bookmarkStart w:id="828" w:name="_Toc482102115"/>
      <w:bookmarkStart w:id="829" w:name="_Toc482351979"/>
      <w:bookmarkStart w:id="830" w:name="_Toc482352069"/>
      <w:bookmarkStart w:id="831" w:name="_Toc482352159"/>
      <w:bookmarkStart w:id="832" w:name="_Toc482352249"/>
      <w:bookmarkStart w:id="833" w:name="_Toc482633089"/>
      <w:bookmarkStart w:id="834" w:name="_Toc482641266"/>
      <w:bookmarkStart w:id="835" w:name="_Toc482712712"/>
      <w:bookmarkStart w:id="836" w:name="_Toc482959482"/>
      <w:bookmarkStart w:id="837" w:name="_Toc482959592"/>
      <w:bookmarkStart w:id="838" w:name="_Toc482959702"/>
      <w:bookmarkStart w:id="839" w:name="_Toc482978821"/>
      <w:bookmarkStart w:id="840" w:name="_Toc482978930"/>
      <w:bookmarkStart w:id="841" w:name="_Toc482979038"/>
      <w:bookmarkStart w:id="842" w:name="_Toc482979149"/>
      <w:bookmarkStart w:id="843" w:name="_Toc482979258"/>
      <w:bookmarkStart w:id="844" w:name="_Toc482979367"/>
      <w:bookmarkStart w:id="845" w:name="_Toc482979475"/>
      <w:bookmarkStart w:id="846" w:name="_Toc482979584"/>
      <w:bookmarkStart w:id="847" w:name="_Toc482979682"/>
      <w:bookmarkStart w:id="848" w:name="_Toc483233643"/>
      <w:bookmarkStart w:id="849" w:name="_Toc483302343"/>
      <w:bookmarkStart w:id="850" w:name="_Toc483315893"/>
      <w:bookmarkStart w:id="851" w:name="_Toc483316098"/>
      <w:bookmarkStart w:id="852" w:name="_Toc483316301"/>
      <w:bookmarkStart w:id="853" w:name="_Toc483316432"/>
      <w:bookmarkStart w:id="854" w:name="_Toc483325735"/>
      <w:bookmarkStart w:id="855" w:name="_Toc483401214"/>
      <w:bookmarkStart w:id="856" w:name="_Toc483474011"/>
      <w:bookmarkStart w:id="857" w:name="_Toc483571440"/>
      <w:bookmarkStart w:id="858" w:name="_Toc483571561"/>
      <w:bookmarkStart w:id="859" w:name="_Toc483906938"/>
      <w:bookmarkStart w:id="860" w:name="_Toc484010688"/>
      <w:bookmarkStart w:id="861" w:name="_Toc484010810"/>
      <w:bookmarkStart w:id="862" w:name="_Toc484010934"/>
      <w:bookmarkStart w:id="863" w:name="_Toc484011056"/>
      <w:bookmarkStart w:id="864" w:name="_Toc484011178"/>
      <w:bookmarkStart w:id="865" w:name="_Toc484011653"/>
      <w:bookmarkStart w:id="866" w:name="_Toc484097727"/>
      <w:bookmarkStart w:id="867" w:name="_Toc484428899"/>
      <w:bookmarkStart w:id="868" w:name="_Toc484429069"/>
      <w:bookmarkStart w:id="869" w:name="_Toc484438644"/>
      <w:bookmarkStart w:id="870" w:name="_Toc484438768"/>
      <w:bookmarkStart w:id="871" w:name="_Toc484438892"/>
      <w:bookmarkStart w:id="872" w:name="_Toc484439812"/>
      <w:bookmarkStart w:id="873" w:name="_Toc484439935"/>
      <w:bookmarkStart w:id="874" w:name="_Toc484440059"/>
      <w:bookmarkStart w:id="875" w:name="_Toc484440419"/>
      <w:bookmarkStart w:id="876" w:name="_Toc484448078"/>
      <w:bookmarkStart w:id="877" w:name="_Toc484448203"/>
      <w:bookmarkStart w:id="878" w:name="_Toc484448327"/>
      <w:bookmarkStart w:id="879" w:name="_Toc484448451"/>
      <w:bookmarkStart w:id="880" w:name="_Toc484448575"/>
      <w:bookmarkStart w:id="881" w:name="_Toc484448699"/>
      <w:bookmarkStart w:id="882" w:name="_Toc484448822"/>
      <w:bookmarkStart w:id="883" w:name="_Toc484448946"/>
      <w:bookmarkStart w:id="884" w:name="_Toc484449070"/>
      <w:bookmarkStart w:id="885" w:name="_Toc484526565"/>
      <w:bookmarkStart w:id="886" w:name="_Toc484605285"/>
      <w:bookmarkStart w:id="887" w:name="_Toc484605409"/>
      <w:bookmarkStart w:id="888" w:name="_Toc484688278"/>
      <w:bookmarkStart w:id="889" w:name="_Toc484688833"/>
      <w:bookmarkStart w:id="890" w:name="_Toc485218269"/>
      <w:bookmarkStart w:id="891" w:name="_Toc482025721"/>
      <w:bookmarkStart w:id="892" w:name="_Toc482097544"/>
      <w:bookmarkStart w:id="893" w:name="_Toc482097633"/>
      <w:bookmarkStart w:id="894" w:name="_Toc482097722"/>
      <w:bookmarkStart w:id="895" w:name="_Toc482097914"/>
      <w:bookmarkStart w:id="896" w:name="_Toc482099012"/>
      <w:bookmarkStart w:id="897" w:name="_Toc482100729"/>
      <w:bookmarkStart w:id="898" w:name="_Toc482100886"/>
      <w:bookmarkStart w:id="899" w:name="_Toc482101312"/>
      <w:bookmarkStart w:id="900" w:name="_Toc482101449"/>
      <w:bookmarkStart w:id="901" w:name="_Toc482101564"/>
      <w:bookmarkStart w:id="902" w:name="_Toc482101739"/>
      <w:bookmarkStart w:id="903" w:name="_Toc482101832"/>
      <w:bookmarkStart w:id="904" w:name="_Toc482101927"/>
      <w:bookmarkStart w:id="905" w:name="_Toc482102022"/>
      <w:bookmarkStart w:id="906" w:name="_Toc482102116"/>
      <w:bookmarkStart w:id="907" w:name="_Toc482351980"/>
      <w:bookmarkStart w:id="908" w:name="_Toc482352070"/>
      <w:bookmarkStart w:id="909" w:name="_Toc482352160"/>
      <w:bookmarkStart w:id="910" w:name="_Toc482352250"/>
      <w:bookmarkStart w:id="911" w:name="_Toc482633090"/>
      <w:bookmarkStart w:id="912" w:name="_Toc482641267"/>
      <w:bookmarkStart w:id="913" w:name="_Toc482712713"/>
      <w:bookmarkStart w:id="914" w:name="_Toc482959483"/>
      <w:bookmarkStart w:id="915" w:name="_Toc482959593"/>
      <w:bookmarkStart w:id="916" w:name="_Toc482959703"/>
      <w:bookmarkStart w:id="917" w:name="_Toc482978822"/>
      <w:bookmarkStart w:id="918" w:name="_Toc482978931"/>
      <w:bookmarkStart w:id="919" w:name="_Toc482979039"/>
      <w:bookmarkStart w:id="920" w:name="_Toc482979150"/>
      <w:bookmarkStart w:id="921" w:name="_Toc482979259"/>
      <w:bookmarkStart w:id="922" w:name="_Toc482979368"/>
      <w:bookmarkStart w:id="923" w:name="_Toc482979476"/>
      <w:bookmarkStart w:id="924" w:name="_Toc482979585"/>
      <w:bookmarkStart w:id="925" w:name="_Toc482979683"/>
      <w:bookmarkStart w:id="926" w:name="_Toc483233644"/>
      <w:bookmarkStart w:id="927" w:name="_Toc483302344"/>
      <w:bookmarkStart w:id="928" w:name="_Toc483315894"/>
      <w:bookmarkStart w:id="929" w:name="_Toc483316099"/>
      <w:bookmarkStart w:id="930" w:name="_Toc483316302"/>
      <w:bookmarkStart w:id="931" w:name="_Toc483316433"/>
      <w:bookmarkStart w:id="932" w:name="_Toc483325736"/>
      <w:bookmarkStart w:id="933" w:name="_Toc483401215"/>
      <w:bookmarkStart w:id="934" w:name="_Toc483474012"/>
      <w:bookmarkStart w:id="935" w:name="_Toc483571441"/>
      <w:bookmarkStart w:id="936" w:name="_Toc483571562"/>
      <w:bookmarkStart w:id="937" w:name="_Toc483906939"/>
      <w:bookmarkStart w:id="938" w:name="_Toc484010689"/>
      <w:bookmarkStart w:id="939" w:name="_Toc484010811"/>
      <w:bookmarkStart w:id="940" w:name="_Toc484010935"/>
      <w:bookmarkStart w:id="941" w:name="_Toc484011057"/>
      <w:bookmarkStart w:id="942" w:name="_Toc484011179"/>
      <w:bookmarkStart w:id="943" w:name="_Toc484011654"/>
      <w:bookmarkStart w:id="944" w:name="_Toc484097728"/>
      <w:bookmarkStart w:id="945" w:name="_Toc484428900"/>
      <w:bookmarkStart w:id="946" w:name="_Toc484429070"/>
      <w:bookmarkStart w:id="947" w:name="_Toc484438645"/>
      <w:bookmarkStart w:id="948" w:name="_Toc484438769"/>
      <w:bookmarkStart w:id="949" w:name="_Toc484438893"/>
      <w:bookmarkStart w:id="950" w:name="_Toc484439813"/>
      <w:bookmarkStart w:id="951" w:name="_Toc484439936"/>
      <w:bookmarkStart w:id="952" w:name="_Toc484440060"/>
      <w:bookmarkStart w:id="953" w:name="_Toc484440420"/>
      <w:bookmarkStart w:id="954" w:name="_Toc484448079"/>
      <w:bookmarkStart w:id="955" w:name="_Toc484448204"/>
      <w:bookmarkStart w:id="956" w:name="_Toc484448328"/>
      <w:bookmarkStart w:id="957" w:name="_Toc484448452"/>
      <w:bookmarkStart w:id="958" w:name="_Toc484448576"/>
      <w:bookmarkStart w:id="959" w:name="_Toc484448700"/>
      <w:bookmarkStart w:id="960" w:name="_Toc484448823"/>
      <w:bookmarkStart w:id="961" w:name="_Toc484448947"/>
      <w:bookmarkStart w:id="962" w:name="_Toc484449071"/>
      <w:bookmarkStart w:id="963" w:name="_Toc484526566"/>
      <w:bookmarkStart w:id="964" w:name="_Toc484605286"/>
      <w:bookmarkStart w:id="965" w:name="_Toc484605410"/>
      <w:bookmarkStart w:id="966" w:name="_Toc484688279"/>
      <w:bookmarkStart w:id="967" w:name="_Toc484688834"/>
      <w:bookmarkStart w:id="968" w:name="_Toc485218270"/>
      <w:bookmarkStart w:id="969" w:name="_Toc482025722"/>
      <w:bookmarkStart w:id="970" w:name="_Toc482097545"/>
      <w:bookmarkStart w:id="971" w:name="_Toc482097634"/>
      <w:bookmarkStart w:id="972" w:name="_Toc482097723"/>
      <w:bookmarkStart w:id="973" w:name="_Toc482097915"/>
      <w:bookmarkStart w:id="974" w:name="_Toc482099013"/>
      <w:bookmarkStart w:id="975" w:name="_Toc482100730"/>
      <w:bookmarkStart w:id="976" w:name="_Toc482100887"/>
      <w:bookmarkStart w:id="977" w:name="_Toc482101313"/>
      <w:bookmarkStart w:id="978" w:name="_Toc482101450"/>
      <w:bookmarkStart w:id="979" w:name="_Toc482101565"/>
      <w:bookmarkStart w:id="980" w:name="_Toc482101740"/>
      <w:bookmarkStart w:id="981" w:name="_Toc482101833"/>
      <w:bookmarkStart w:id="982" w:name="_Toc482101928"/>
      <w:bookmarkStart w:id="983" w:name="_Toc482102023"/>
      <w:bookmarkStart w:id="984" w:name="_Toc482102117"/>
      <w:bookmarkStart w:id="985" w:name="_Toc482351981"/>
      <w:bookmarkStart w:id="986" w:name="_Toc482352071"/>
      <w:bookmarkStart w:id="987" w:name="_Toc482352161"/>
      <w:bookmarkStart w:id="988" w:name="_Toc482352251"/>
      <w:bookmarkStart w:id="989" w:name="_Toc482633091"/>
      <w:bookmarkStart w:id="990" w:name="_Toc482641268"/>
      <w:bookmarkStart w:id="991" w:name="_Toc482712714"/>
      <w:bookmarkStart w:id="992" w:name="_Toc482959484"/>
      <w:bookmarkStart w:id="993" w:name="_Toc482959594"/>
      <w:bookmarkStart w:id="994" w:name="_Toc482959704"/>
      <w:bookmarkStart w:id="995" w:name="_Toc482978823"/>
      <w:bookmarkStart w:id="996" w:name="_Toc482978932"/>
      <w:bookmarkStart w:id="997" w:name="_Toc482979040"/>
      <w:bookmarkStart w:id="998" w:name="_Toc482979151"/>
      <w:bookmarkStart w:id="999" w:name="_Toc482979260"/>
      <w:bookmarkStart w:id="1000" w:name="_Toc482979369"/>
      <w:bookmarkStart w:id="1001" w:name="_Toc482979477"/>
      <w:bookmarkStart w:id="1002" w:name="_Toc482979586"/>
      <w:bookmarkStart w:id="1003" w:name="_Toc482979684"/>
      <w:bookmarkStart w:id="1004" w:name="_Toc483233645"/>
      <w:bookmarkStart w:id="1005" w:name="_Toc483302345"/>
      <w:bookmarkStart w:id="1006" w:name="_Toc483315895"/>
      <w:bookmarkStart w:id="1007" w:name="_Toc483316100"/>
      <w:bookmarkStart w:id="1008" w:name="_Toc483316303"/>
      <w:bookmarkStart w:id="1009" w:name="_Toc483316434"/>
      <w:bookmarkStart w:id="1010" w:name="_Toc483325737"/>
      <w:bookmarkStart w:id="1011" w:name="_Toc483401216"/>
      <w:bookmarkStart w:id="1012" w:name="_Toc483474013"/>
      <w:bookmarkStart w:id="1013" w:name="_Toc483571442"/>
      <w:bookmarkStart w:id="1014" w:name="_Toc483571563"/>
      <w:bookmarkStart w:id="1015" w:name="_Toc483906940"/>
      <w:bookmarkStart w:id="1016" w:name="_Toc484010690"/>
      <w:bookmarkStart w:id="1017" w:name="_Toc484010812"/>
      <w:bookmarkStart w:id="1018" w:name="_Toc484010936"/>
      <w:bookmarkStart w:id="1019" w:name="_Toc484011058"/>
      <w:bookmarkStart w:id="1020" w:name="_Toc484011180"/>
      <w:bookmarkStart w:id="1021" w:name="_Toc484011655"/>
      <w:bookmarkStart w:id="1022" w:name="_Toc484097729"/>
      <w:bookmarkStart w:id="1023" w:name="_Toc484428901"/>
      <w:bookmarkStart w:id="1024" w:name="_Toc484429071"/>
      <w:bookmarkStart w:id="1025" w:name="_Toc484438646"/>
      <w:bookmarkStart w:id="1026" w:name="_Toc484438770"/>
      <w:bookmarkStart w:id="1027" w:name="_Toc484438894"/>
      <w:bookmarkStart w:id="1028" w:name="_Toc484439814"/>
      <w:bookmarkStart w:id="1029" w:name="_Toc484439937"/>
      <w:bookmarkStart w:id="1030" w:name="_Toc484440061"/>
      <w:bookmarkStart w:id="1031" w:name="_Toc484440421"/>
      <w:bookmarkStart w:id="1032" w:name="_Toc484448080"/>
      <w:bookmarkStart w:id="1033" w:name="_Toc484448205"/>
      <w:bookmarkStart w:id="1034" w:name="_Toc484448329"/>
      <w:bookmarkStart w:id="1035" w:name="_Toc484448453"/>
      <w:bookmarkStart w:id="1036" w:name="_Toc484448577"/>
      <w:bookmarkStart w:id="1037" w:name="_Toc484448701"/>
      <w:bookmarkStart w:id="1038" w:name="_Toc484448824"/>
      <w:bookmarkStart w:id="1039" w:name="_Toc484448948"/>
      <w:bookmarkStart w:id="1040" w:name="_Toc484449072"/>
      <w:bookmarkStart w:id="1041" w:name="_Toc484526567"/>
      <w:bookmarkStart w:id="1042" w:name="_Toc484605287"/>
      <w:bookmarkStart w:id="1043" w:name="_Toc484605411"/>
      <w:bookmarkStart w:id="1044" w:name="_Toc484688280"/>
      <w:bookmarkStart w:id="1045" w:name="_Toc484688835"/>
      <w:bookmarkStart w:id="1046" w:name="_Toc485218271"/>
      <w:bookmarkStart w:id="1047" w:name="_Toc482025723"/>
      <w:bookmarkStart w:id="1048" w:name="_Toc482097546"/>
      <w:bookmarkStart w:id="1049" w:name="_Toc482097635"/>
      <w:bookmarkStart w:id="1050" w:name="_Toc482097724"/>
      <w:bookmarkStart w:id="1051" w:name="_Toc482097916"/>
      <w:bookmarkStart w:id="1052" w:name="_Toc482099014"/>
      <w:bookmarkStart w:id="1053" w:name="_Toc482100731"/>
      <w:bookmarkStart w:id="1054" w:name="_Toc482100888"/>
      <w:bookmarkStart w:id="1055" w:name="_Toc482101314"/>
      <w:bookmarkStart w:id="1056" w:name="_Toc482101451"/>
      <w:bookmarkStart w:id="1057" w:name="_Toc482101566"/>
      <w:bookmarkStart w:id="1058" w:name="_Toc482101741"/>
      <w:bookmarkStart w:id="1059" w:name="_Toc482101834"/>
      <w:bookmarkStart w:id="1060" w:name="_Toc482101929"/>
      <w:bookmarkStart w:id="1061" w:name="_Toc482102024"/>
      <w:bookmarkStart w:id="1062" w:name="_Toc482102118"/>
      <w:bookmarkStart w:id="1063" w:name="_Toc482351982"/>
      <w:bookmarkStart w:id="1064" w:name="_Toc482352072"/>
      <w:bookmarkStart w:id="1065" w:name="_Toc482352162"/>
      <w:bookmarkStart w:id="1066" w:name="_Toc482352252"/>
      <w:bookmarkStart w:id="1067" w:name="_Toc482633092"/>
      <w:bookmarkStart w:id="1068" w:name="_Toc482641269"/>
      <w:bookmarkStart w:id="1069" w:name="_Toc482712715"/>
      <w:bookmarkStart w:id="1070" w:name="_Toc482959485"/>
      <w:bookmarkStart w:id="1071" w:name="_Toc482959595"/>
      <w:bookmarkStart w:id="1072" w:name="_Toc482959705"/>
      <w:bookmarkStart w:id="1073" w:name="_Toc482978824"/>
      <w:bookmarkStart w:id="1074" w:name="_Toc482978933"/>
      <w:bookmarkStart w:id="1075" w:name="_Toc482979041"/>
      <w:bookmarkStart w:id="1076" w:name="_Toc482979152"/>
      <w:bookmarkStart w:id="1077" w:name="_Toc482979261"/>
      <w:bookmarkStart w:id="1078" w:name="_Toc482979370"/>
      <w:bookmarkStart w:id="1079" w:name="_Toc482979478"/>
      <w:bookmarkStart w:id="1080" w:name="_Toc482979587"/>
      <w:bookmarkStart w:id="1081" w:name="_Toc482979685"/>
      <w:bookmarkStart w:id="1082" w:name="_Toc483233646"/>
      <w:bookmarkStart w:id="1083" w:name="_Toc483302346"/>
      <w:bookmarkStart w:id="1084" w:name="_Toc483315896"/>
      <w:bookmarkStart w:id="1085" w:name="_Toc483316101"/>
      <w:bookmarkStart w:id="1086" w:name="_Toc483316304"/>
      <w:bookmarkStart w:id="1087" w:name="_Toc483316435"/>
      <w:bookmarkStart w:id="1088" w:name="_Toc483325738"/>
      <w:bookmarkStart w:id="1089" w:name="_Toc483401217"/>
      <w:bookmarkStart w:id="1090" w:name="_Toc483474014"/>
      <w:bookmarkStart w:id="1091" w:name="_Toc483571443"/>
      <w:bookmarkStart w:id="1092" w:name="_Toc483571564"/>
      <w:bookmarkStart w:id="1093" w:name="_Toc483906941"/>
      <w:bookmarkStart w:id="1094" w:name="_Toc484010691"/>
      <w:bookmarkStart w:id="1095" w:name="_Toc484010813"/>
      <w:bookmarkStart w:id="1096" w:name="_Toc484010937"/>
      <w:bookmarkStart w:id="1097" w:name="_Toc484011059"/>
      <w:bookmarkStart w:id="1098" w:name="_Toc484011181"/>
      <w:bookmarkStart w:id="1099" w:name="_Toc484011656"/>
      <w:bookmarkStart w:id="1100" w:name="_Toc484097730"/>
      <w:bookmarkStart w:id="1101" w:name="_Toc484428902"/>
      <w:bookmarkStart w:id="1102" w:name="_Toc484429072"/>
      <w:bookmarkStart w:id="1103" w:name="_Toc484438647"/>
      <w:bookmarkStart w:id="1104" w:name="_Toc484438771"/>
      <w:bookmarkStart w:id="1105" w:name="_Toc484438895"/>
      <w:bookmarkStart w:id="1106" w:name="_Toc484439815"/>
      <w:bookmarkStart w:id="1107" w:name="_Toc484439938"/>
      <w:bookmarkStart w:id="1108" w:name="_Toc484440062"/>
      <w:bookmarkStart w:id="1109" w:name="_Toc484440422"/>
      <w:bookmarkStart w:id="1110" w:name="_Toc484448081"/>
      <w:bookmarkStart w:id="1111" w:name="_Toc484448206"/>
      <w:bookmarkStart w:id="1112" w:name="_Toc484448330"/>
      <w:bookmarkStart w:id="1113" w:name="_Toc484448454"/>
      <w:bookmarkStart w:id="1114" w:name="_Toc484448578"/>
      <w:bookmarkStart w:id="1115" w:name="_Toc484448702"/>
      <w:bookmarkStart w:id="1116" w:name="_Toc484448825"/>
      <w:bookmarkStart w:id="1117" w:name="_Toc484448949"/>
      <w:bookmarkStart w:id="1118" w:name="_Toc484449073"/>
      <w:bookmarkStart w:id="1119" w:name="_Toc484526568"/>
      <w:bookmarkStart w:id="1120" w:name="_Toc484605288"/>
      <w:bookmarkStart w:id="1121" w:name="_Toc484605412"/>
      <w:bookmarkStart w:id="1122" w:name="_Toc484688281"/>
      <w:bookmarkStart w:id="1123" w:name="_Toc484688836"/>
      <w:bookmarkStart w:id="1124" w:name="_Toc485218272"/>
      <w:bookmarkStart w:id="1125" w:name="_Toc482025724"/>
      <w:bookmarkStart w:id="1126" w:name="_Toc482097547"/>
      <w:bookmarkStart w:id="1127" w:name="_Toc482097636"/>
      <w:bookmarkStart w:id="1128" w:name="_Toc482097725"/>
      <w:bookmarkStart w:id="1129" w:name="_Toc482097917"/>
      <w:bookmarkStart w:id="1130" w:name="_Toc482099015"/>
      <w:bookmarkStart w:id="1131" w:name="_Toc482100732"/>
      <w:bookmarkStart w:id="1132" w:name="_Toc482100889"/>
      <w:bookmarkStart w:id="1133" w:name="_Toc482101315"/>
      <w:bookmarkStart w:id="1134" w:name="_Toc482101452"/>
      <w:bookmarkStart w:id="1135" w:name="_Toc482101567"/>
      <w:bookmarkStart w:id="1136" w:name="_Toc482101742"/>
      <w:bookmarkStart w:id="1137" w:name="_Toc482101835"/>
      <w:bookmarkStart w:id="1138" w:name="_Toc482101930"/>
      <w:bookmarkStart w:id="1139" w:name="_Toc482102025"/>
      <w:bookmarkStart w:id="1140" w:name="_Toc482102119"/>
      <w:bookmarkStart w:id="1141" w:name="_Toc482351983"/>
      <w:bookmarkStart w:id="1142" w:name="_Toc482352073"/>
      <w:bookmarkStart w:id="1143" w:name="_Toc482352163"/>
      <w:bookmarkStart w:id="1144" w:name="_Toc482352253"/>
      <w:bookmarkStart w:id="1145" w:name="_Toc482633093"/>
      <w:bookmarkStart w:id="1146" w:name="_Toc482641270"/>
      <w:bookmarkStart w:id="1147" w:name="_Toc482712716"/>
      <w:bookmarkStart w:id="1148" w:name="_Toc482959486"/>
      <w:bookmarkStart w:id="1149" w:name="_Toc482959596"/>
      <w:bookmarkStart w:id="1150" w:name="_Toc482959706"/>
      <w:bookmarkStart w:id="1151" w:name="_Toc482978825"/>
      <w:bookmarkStart w:id="1152" w:name="_Toc482978934"/>
      <w:bookmarkStart w:id="1153" w:name="_Toc482979042"/>
      <w:bookmarkStart w:id="1154" w:name="_Toc482979153"/>
      <w:bookmarkStart w:id="1155" w:name="_Toc482979262"/>
      <w:bookmarkStart w:id="1156" w:name="_Toc482979371"/>
      <w:bookmarkStart w:id="1157" w:name="_Toc482979479"/>
      <w:bookmarkStart w:id="1158" w:name="_Toc482979588"/>
      <w:bookmarkStart w:id="1159" w:name="_Toc482979686"/>
      <w:bookmarkStart w:id="1160" w:name="_Toc483233647"/>
      <w:bookmarkStart w:id="1161" w:name="_Toc483302347"/>
      <w:bookmarkStart w:id="1162" w:name="_Toc483315897"/>
      <w:bookmarkStart w:id="1163" w:name="_Toc483316102"/>
      <w:bookmarkStart w:id="1164" w:name="_Toc483316305"/>
      <w:bookmarkStart w:id="1165" w:name="_Toc483316436"/>
      <w:bookmarkStart w:id="1166" w:name="_Toc483325739"/>
      <w:bookmarkStart w:id="1167" w:name="_Toc483401218"/>
      <w:bookmarkStart w:id="1168" w:name="_Toc483474015"/>
      <w:bookmarkStart w:id="1169" w:name="_Toc483571444"/>
      <w:bookmarkStart w:id="1170" w:name="_Toc483571565"/>
      <w:bookmarkStart w:id="1171" w:name="_Toc483906942"/>
      <w:bookmarkStart w:id="1172" w:name="_Toc484010692"/>
      <w:bookmarkStart w:id="1173" w:name="_Toc484010814"/>
      <w:bookmarkStart w:id="1174" w:name="_Toc484010938"/>
      <w:bookmarkStart w:id="1175" w:name="_Toc484011060"/>
      <w:bookmarkStart w:id="1176" w:name="_Toc484011182"/>
      <w:bookmarkStart w:id="1177" w:name="_Toc484011657"/>
      <w:bookmarkStart w:id="1178" w:name="_Toc484097731"/>
      <w:bookmarkStart w:id="1179" w:name="_Toc484428903"/>
      <w:bookmarkStart w:id="1180" w:name="_Toc484429073"/>
      <w:bookmarkStart w:id="1181" w:name="_Toc484438648"/>
      <w:bookmarkStart w:id="1182" w:name="_Toc484438772"/>
      <w:bookmarkStart w:id="1183" w:name="_Toc484438896"/>
      <w:bookmarkStart w:id="1184" w:name="_Toc484439816"/>
      <w:bookmarkStart w:id="1185" w:name="_Toc484439939"/>
      <w:bookmarkStart w:id="1186" w:name="_Toc484440063"/>
      <w:bookmarkStart w:id="1187" w:name="_Toc484440423"/>
      <w:bookmarkStart w:id="1188" w:name="_Toc484448082"/>
      <w:bookmarkStart w:id="1189" w:name="_Toc484448207"/>
      <w:bookmarkStart w:id="1190" w:name="_Toc484448331"/>
      <w:bookmarkStart w:id="1191" w:name="_Toc484448455"/>
      <w:bookmarkStart w:id="1192" w:name="_Toc484448579"/>
      <w:bookmarkStart w:id="1193" w:name="_Toc484448703"/>
      <w:bookmarkStart w:id="1194" w:name="_Toc484448826"/>
      <w:bookmarkStart w:id="1195" w:name="_Toc484448950"/>
      <w:bookmarkStart w:id="1196" w:name="_Toc484449074"/>
      <w:bookmarkStart w:id="1197" w:name="_Toc484526569"/>
      <w:bookmarkStart w:id="1198" w:name="_Toc484605289"/>
      <w:bookmarkStart w:id="1199" w:name="_Toc484605413"/>
      <w:bookmarkStart w:id="1200" w:name="_Toc484688282"/>
      <w:bookmarkStart w:id="1201" w:name="_Toc484688837"/>
      <w:bookmarkStart w:id="1202" w:name="_Toc485218273"/>
      <w:bookmarkStart w:id="1203" w:name="_Toc482025725"/>
      <w:bookmarkStart w:id="1204" w:name="_Toc482097548"/>
      <w:bookmarkStart w:id="1205" w:name="_Toc482097637"/>
      <w:bookmarkStart w:id="1206" w:name="_Toc482097726"/>
      <w:bookmarkStart w:id="1207" w:name="_Toc482097918"/>
      <w:bookmarkStart w:id="1208" w:name="_Toc482099016"/>
      <w:bookmarkStart w:id="1209" w:name="_Toc482100733"/>
      <w:bookmarkStart w:id="1210" w:name="_Toc482100890"/>
      <w:bookmarkStart w:id="1211" w:name="_Toc482101316"/>
      <w:bookmarkStart w:id="1212" w:name="_Toc482101453"/>
      <w:bookmarkStart w:id="1213" w:name="_Toc482101568"/>
      <w:bookmarkStart w:id="1214" w:name="_Toc482101743"/>
      <w:bookmarkStart w:id="1215" w:name="_Toc482101836"/>
      <w:bookmarkStart w:id="1216" w:name="_Toc482101931"/>
      <w:bookmarkStart w:id="1217" w:name="_Toc482102026"/>
      <w:bookmarkStart w:id="1218" w:name="_Toc482102120"/>
      <w:bookmarkStart w:id="1219" w:name="_Toc482351984"/>
      <w:bookmarkStart w:id="1220" w:name="_Toc482352074"/>
      <w:bookmarkStart w:id="1221" w:name="_Toc482352164"/>
      <w:bookmarkStart w:id="1222" w:name="_Toc482352254"/>
      <w:bookmarkStart w:id="1223" w:name="_Toc482633094"/>
      <w:bookmarkStart w:id="1224" w:name="_Toc482641271"/>
      <w:bookmarkStart w:id="1225" w:name="_Toc482712717"/>
      <w:bookmarkStart w:id="1226" w:name="_Toc482959487"/>
      <w:bookmarkStart w:id="1227" w:name="_Toc482959597"/>
      <w:bookmarkStart w:id="1228" w:name="_Toc482959707"/>
      <w:bookmarkStart w:id="1229" w:name="_Toc482978826"/>
      <w:bookmarkStart w:id="1230" w:name="_Toc482978935"/>
      <w:bookmarkStart w:id="1231" w:name="_Toc482979043"/>
      <w:bookmarkStart w:id="1232" w:name="_Toc482979154"/>
      <w:bookmarkStart w:id="1233" w:name="_Toc482979263"/>
      <w:bookmarkStart w:id="1234" w:name="_Toc482979372"/>
      <w:bookmarkStart w:id="1235" w:name="_Toc482979480"/>
      <w:bookmarkStart w:id="1236" w:name="_Toc482979589"/>
      <w:bookmarkStart w:id="1237" w:name="_Toc482979687"/>
      <w:bookmarkStart w:id="1238" w:name="_Toc483233648"/>
      <w:bookmarkStart w:id="1239" w:name="_Toc483302348"/>
      <w:bookmarkStart w:id="1240" w:name="_Toc483315898"/>
      <w:bookmarkStart w:id="1241" w:name="_Toc483316103"/>
      <w:bookmarkStart w:id="1242" w:name="_Toc483316306"/>
      <w:bookmarkStart w:id="1243" w:name="_Toc483316437"/>
      <w:bookmarkStart w:id="1244" w:name="_Toc483325740"/>
      <w:bookmarkStart w:id="1245" w:name="_Toc483401219"/>
      <w:bookmarkStart w:id="1246" w:name="_Toc483474016"/>
      <w:bookmarkStart w:id="1247" w:name="_Toc483571445"/>
      <w:bookmarkStart w:id="1248" w:name="_Toc483571566"/>
      <w:bookmarkStart w:id="1249" w:name="_Toc483906943"/>
      <w:bookmarkStart w:id="1250" w:name="_Toc484010693"/>
      <w:bookmarkStart w:id="1251" w:name="_Toc484010815"/>
      <w:bookmarkStart w:id="1252" w:name="_Toc484010939"/>
      <w:bookmarkStart w:id="1253" w:name="_Toc484011061"/>
      <w:bookmarkStart w:id="1254" w:name="_Toc484011183"/>
      <w:bookmarkStart w:id="1255" w:name="_Toc484011658"/>
      <w:bookmarkStart w:id="1256" w:name="_Toc484097732"/>
      <w:bookmarkStart w:id="1257" w:name="_Toc484428904"/>
      <w:bookmarkStart w:id="1258" w:name="_Toc484429074"/>
      <w:bookmarkStart w:id="1259" w:name="_Toc484438649"/>
      <w:bookmarkStart w:id="1260" w:name="_Toc484438773"/>
      <w:bookmarkStart w:id="1261" w:name="_Toc484438897"/>
      <w:bookmarkStart w:id="1262" w:name="_Toc484439817"/>
      <w:bookmarkStart w:id="1263" w:name="_Toc484439940"/>
      <w:bookmarkStart w:id="1264" w:name="_Toc484440064"/>
      <w:bookmarkStart w:id="1265" w:name="_Toc484440424"/>
      <w:bookmarkStart w:id="1266" w:name="_Toc484448083"/>
      <w:bookmarkStart w:id="1267" w:name="_Toc484448208"/>
      <w:bookmarkStart w:id="1268" w:name="_Toc484448332"/>
      <w:bookmarkStart w:id="1269" w:name="_Toc484448456"/>
      <w:bookmarkStart w:id="1270" w:name="_Toc484448580"/>
      <w:bookmarkStart w:id="1271" w:name="_Toc484448704"/>
      <w:bookmarkStart w:id="1272" w:name="_Toc484448827"/>
      <w:bookmarkStart w:id="1273" w:name="_Toc484448951"/>
      <w:bookmarkStart w:id="1274" w:name="_Toc484449075"/>
      <w:bookmarkStart w:id="1275" w:name="_Toc484526570"/>
      <w:bookmarkStart w:id="1276" w:name="_Toc484605290"/>
      <w:bookmarkStart w:id="1277" w:name="_Toc484605414"/>
      <w:bookmarkStart w:id="1278" w:name="_Toc484688283"/>
      <w:bookmarkStart w:id="1279" w:name="_Toc484688838"/>
      <w:bookmarkStart w:id="1280" w:name="_Toc485218274"/>
      <w:bookmarkStart w:id="1281" w:name="_Toc391035976"/>
      <w:bookmarkStart w:id="1282" w:name="_Toc391036049"/>
      <w:bookmarkStart w:id="1283" w:name="_Toc380501865"/>
      <w:bookmarkStart w:id="1284" w:name="_Toc391035978"/>
      <w:bookmarkStart w:id="1285" w:name="_Toc391036051"/>
      <w:bookmarkStart w:id="1286" w:name="_Toc392577492"/>
      <w:bookmarkStart w:id="1287" w:name="_Toc393110559"/>
      <w:bookmarkStart w:id="1288" w:name="_Toc393112123"/>
      <w:bookmarkStart w:id="1289" w:name="_Toc393187840"/>
      <w:bookmarkStart w:id="1290" w:name="_Toc393272596"/>
      <w:bookmarkStart w:id="1291" w:name="_Toc393272654"/>
      <w:bookmarkStart w:id="1292" w:name="_Toc393283170"/>
      <w:bookmarkStart w:id="1293" w:name="_Toc393700829"/>
      <w:bookmarkStart w:id="1294" w:name="_Toc393706902"/>
      <w:bookmarkStart w:id="1295" w:name="_Toc397346817"/>
      <w:bookmarkStart w:id="1296" w:name="_Toc397422858"/>
      <w:bookmarkStart w:id="1297" w:name="_Toc403471265"/>
      <w:bookmarkStart w:id="1298" w:name="_Toc40605837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Pr/>
        <w:t>REQUISITI DI ORDINE GENERALE</w:t>
      </w:r>
      <w:bookmarkEnd w:id="185"/>
      <w:bookmarkEnd w:id="186"/>
      <w:r>
        <w:rPr/>
        <w:t xml:space="preserve"> E ALTRE CAUSE DI ESCLUSIONE</w:t>
      </w:r>
      <w:bookmarkEnd w:id="183"/>
      <w:bookmarkEnd w:id="184"/>
    </w:p>
    <w:p>
      <w:pPr>
        <w:pStyle w:val="Normal"/>
        <w:spacing w:before="60" w:after="0"/>
        <w:rPr>
          <w:rFonts w:ascii="Titillium" w:hAnsi="Titillium" w:cs="Arial"/>
          <w:sz w:val="18"/>
          <w:szCs w:val="18"/>
        </w:rPr>
      </w:pPr>
      <w:r>
        <w:rPr>
          <w:rFonts w:cs="Arial" w:ascii="Titillium" w:hAnsi="Titillium"/>
          <w:sz w:val="18"/>
          <w:szCs w:val="18"/>
        </w:rPr>
        <w:t>I concorrenti devono essere in possesso, a pena di esclusione, dei requisiti di ordine generale previsti dal Codice nonché degli ulteriori requisiti indicati nel presente paragrafo.</w:t>
      </w:r>
    </w:p>
    <w:p>
      <w:pPr>
        <w:pStyle w:val="Normal"/>
        <w:spacing w:before="60" w:after="0"/>
        <w:rPr>
          <w:rFonts w:ascii="Titillium" w:hAnsi="Titillium" w:cs="Arial"/>
          <w:sz w:val="18"/>
          <w:szCs w:val="18"/>
        </w:rPr>
      </w:pPr>
      <w:r>
        <w:rPr>
          <w:rFonts w:cs="Arial" w:ascii="Titillium" w:hAnsi="Titillium"/>
          <w:sz w:val="18"/>
          <w:szCs w:val="18"/>
        </w:rPr>
        <w:t>La stazione appaltante verifica il possesso dei requisiti di ordine generale accedendo al fascicolo virtuale dell’operatore economico (di seguito: FVOE), fatto salvo quanto previsto nel paragrafo 25.</w:t>
      </w:r>
    </w:p>
    <w:p>
      <w:pPr>
        <w:pStyle w:val="Normal"/>
        <w:spacing w:before="60" w:after="60"/>
        <w:rPr>
          <w:rFonts w:ascii="Titillium" w:hAnsi="Titillium" w:cs="Arial"/>
          <w:sz w:val="18"/>
          <w:szCs w:val="18"/>
        </w:rPr>
      </w:pPr>
      <w:r>
        <w:rPr>
          <w:rFonts w:cs="Arial" w:ascii="Titillium" w:hAnsi="Titillium"/>
          <w:sz w:val="18"/>
          <w:szCs w:val="18"/>
        </w:rPr>
        <w:t>Nella domanda di partecipazione, gli operatori economici acconsentono al trattamento dei dati tramite il FVOE, nel rispetto di quanto previsto dal codice in materia di protezione dei dati personali, di cui al decreto legislativo 30 giugno 2003, n.196.</w:t>
      </w:r>
      <w:r>
        <w:rPr>
          <w:rFonts w:cs="Calibri" w:ascii="Calibri" w:hAnsi="Calibri"/>
          <w:sz w:val="18"/>
          <w:szCs w:val="18"/>
        </w:rPr>
        <w:t> </w:t>
      </w:r>
      <w:r>
        <w:rPr>
          <w:rFonts w:cs="Arial" w:ascii="Titillium" w:hAnsi="Titillium"/>
          <w:sz w:val="18"/>
          <w:szCs w:val="18"/>
        </w:rPr>
        <w:t xml:space="preserve"> </w:t>
      </w:r>
    </w:p>
    <w:p>
      <w:pPr>
        <w:pStyle w:val="Normal"/>
        <w:spacing w:before="60" w:after="0"/>
        <w:rPr>
          <w:rFonts w:ascii="Titillium" w:hAnsi="Titillium" w:cs="Arial"/>
          <w:sz w:val="18"/>
          <w:szCs w:val="18"/>
        </w:rPr>
      </w:pPr>
      <w:r>
        <w:rPr>
          <w:rFonts w:cs="Arial" w:ascii="Titillium" w:hAnsi="Titillium"/>
          <w:sz w:val="18"/>
          <w:szCs w:val="18"/>
        </w:rPr>
        <w:t>Le circostanze di cui all’articolo 94 del Codice sono cause di esclusione automatica. La sussistenza delle circostanze di cui all’articolo 95 del Codice è accertata previo contraddittorio con l’operatore economico.</w:t>
      </w:r>
    </w:p>
    <w:p>
      <w:pPr>
        <w:pStyle w:val="Normal"/>
        <w:spacing w:before="60" w:after="0"/>
        <w:rPr>
          <w:rFonts w:ascii="Titillium" w:hAnsi="Titillium" w:cs="Arial"/>
          <w:sz w:val="18"/>
          <w:szCs w:val="18"/>
        </w:rPr>
      </w:pPr>
      <w:r>
        <w:rPr>
          <w:rFonts w:cs="Arial" w:ascii="Titillium" w:hAnsi="Titillium"/>
          <w:sz w:val="18"/>
          <w:szCs w:val="18"/>
        </w:rPr>
        <w:t>In caso di partecipazione di consorzi di cui all’articolo 65, comma 2, lettere b) e c) e d) del Codice, i requisiti di cui al presente paragrafo sono posseduti dal consorzio, dalle consorziate indicate quali esecutrici e dalle consorziate che prestano i requisiti.</w:t>
      </w:r>
    </w:p>
    <w:p>
      <w:pPr>
        <w:pStyle w:val="Normal"/>
        <w:spacing w:before="60" w:after="0"/>
        <w:rPr>
          <w:rFonts w:ascii="Titillium" w:hAnsi="Titillium" w:cs="Arial"/>
          <w:sz w:val="18"/>
          <w:szCs w:val="18"/>
        </w:rPr>
      </w:pPr>
      <w:r>
        <w:rPr>
          <w:rFonts w:cs="Arial" w:ascii="Titillium" w:hAnsi="Titillium"/>
          <w:sz w:val="18"/>
          <w:szCs w:val="18"/>
        </w:rPr>
        <w:t>In caso di partecipazione dei soggetti di cui all’articolo 65, comma 2, lettere e) f) g) e h) del Codice, i requisiti di cui al presente paragrafo sono posseduti da ciascun componente del ragruppamento/consorzio/GEIE anche da costituire, nonché dal GEIE medesimo, e da ciascun componente dell’aggregazione di rete che partecipa alla gara nonché dall’organo comune nel caso in cui questi abbia soggettività giuridica.</w:t>
      </w:r>
    </w:p>
    <w:p>
      <w:pPr>
        <w:pStyle w:val="Normal"/>
        <w:spacing w:before="60" w:after="0"/>
        <w:rPr>
          <w:rFonts w:ascii="Titillium" w:hAnsi="Titillium" w:cs="Arial"/>
          <w:sz w:val="18"/>
          <w:szCs w:val="18"/>
        </w:rPr>
      </w:pPr>
      <w:r>
        <w:rPr>
          <w:rFonts w:cs="Arial" w:ascii="Titillium" w:hAnsi="Titillium"/>
          <w:sz w:val="18"/>
          <w:szCs w:val="18"/>
        </w:rPr>
      </w:r>
    </w:p>
    <w:p>
      <w:pPr>
        <w:pStyle w:val="Normal"/>
        <w:spacing w:before="60" w:after="0"/>
        <w:rPr>
          <w:rFonts w:ascii="Titillium" w:hAnsi="Titillium" w:cs="Arial"/>
          <w:sz w:val="18"/>
          <w:szCs w:val="18"/>
        </w:rPr>
      </w:pPr>
      <w:r>
        <w:rPr>
          <w:rFonts w:cs="Arial" w:ascii="Titillium" w:hAnsi="Titillium"/>
          <w:sz w:val="18"/>
          <w:szCs w:val="18"/>
        </w:rPr>
        <w:t>Self cleaning</w:t>
      </w:r>
    </w:p>
    <w:p>
      <w:pPr>
        <w:pStyle w:val="Normal"/>
        <w:spacing w:before="60" w:after="0"/>
        <w:rPr>
          <w:rFonts w:ascii="Titillium" w:hAnsi="Titillium" w:cs="Arial"/>
          <w:sz w:val="18"/>
          <w:szCs w:val="18"/>
        </w:rPr>
      </w:pPr>
      <w:r>
        <w:rPr>
          <w:rFonts w:cs="Arial" w:ascii="Titillium" w:hAnsi="Titillium"/>
          <w:sz w:val="18"/>
          <w:szCs w:val="18"/>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 </w:t>
      </w:r>
    </w:p>
    <w:p>
      <w:pPr>
        <w:pStyle w:val="Normal"/>
        <w:spacing w:before="60" w:after="0"/>
        <w:rPr>
          <w:rFonts w:ascii="Titillium" w:hAnsi="Titillium" w:cs="Arial"/>
          <w:sz w:val="18"/>
          <w:szCs w:val="18"/>
        </w:rPr>
      </w:pPr>
      <w:r>
        <w:rPr>
          <w:rFonts w:cs="Arial" w:ascii="Titillium" w:hAnsi="Titillium"/>
          <w:sz w:val="18"/>
          <w:szCs w:val="18"/>
        </w:rPr>
        <w:t>Se la causa di esclusione si è verificata prima della presentazione dell’offerta, l’operatore economico indica nel DGUE la causa ostativa e, alternativamente:</w:t>
      </w:r>
    </w:p>
    <w:p>
      <w:pPr>
        <w:pStyle w:val="ListParagraph"/>
        <w:numPr>
          <w:ilvl w:val="1"/>
          <w:numId w:val="33"/>
        </w:numPr>
        <w:spacing w:before="60" w:after="0"/>
        <w:ind w:hanging="360" w:left="426"/>
        <w:contextualSpacing/>
        <w:rPr>
          <w:rFonts w:ascii="Titillium" w:hAnsi="Titillium" w:cs="Arial"/>
          <w:sz w:val="18"/>
          <w:szCs w:val="18"/>
        </w:rPr>
      </w:pPr>
      <w:r>
        <w:rPr>
          <w:rFonts w:cs="Arial" w:ascii="Titillium" w:hAnsi="Titillium"/>
          <w:sz w:val="18"/>
          <w:szCs w:val="18"/>
        </w:rPr>
        <w:t>descrive le misure adottate ai sensi dell’articolo 96, comma 6 del Codice;</w:t>
      </w:r>
    </w:p>
    <w:p>
      <w:pPr>
        <w:pStyle w:val="ListParagraph"/>
        <w:numPr>
          <w:ilvl w:val="1"/>
          <w:numId w:val="33"/>
        </w:numPr>
        <w:spacing w:before="60" w:after="0"/>
        <w:ind w:hanging="360" w:left="426"/>
        <w:contextualSpacing/>
        <w:rPr>
          <w:rFonts w:ascii="Titillium" w:hAnsi="Titillium" w:cs="Arial"/>
          <w:sz w:val="18"/>
          <w:szCs w:val="18"/>
        </w:rPr>
      </w:pPr>
      <w:r>
        <w:rPr>
          <w:rFonts w:cs="Arial" w:ascii="Titillium" w:hAnsi="Titillium"/>
          <w:sz w:val="18"/>
          <w:szCs w:val="18"/>
        </w:rPr>
        <w:t xml:space="preserve">motiva l’impossibilità ad adottare dette misure e si impegna a provvedere successivamente. L’adozione delle misure è comunicata alla stazione appaltante. </w:t>
      </w:r>
    </w:p>
    <w:p>
      <w:pPr>
        <w:pStyle w:val="Normal"/>
        <w:spacing w:before="60" w:after="0"/>
        <w:rPr>
          <w:rFonts w:ascii="Titillium" w:hAnsi="Titillium" w:cs="Arial"/>
          <w:sz w:val="18"/>
          <w:szCs w:val="18"/>
        </w:rPr>
      </w:pPr>
      <w:r>
        <w:rPr>
          <w:rFonts w:cs="Arial" w:ascii="Titillium" w:hAnsi="Titillium"/>
          <w:sz w:val="18"/>
          <w:szCs w:val="18"/>
        </w:rPr>
        <w:t>Se la causa di esclusione si è verificata successivamente alla presentazione dell’offerta, l’operatore economico adotta le misure di cui al comma 6 dell’articolo 96 del Codice dandone comunicazione alla stazione appaltante.</w:t>
      </w:r>
    </w:p>
    <w:p>
      <w:pPr>
        <w:pStyle w:val="Normal"/>
        <w:spacing w:before="60" w:after="0"/>
        <w:rPr>
          <w:rFonts w:ascii="Titillium" w:hAnsi="Titillium" w:cs="Arial"/>
          <w:sz w:val="18"/>
          <w:szCs w:val="18"/>
        </w:rPr>
      </w:pPr>
      <w:r>
        <w:rPr>
          <w:rFonts w:cs="Arial" w:ascii="Titillium" w:hAnsi="Titillium"/>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pPr>
        <w:pStyle w:val="Normal"/>
        <w:spacing w:before="60" w:after="0"/>
        <w:rPr>
          <w:rFonts w:ascii="Titillium" w:hAnsi="Titillium" w:cs="Arial"/>
          <w:sz w:val="18"/>
          <w:szCs w:val="18"/>
        </w:rPr>
      </w:pPr>
      <w:r>
        <w:rPr>
          <w:rFonts w:cs="Arial" w:ascii="Titillium" w:hAnsi="Titillium"/>
          <w:sz w:val="18"/>
          <w:szCs w:val="18"/>
        </w:rPr>
        <w:t xml:space="preserve">Se le misure adottate sono ritenute sufficienti e tempestive, l’operatore economico non è escluso. Se dette misure sono ritenute insufficienti e intempestive, la stazione appaltante ne comunica le ragioni all’operatore economico. </w:t>
      </w:r>
    </w:p>
    <w:p>
      <w:pPr>
        <w:pStyle w:val="Normal"/>
        <w:spacing w:before="60" w:after="0"/>
        <w:rPr>
          <w:rFonts w:ascii="Titillium" w:hAnsi="Titillium" w:cs="Arial"/>
          <w:sz w:val="18"/>
          <w:szCs w:val="18"/>
        </w:rPr>
      </w:pPr>
      <w:r>
        <w:rPr>
          <w:rFonts w:cs="Arial" w:ascii="Titillium" w:hAnsi="Titillium"/>
          <w:sz w:val="18"/>
          <w:szCs w:val="18"/>
        </w:rPr>
        <w:t>Non può avvalersi del self-cleaning l’operatore economico escluso con sentenza definitiva dalla partecipazione alle procedure di affidamento, nel corso del periodo di esclusione derivante da tale sentenza.</w:t>
      </w:r>
    </w:p>
    <w:p>
      <w:pPr>
        <w:pStyle w:val="Normal"/>
        <w:spacing w:before="60" w:after="60"/>
        <w:rPr>
          <w:rFonts w:ascii="Titillium" w:hAnsi="Titillium"/>
          <w:sz w:val="18"/>
          <w:szCs w:val="24"/>
        </w:rPr>
      </w:pPr>
      <w:r>
        <w:rPr>
          <w:rFonts w:ascii="Titillium" w:hAnsi="Titillium"/>
          <w:sz w:val="18"/>
          <w:szCs w:val="24"/>
        </w:rPr>
        <w:t xml:space="preserve">Nel caso in cui un raggruppamento/consorzio abbia estromesso o sostituito un partecipante/esecutrice/consorziata, avente i requisiti di cui i consorzi si avvalgono, interessato da una clausola di esclusione di cui agli articoli 94 e 95 del Codice, si valutano le misure adottate ai sensi dell’articolo 97 del Codice al fine di decidere sull’esclusione. </w:t>
      </w:r>
    </w:p>
    <w:p>
      <w:pPr>
        <w:pStyle w:val="Normal"/>
        <w:spacing w:before="60" w:after="0"/>
        <w:rPr>
          <w:rFonts w:ascii="Titillium" w:hAnsi="Titillium" w:cs="Arial"/>
          <w:sz w:val="18"/>
          <w:szCs w:val="18"/>
        </w:rPr>
      </w:pPr>
      <w:r>
        <w:rPr>
          <w:rFonts w:cs="Arial" w:ascii="Titillium" w:hAnsi="Titillium"/>
          <w:sz w:val="18"/>
          <w:szCs w:val="18"/>
        </w:rPr>
      </w:r>
    </w:p>
    <w:p>
      <w:pPr>
        <w:pStyle w:val="Normal"/>
        <w:spacing w:before="60" w:after="0"/>
        <w:rPr>
          <w:rFonts w:ascii="Titillium" w:hAnsi="Titillium" w:cs="Arial"/>
          <w:b/>
          <w:bCs/>
          <w:sz w:val="18"/>
          <w:szCs w:val="18"/>
        </w:rPr>
      </w:pPr>
      <w:r>
        <w:rPr>
          <w:rFonts w:cs="Arial" w:ascii="Titillium" w:hAnsi="Titillium"/>
          <w:b/>
          <w:bCs/>
          <w:sz w:val="18"/>
          <w:szCs w:val="18"/>
        </w:rPr>
        <w:t>Altre cause di esclusione</w:t>
      </w:r>
    </w:p>
    <w:p>
      <w:pPr>
        <w:pStyle w:val="Normal"/>
        <w:spacing w:before="120" w:after="60"/>
        <w:rPr/>
      </w:pPr>
      <w:r>
        <w:rPr>
          <w:rFonts w:cs="Arial" w:ascii="Titillium" w:hAnsi="Titillium"/>
          <w:sz w:val="18"/>
          <w:szCs w:val="18"/>
        </w:rPr>
        <w:t>Sono esclusi gli</w:t>
      </w:r>
      <w:r>
        <w:rPr>
          <w:rFonts w:cs="Arial" w:ascii="Titillium" w:hAnsi="Titillium"/>
          <w:b/>
          <w:sz w:val="18"/>
          <w:szCs w:val="18"/>
        </w:rPr>
        <w:t xml:space="preserve"> </w:t>
      </w:r>
      <w:r>
        <w:rPr>
          <w:rFonts w:cs="Calibri" w:ascii="Titillium" w:hAnsi="Titillium"/>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pPr>
        <w:pStyle w:val="Normal"/>
        <w:spacing w:before="120" w:after="60"/>
        <w:rPr>
          <w:rFonts w:ascii="Titillium" w:hAnsi="Titillium" w:cs="Calibri"/>
          <w:sz w:val="18"/>
          <w:szCs w:val="18"/>
        </w:rPr>
      </w:pPr>
      <w:r>
        <w:rPr>
          <w:rFonts w:cs="Arial" w:ascii="Titillium" w:hAnsi="Titillium"/>
          <w:sz w:val="18"/>
          <w:szCs w:val="18"/>
        </w:rPr>
        <w:t xml:space="preserve">La mancata accettazione delle clausole contenute nel protocollo di legalità/patto di integrità e il mancato rispetto dello stesso costituiscono causa di </w:t>
      </w:r>
      <w:r>
        <w:rPr>
          <w:rFonts w:cs="Arial" w:ascii="Titillium" w:hAnsi="Titillium"/>
          <w:bCs/>
          <w:sz w:val="18"/>
          <w:szCs w:val="18"/>
        </w:rPr>
        <w:t xml:space="preserve">esclusione </w:t>
      </w:r>
      <w:r>
        <w:rPr>
          <w:rFonts w:cs="Arial" w:ascii="Titillium" w:hAnsi="Titillium"/>
          <w:sz w:val="18"/>
          <w:szCs w:val="18"/>
        </w:rPr>
        <w:t>dalla gara, ai sensi dell’articolo 83-bis del decreto legislativo n. 159/2011.</w:t>
      </w:r>
      <w:r>
        <w:rPr>
          <w:rFonts w:cs="Calibri" w:ascii="Titillium" w:hAnsi="Titillium"/>
          <w:sz w:val="18"/>
          <w:szCs w:val="18"/>
        </w:rPr>
        <w:t xml:space="preserve"> </w:t>
      </w:r>
      <w:bookmarkStart w:id="1299" w:name="_Ref497211510"/>
    </w:p>
    <w:p>
      <w:pPr>
        <w:pStyle w:val="Normal"/>
        <w:spacing w:before="120" w:after="60"/>
        <w:rPr>
          <w:rFonts w:ascii="Titillium" w:hAnsi="Titillium" w:cs="Calibri"/>
          <w:sz w:val="18"/>
          <w:szCs w:val="18"/>
        </w:rPr>
      </w:pPr>
      <w:r>
        <w:rPr>
          <w:rFonts w:cs="Calibri" w:ascii="Titillium" w:hAnsi="Titillium"/>
          <w:sz w:val="18"/>
          <w:szCs w:val="18"/>
        </w:rPr>
        <w:t xml:space="preserve">Sono esclusi dalla procedura di gara  gli operatori economici che occupano </w:t>
      </w:r>
      <w:r>
        <w:rPr>
          <w:rFonts w:cs="Calibri" w:ascii="Titillium" w:hAnsi="Titillium"/>
          <w:b/>
          <w:bCs/>
          <w:sz w:val="18"/>
          <w:szCs w:val="18"/>
        </w:rPr>
        <w:t>oltre cinquanta</w:t>
      </w:r>
      <w:r>
        <w:rPr>
          <w:rFonts w:cs="Calibri" w:ascii="Titillium" w:hAnsi="Titillium"/>
          <w:sz w:val="18"/>
          <w:szCs w:val="18"/>
        </w:rPr>
        <w:t xml:space="preserve"> </w:t>
      </w:r>
      <w:r>
        <w:rPr>
          <w:rFonts w:cs="Calibri" w:ascii="Titillium" w:hAnsi="Titillium"/>
          <w:b/>
          <w:bCs/>
          <w:sz w:val="18"/>
          <w:szCs w:val="18"/>
        </w:rPr>
        <w:t>dipendenti</w:t>
      </w:r>
      <w:r>
        <w:rPr>
          <w:rFonts w:cs="Calibri" w:ascii="Titillium" w:hAnsi="Titillium"/>
          <w:sz w:val="18"/>
          <w:szCs w:val="18"/>
        </w:rPr>
        <w:t xml:space="preserve"> che, al momento della presentazione dell'offerta, non presentano, copia dell'ultimo rapporto periodico 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 </w:t>
      </w:r>
    </w:p>
    <w:p>
      <w:pPr>
        <w:pStyle w:val="Normal"/>
        <w:spacing w:before="120" w:after="60"/>
        <w:rPr>
          <w:rFonts w:ascii="Titillium" w:hAnsi="Titillium" w:cs="Calibri"/>
          <w:sz w:val="18"/>
          <w:szCs w:val="18"/>
        </w:rPr>
      </w:pPr>
      <w:r>
        <w:rPr>
          <w:rFonts w:cs="Calibri" w:ascii="Titillium" w:hAnsi="Titillium"/>
          <w:sz w:val="18"/>
          <w:szCs w:val="18"/>
        </w:rPr>
        <w:t xml:space="preserve">Sono esclusi dalla procedura di gara gli operatori economici che occupano un numero di dipendenti </w:t>
      </w:r>
      <w:r>
        <w:rPr>
          <w:rFonts w:cs="Calibri" w:ascii="Titillium" w:hAnsi="Titillium"/>
          <w:b/>
          <w:bCs/>
          <w:sz w:val="18"/>
          <w:szCs w:val="18"/>
        </w:rPr>
        <w:t>pari o superiore a quindici e non superiore a cinquanta</w:t>
      </w:r>
      <w:r>
        <w:rPr>
          <w:rFonts w:cs="Calibri" w:ascii="Titillium" w:hAnsi="Titillium"/>
          <w:sz w:val="18"/>
          <w:szCs w:val="18"/>
        </w:rPr>
        <w:t xml:space="preserve">, che nei dodici mesi precedenti al termine di presentazione dell’offerta, hanno omesso di produrre alla stazione appaltante di un precedente contratto d’appalto la relazione di cui all’articolo 47, comma 3, del decreto-legge n. 77 del 2021 o di cui all'articolo 1, comma 2, dell’Allegato II.3 del Codice. </w:t>
      </w:r>
    </w:p>
    <w:p>
      <w:pPr>
        <w:pStyle w:val="Heading2"/>
        <w:numPr>
          <w:ilvl w:val="0"/>
          <w:numId w:val="3"/>
        </w:numPr>
        <w:rPr/>
      </w:pPr>
      <w:bookmarkStart w:id="1300" w:name="_Toc231396665"/>
      <w:r>
        <w:rPr/>
        <w:t>REQUISITI DI ORDINE SPECIALE E MEZZI DI PROVA</w:t>
      </w:r>
      <w:bookmarkEnd w:id="1299"/>
      <w:bookmarkEnd w:id="1300"/>
    </w:p>
    <w:p>
      <w:pPr>
        <w:pStyle w:val="Normal"/>
        <w:spacing w:before="60" w:after="60"/>
        <w:rPr>
          <w:rFonts w:ascii="Titillium" w:hAnsi="Titillium" w:cs="Calibri"/>
          <w:sz w:val="18"/>
          <w:szCs w:val="18"/>
        </w:rPr>
      </w:pPr>
      <w:r>
        <w:rPr>
          <w:rFonts w:cs="Calibri" w:ascii="Titillium" w:hAnsi="Titillium"/>
          <w:sz w:val="18"/>
          <w:szCs w:val="18"/>
        </w:rPr>
        <w:t xml:space="preserve">I concorrenti devono possedere, </w:t>
      </w:r>
      <w:r>
        <w:rPr>
          <w:rFonts w:cs="Calibri" w:ascii="Titillium" w:hAnsi="Titillium"/>
          <w:bCs/>
          <w:sz w:val="18"/>
          <w:szCs w:val="18"/>
        </w:rPr>
        <w:t>a pena di esclusione</w:t>
      </w:r>
      <w:r>
        <w:rPr>
          <w:rFonts w:cs="Calibri" w:ascii="Titillium" w:hAnsi="Titillium"/>
          <w:sz w:val="18"/>
          <w:szCs w:val="18"/>
        </w:rPr>
        <w:t xml:space="preserve">, i requisiti previsti nei commi seguenti. </w:t>
      </w:r>
    </w:p>
    <w:p>
      <w:pPr>
        <w:pStyle w:val="Normal"/>
        <w:spacing w:before="60" w:after="60"/>
        <w:rPr>
          <w:rFonts w:ascii="Titillium" w:hAnsi="Titillium" w:cs="Calibri"/>
          <w:sz w:val="18"/>
          <w:szCs w:val="18"/>
        </w:rPr>
      </w:pPr>
      <w:r>
        <w:rPr>
          <w:rFonts w:cs="Calibri" w:ascii="Titillium" w:hAnsi="Titillium"/>
          <w:sz w:val="18"/>
          <w:szCs w:val="18"/>
        </w:rPr>
        <w:t xml:space="preserve">La stazione appaltante verifica il possesso dei requisiti di ordine speciale accedendo al fascicolo virtuale dell’operatore economico (FVOE), fatto salvo quanto previsto nel paragrafo 25. </w:t>
      </w:r>
    </w:p>
    <w:p>
      <w:pPr>
        <w:pStyle w:val="Normal"/>
        <w:spacing w:before="60" w:after="60"/>
        <w:rPr>
          <w:rFonts w:ascii="Titillium" w:hAnsi="Titillium" w:cs="Calibri"/>
          <w:sz w:val="18"/>
          <w:szCs w:val="18"/>
        </w:rPr>
      </w:pPr>
      <w:r>
        <w:rPr>
          <w:rFonts w:cs="Calibri" w:ascii="Titillium" w:hAnsi="Titillium"/>
          <w:sz w:val="18"/>
          <w:szCs w:val="18"/>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bookmarkStart w:id="1301" w:name="_Ref128681470"/>
      <w:bookmarkStart w:id="1302" w:name="_Ref128476563"/>
      <w:bookmarkStart w:id="1303" w:name="_Toc497831539"/>
      <w:bookmarkStart w:id="1304" w:name="_Toc498419731"/>
      <w:bookmarkStart w:id="1305" w:name="_Toc497484946"/>
      <w:bookmarkStart w:id="1306" w:name="_Toc497728144"/>
      <w:bookmarkEnd w:id="1303"/>
      <w:bookmarkEnd w:id="1304"/>
      <w:bookmarkEnd w:id="1305"/>
      <w:bookmarkEnd w:id="1306"/>
    </w:p>
    <w:p>
      <w:pPr>
        <w:pStyle w:val="Normal"/>
        <w:spacing w:before="60" w:after="60"/>
        <w:rPr>
          <w:rFonts w:ascii="Titillium" w:hAnsi="Titillium" w:cs="Calibri"/>
          <w:sz w:val="18"/>
          <w:szCs w:val="18"/>
        </w:rPr>
      </w:pPr>
      <w:r>
        <w:rPr>
          <w:rFonts w:cs="Calibri" w:ascii="Titillium" w:hAnsi="Titillium"/>
          <w:sz w:val="18"/>
          <w:szCs w:val="18"/>
        </w:rPr>
      </w:r>
    </w:p>
    <w:p>
      <w:pPr>
        <w:pStyle w:val="Heading3"/>
        <w:numPr>
          <w:ilvl w:val="1"/>
          <w:numId w:val="3"/>
        </w:numPr>
        <w:ind w:hanging="426" w:left="426"/>
        <w:rPr/>
      </w:pPr>
      <w:bookmarkStart w:id="1307" w:name="_Toc231396666"/>
      <w:r>
        <w:rPr>
          <w:rFonts w:ascii="Titillium" w:hAnsi="Titillium"/>
          <w:sz w:val="18"/>
          <w:szCs w:val="18"/>
        </w:rPr>
        <w:t>REQUISITI DI IDONEITÀ</w:t>
      </w:r>
      <w:bookmarkEnd w:id="1302"/>
      <w:r>
        <w:rPr>
          <w:rFonts w:ascii="Titillium" w:hAnsi="Titillium"/>
          <w:sz w:val="18"/>
          <w:szCs w:val="18"/>
        </w:rPr>
        <w:t xml:space="preserve"> PROFESSIONALE</w:t>
      </w:r>
      <w:bookmarkEnd w:id="1301"/>
      <w:bookmarkEnd w:id="1307"/>
    </w:p>
    <w:p>
      <w:pPr>
        <w:pStyle w:val="ListParagraph"/>
        <w:numPr>
          <w:ilvl w:val="0"/>
          <w:numId w:val="4"/>
        </w:numPr>
        <w:spacing w:before="60" w:after="60"/>
        <w:ind w:hanging="284" w:left="284"/>
        <w:contextualSpacing w:val="false"/>
        <w:rPr/>
      </w:pPr>
      <w:bookmarkStart w:id="1308" w:name="_Ref128681493"/>
      <w:r>
        <w:rPr>
          <w:rFonts w:cs="Arial" w:ascii="Titillium" w:hAnsi="Titillium"/>
          <w:bCs/>
          <w:sz w:val="18"/>
          <w:szCs w:val="18"/>
        </w:rPr>
        <w:t>Iscrizione n</w:t>
      </w:r>
      <w:r>
        <w:rPr>
          <w:rFonts w:cs="Arial" w:ascii="Titillium" w:hAnsi="Titillium"/>
          <w:sz w:val="18"/>
          <w:szCs w:val="18"/>
        </w:rPr>
        <w:t>el R</w:t>
      </w:r>
      <w:r>
        <w:rPr>
          <w:rFonts w:cs="Calibri" w:ascii="Titillium" w:hAnsi="Titillium"/>
          <w:sz w:val="18"/>
          <w:szCs w:val="18"/>
        </w:rPr>
        <w:t>egistro delle Imprese oppure nell’Albo delle Imprese artigiane per attività pertinenti con quelle oggetto della prese</w:t>
      </w:r>
      <w:bookmarkStart w:id="1309" w:name="_Ref495411492"/>
      <w:bookmarkEnd w:id="1309"/>
      <w:r>
        <w:rPr>
          <w:rFonts w:cs="Calibri" w:ascii="Titillium" w:hAnsi="Titillium"/>
          <w:sz w:val="18"/>
          <w:szCs w:val="18"/>
        </w:rPr>
        <w:t>nte procedura di gara.</w:t>
      </w:r>
      <w:bookmarkEnd w:id="1308"/>
    </w:p>
    <w:p>
      <w:pPr>
        <w:pStyle w:val="Normal"/>
        <w:spacing w:before="60" w:after="60"/>
        <w:rPr>
          <w:rFonts w:ascii="Titillium" w:hAnsi="Titillium" w:cs="Calibri"/>
          <w:sz w:val="18"/>
          <w:szCs w:val="18"/>
        </w:rPr>
      </w:pPr>
      <w:r>
        <w:rPr>
          <w:rFonts w:cs="Calibri" w:ascii="Titillium" w:hAnsi="Titillium"/>
          <w:sz w:val="18"/>
          <w:szCs w:val="18"/>
        </w:rPr>
        <w:t>Per l’operatore economico di altro Stato membro, non residente in Italia: iscrizione in uno dei registri professionali o commerciali degli altri Stati membri di cui all’allegato II.11 del Codice;</w:t>
      </w:r>
    </w:p>
    <w:p>
      <w:pPr>
        <w:pStyle w:val="Normal"/>
        <w:spacing w:before="60" w:after="60"/>
        <w:rPr>
          <w:rFonts w:ascii="Titillium" w:hAnsi="Titillium"/>
          <w:sz w:val="18"/>
          <w:szCs w:val="18"/>
        </w:rPr>
      </w:pPr>
      <w:r>
        <w:rPr>
          <w:rFonts w:cs="Calibri" w:ascii="Titillium" w:hAnsi="Titillium"/>
          <w:sz w:val="18"/>
          <w:szCs w:val="18"/>
        </w:rPr>
        <w:t>Ai fini della comprova, l’iscrizione nel Registro è acquisita d’ufficio dalla stazione appaltante tramite il FVOE. Gli operatori stabiliti in altri Stati membri caricano nel fascicolo virtuale la dichiarazione, resa ai sensi del decreto del Presidente della Repubblica del 28 dicembre 2000, n. 445, di iscrizione in uno dei registri professionali o commerciali di cui all'allegato II.11, nonché</w:t>
      </w:r>
      <w:r>
        <w:rPr/>
        <w:t xml:space="preserve"> </w:t>
      </w:r>
      <w:r>
        <w:rPr>
          <w:rFonts w:cs="Calibri" w:ascii="Titillium" w:hAnsi="Titillium"/>
          <w:sz w:val="18"/>
          <w:szCs w:val="18"/>
        </w:rPr>
        <w:t>i dati e le informazioni utili alla comprova del requisito, se disponibili</w:t>
      </w:r>
      <w:r>
        <w:rPr>
          <w:rFonts w:ascii="Titillium" w:hAnsi="Titillium"/>
          <w:sz w:val="18"/>
          <w:szCs w:val="18"/>
        </w:rPr>
        <w:t>.</w:t>
      </w:r>
    </w:p>
    <w:p>
      <w:pPr>
        <w:pStyle w:val="Normal"/>
        <w:spacing w:before="60" w:after="60"/>
        <w:rPr>
          <w:rFonts w:ascii="Titillium" w:hAnsi="Titillium"/>
          <w:sz w:val="18"/>
          <w:szCs w:val="18"/>
        </w:rPr>
      </w:pPr>
      <w:r>
        <w:rPr>
          <w:rFonts w:ascii="Titillium" w:hAnsi="Titillium"/>
          <w:sz w:val="18"/>
          <w:szCs w:val="18"/>
        </w:rPr>
      </w:r>
    </w:p>
    <w:p>
      <w:pPr>
        <w:pStyle w:val="Heading3"/>
        <w:numPr>
          <w:ilvl w:val="1"/>
          <w:numId w:val="3"/>
        </w:numPr>
        <w:ind w:hanging="426" w:left="426"/>
        <w:rPr/>
      </w:pPr>
      <w:bookmarkStart w:id="1310" w:name="_Toc231396667"/>
      <w:bookmarkStart w:id="1311" w:name="_Ref495411575"/>
      <w:bookmarkStart w:id="1312" w:name="_Toc484688842"/>
      <w:bookmarkStart w:id="1313" w:name="_Toc485218278"/>
      <w:bookmarkStart w:id="1314" w:name="_Toc483302352"/>
      <w:bookmarkStart w:id="1315" w:name="_Toc483315902"/>
      <w:bookmarkStart w:id="1316" w:name="_Toc483316107"/>
      <w:bookmarkStart w:id="1317" w:name="_Toc483316310"/>
      <w:bookmarkStart w:id="1318" w:name="_Toc483316441"/>
      <w:bookmarkStart w:id="1319" w:name="_Toc483325744"/>
      <w:bookmarkStart w:id="1320" w:name="_Toc483401223"/>
      <w:bookmarkStart w:id="1321" w:name="_Toc483474020"/>
      <w:bookmarkStart w:id="1322" w:name="_Toc483571449"/>
      <w:bookmarkStart w:id="1323" w:name="_Toc483571570"/>
      <w:bookmarkStart w:id="1324" w:name="_Toc483906947"/>
      <w:bookmarkStart w:id="1325" w:name="_Toc484010697"/>
      <w:bookmarkStart w:id="1326" w:name="_Toc484010819"/>
      <w:bookmarkStart w:id="1327" w:name="_Toc484010943"/>
      <w:bookmarkStart w:id="1328" w:name="_Toc484011065"/>
      <w:bookmarkStart w:id="1329" w:name="_Toc484011187"/>
      <w:bookmarkStart w:id="1330" w:name="_Toc484011662"/>
      <w:bookmarkStart w:id="1331" w:name="_Toc484097736"/>
      <w:bookmarkStart w:id="1332" w:name="_Toc484428908"/>
      <w:bookmarkStart w:id="1333" w:name="_Toc484429078"/>
      <w:bookmarkStart w:id="1334" w:name="_Toc484438653"/>
      <w:bookmarkStart w:id="1335" w:name="_Toc484438777"/>
      <w:bookmarkStart w:id="1336" w:name="_Toc484438901"/>
      <w:bookmarkStart w:id="1337" w:name="_Toc484439821"/>
      <w:bookmarkStart w:id="1338" w:name="_Toc484439944"/>
      <w:bookmarkStart w:id="1339" w:name="_Toc484440068"/>
      <w:bookmarkStart w:id="1340" w:name="_Toc484440428"/>
      <w:bookmarkStart w:id="1341" w:name="_Toc484448087"/>
      <w:bookmarkStart w:id="1342" w:name="_Toc484448212"/>
      <w:bookmarkStart w:id="1343" w:name="_Toc484448336"/>
      <w:bookmarkStart w:id="1344" w:name="_Toc484448460"/>
      <w:bookmarkStart w:id="1345" w:name="_Toc484448584"/>
      <w:bookmarkStart w:id="1346" w:name="_Toc484448708"/>
      <w:bookmarkStart w:id="1347" w:name="_Toc484448831"/>
      <w:bookmarkStart w:id="1348" w:name="_Toc484448955"/>
      <w:bookmarkStart w:id="1349" w:name="_Toc484449079"/>
      <w:bookmarkStart w:id="1350" w:name="_Toc484526574"/>
      <w:bookmarkStart w:id="1351" w:name="_Toc484605294"/>
      <w:bookmarkStart w:id="1352" w:name="_Toc484605418"/>
      <w:bookmarkStart w:id="1353" w:name="_Toc484688287"/>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Pr>
          <w:rFonts w:ascii="Titillium" w:hAnsi="Titillium"/>
          <w:sz w:val="18"/>
          <w:szCs w:val="18"/>
        </w:rPr>
        <w:t>REQUISITI DI CAPACITÀ ECONOMICA E FINANZIARIA</w:t>
      </w:r>
      <w:bookmarkEnd w:id="1310"/>
      <w:bookmarkEnd w:id="1311"/>
      <w:r>
        <w:rPr>
          <w:rFonts w:ascii="Titillium" w:hAnsi="Titillium"/>
          <w:sz w:val="18"/>
          <w:szCs w:val="18"/>
        </w:rPr>
        <w:t xml:space="preserve"> </w:t>
      </w:r>
    </w:p>
    <w:p>
      <w:pPr>
        <w:pStyle w:val="ListParagraph"/>
        <w:spacing w:before="60" w:after="60"/>
        <w:ind w:left="0"/>
        <w:contextualSpacing/>
        <w:rPr>
          <w:rFonts w:ascii="Titillium" w:hAnsi="Titillium" w:cs="Arial"/>
          <w:bCs/>
          <w:iCs/>
          <w:sz w:val="18"/>
          <w:szCs w:val="18"/>
        </w:rPr>
      </w:pPr>
      <w:r>
        <w:rPr>
          <w:rFonts w:cs="Arial" w:ascii="Titillium" w:hAnsi="Titillium"/>
          <w:bCs/>
          <w:iCs/>
          <w:sz w:val="18"/>
          <w:szCs w:val="18"/>
        </w:rPr>
        <w:t>La presente procedura di gara non prevede il possesso di requisiti di capacità economica e finanziaria.</w:t>
      </w:r>
    </w:p>
    <w:p>
      <w:pPr>
        <w:pStyle w:val="Heading3"/>
        <w:numPr>
          <w:ilvl w:val="1"/>
          <w:numId w:val="3"/>
        </w:numPr>
        <w:ind w:hanging="426" w:left="426"/>
        <w:rPr>
          <w:rFonts w:ascii="Titillium" w:hAnsi="Titillium"/>
          <w:sz w:val="18"/>
          <w:szCs w:val="18"/>
        </w:rPr>
      </w:pPr>
      <w:bookmarkStart w:id="1354" w:name="_Toc231396668"/>
      <w:bookmarkStart w:id="1355" w:name="_Ref495920623"/>
      <w:bookmarkStart w:id="1356" w:name="_Ref496707577"/>
      <w:bookmarkStart w:id="1357" w:name="_Ref495411584"/>
      <w:bookmarkStart w:id="1358" w:name="_Ref495482769"/>
      <w:bookmarkStart w:id="1359" w:name="_Ref495482790"/>
      <w:bookmarkStart w:id="1360" w:name="_Ref495506173"/>
      <w:r>
        <w:rPr>
          <w:rFonts w:ascii="Titillium" w:hAnsi="Titillium"/>
          <w:sz w:val="18"/>
          <w:szCs w:val="18"/>
        </w:rPr>
        <w:t>REQUISITI DI CAPACITÀ TECNICA E PROFESSIONALE</w:t>
      </w:r>
      <w:bookmarkEnd w:id="1354"/>
      <w:bookmarkEnd w:id="1355"/>
      <w:bookmarkEnd w:id="1356"/>
      <w:bookmarkEnd w:id="1357"/>
      <w:bookmarkEnd w:id="1358"/>
      <w:bookmarkEnd w:id="1359"/>
      <w:bookmarkEnd w:id="1360"/>
    </w:p>
    <w:p>
      <w:pPr>
        <w:pStyle w:val="ListParagraph"/>
        <w:spacing w:before="60" w:after="60"/>
        <w:ind w:left="0"/>
        <w:contextualSpacing/>
        <w:rPr>
          <w:rFonts w:ascii="Titillium" w:hAnsi="Titillium" w:cs="Arial"/>
          <w:bCs/>
          <w:iCs/>
          <w:sz w:val="18"/>
          <w:szCs w:val="18"/>
        </w:rPr>
      </w:pPr>
      <w:r>
        <w:rPr>
          <w:rFonts w:cs="Arial" w:ascii="Titillium" w:hAnsi="Titillium"/>
          <w:bCs/>
          <w:iCs/>
          <w:sz w:val="18"/>
          <w:szCs w:val="18"/>
        </w:rPr>
        <w:t>La presente procedura di gara non prevede il possesso di requisiti di capacità tecnica e professionale.</w:t>
      </w:r>
    </w:p>
    <w:p>
      <w:pPr>
        <w:pStyle w:val="ListParagraph"/>
        <w:spacing w:before="60" w:after="60"/>
        <w:ind w:left="0"/>
        <w:contextualSpacing/>
        <w:rPr>
          <w:rFonts w:ascii="Titillium" w:hAnsi="Titillium" w:cs="Arial"/>
          <w:bCs/>
          <w:iCs/>
          <w:sz w:val="18"/>
          <w:szCs w:val="18"/>
        </w:rPr>
      </w:pPr>
      <w:r>
        <w:rPr>
          <w:rFonts w:cs="Arial" w:ascii="Titillium" w:hAnsi="Titillium"/>
          <w:bCs/>
          <w:iCs/>
          <w:sz w:val="18"/>
          <w:szCs w:val="18"/>
        </w:rPr>
      </w:r>
    </w:p>
    <w:p>
      <w:pPr>
        <w:pStyle w:val="Heading3"/>
        <w:numPr>
          <w:ilvl w:val="1"/>
          <w:numId w:val="3"/>
        </w:numPr>
        <w:ind w:hanging="426" w:left="426"/>
        <w:rPr>
          <w:rFonts w:ascii="Titillium" w:hAnsi="Titillium"/>
          <w:caps/>
          <w:sz w:val="18"/>
          <w:szCs w:val="18"/>
        </w:rPr>
      </w:pPr>
      <w:bookmarkStart w:id="1361" w:name="_Toc231396669"/>
      <w:bookmarkStart w:id="1362" w:name="_Toc497831544"/>
      <w:bookmarkStart w:id="1363" w:name="_Toc498419742"/>
      <w:bookmarkStart w:id="1364" w:name="_Toc498419735"/>
      <w:bookmarkStart w:id="1365" w:name="_Toc498419736"/>
      <w:bookmarkStart w:id="1366" w:name="_Toc498419737"/>
      <w:bookmarkStart w:id="1367" w:name="_Toc498419738"/>
      <w:bookmarkStart w:id="1368" w:name="_Toc498419739"/>
      <w:bookmarkStart w:id="1369" w:name="_Toc498419740"/>
      <w:bookmarkStart w:id="1370" w:name="_Toc497484950"/>
      <w:bookmarkStart w:id="1371" w:name="_Toc497728148"/>
      <w:bookmarkStart w:id="1372" w:name="_Toc497831543"/>
      <w:bookmarkStart w:id="1373" w:name="_Toc498419741"/>
      <w:bookmarkStart w:id="1374" w:name="_Toc483302355"/>
      <w:bookmarkStart w:id="1375" w:name="_Toc483315905"/>
      <w:bookmarkStart w:id="1376" w:name="_Toc483316110"/>
      <w:bookmarkStart w:id="1377" w:name="_Toc483316313"/>
      <w:bookmarkStart w:id="1378" w:name="_Toc483316444"/>
      <w:bookmarkStart w:id="1379" w:name="_Toc483325747"/>
      <w:bookmarkStart w:id="1380" w:name="_Toc483401226"/>
      <w:bookmarkStart w:id="1381" w:name="_Toc483474023"/>
      <w:bookmarkStart w:id="1382" w:name="_Toc483571452"/>
      <w:bookmarkStart w:id="1383" w:name="_Toc483571573"/>
      <w:bookmarkStart w:id="1384" w:name="_Toc483906950"/>
      <w:bookmarkStart w:id="1385" w:name="_Toc484010700"/>
      <w:bookmarkStart w:id="1386" w:name="_Toc484010822"/>
      <w:bookmarkStart w:id="1387" w:name="_Toc484010946"/>
      <w:bookmarkStart w:id="1388" w:name="_Toc484011068"/>
      <w:bookmarkStart w:id="1389" w:name="_Toc484011190"/>
      <w:bookmarkStart w:id="1390" w:name="_Toc484011665"/>
      <w:bookmarkStart w:id="1391" w:name="_Toc484097739"/>
      <w:bookmarkStart w:id="1392" w:name="_Toc484428911"/>
      <w:bookmarkStart w:id="1393" w:name="_Toc484429081"/>
      <w:bookmarkStart w:id="1394" w:name="_Toc484438656"/>
      <w:bookmarkStart w:id="1395" w:name="_Toc484438780"/>
      <w:bookmarkStart w:id="1396" w:name="_Toc484438904"/>
      <w:bookmarkStart w:id="1397" w:name="_Toc484439824"/>
      <w:bookmarkStart w:id="1398" w:name="_Toc484439947"/>
      <w:bookmarkStart w:id="1399" w:name="_Toc484440071"/>
      <w:bookmarkStart w:id="1400" w:name="_Toc484440431"/>
      <w:bookmarkStart w:id="1401" w:name="_Toc484448090"/>
      <w:bookmarkStart w:id="1402" w:name="_Toc484448215"/>
      <w:bookmarkStart w:id="1403" w:name="_Toc484448339"/>
      <w:bookmarkStart w:id="1404" w:name="_Toc484448463"/>
      <w:bookmarkStart w:id="1405" w:name="_Toc484448587"/>
      <w:bookmarkStart w:id="1406" w:name="_Toc484448711"/>
      <w:bookmarkStart w:id="1407" w:name="_Toc484448834"/>
      <w:bookmarkStart w:id="1408" w:name="_Toc484448958"/>
      <w:bookmarkStart w:id="1409" w:name="_Toc484449082"/>
      <w:bookmarkStart w:id="1410" w:name="_Toc484526577"/>
      <w:bookmarkStart w:id="1411" w:name="_Toc484605297"/>
      <w:bookmarkStart w:id="1412" w:name="_Toc484605421"/>
      <w:bookmarkStart w:id="1413" w:name="_Toc484688290"/>
      <w:bookmarkStart w:id="1414" w:name="_Toc484688845"/>
      <w:bookmarkStart w:id="1415" w:name="_Toc485218281"/>
      <w:bookmarkStart w:id="1416" w:name="_Toc483302356"/>
      <w:bookmarkStart w:id="1417" w:name="_Toc483315906"/>
      <w:bookmarkStart w:id="1418" w:name="_Toc483316111"/>
      <w:bookmarkStart w:id="1419" w:name="_Toc483316314"/>
      <w:bookmarkStart w:id="1420" w:name="_Toc483316445"/>
      <w:bookmarkStart w:id="1421" w:name="_Toc483325748"/>
      <w:bookmarkStart w:id="1422" w:name="_Toc483401227"/>
      <w:bookmarkStart w:id="1423" w:name="_Toc483474024"/>
      <w:bookmarkStart w:id="1424" w:name="_Toc483571453"/>
      <w:bookmarkStart w:id="1425" w:name="_Toc483571574"/>
      <w:bookmarkStart w:id="1426" w:name="_Toc483906951"/>
      <w:bookmarkStart w:id="1427" w:name="_Toc484010701"/>
      <w:bookmarkStart w:id="1428" w:name="_Toc484010823"/>
      <w:bookmarkStart w:id="1429" w:name="_Toc484010947"/>
      <w:bookmarkStart w:id="1430" w:name="_Toc484011069"/>
      <w:bookmarkStart w:id="1431" w:name="_Toc484011191"/>
      <w:bookmarkStart w:id="1432" w:name="_Toc484011666"/>
      <w:bookmarkStart w:id="1433" w:name="_Toc484097740"/>
      <w:bookmarkStart w:id="1434" w:name="_Toc484428912"/>
      <w:bookmarkStart w:id="1435" w:name="_Toc484429082"/>
      <w:bookmarkStart w:id="1436" w:name="_Toc484438657"/>
      <w:bookmarkStart w:id="1437" w:name="_Toc484438781"/>
      <w:bookmarkStart w:id="1438" w:name="_Toc484438905"/>
      <w:bookmarkStart w:id="1439" w:name="_Toc484439825"/>
      <w:bookmarkStart w:id="1440" w:name="_Toc484439948"/>
      <w:bookmarkStart w:id="1441" w:name="_Toc484440072"/>
      <w:bookmarkStart w:id="1442" w:name="_Toc484440432"/>
      <w:bookmarkStart w:id="1443" w:name="_Toc484448091"/>
      <w:bookmarkStart w:id="1444" w:name="_Toc484448216"/>
      <w:bookmarkStart w:id="1445" w:name="_Toc484448340"/>
      <w:bookmarkStart w:id="1446" w:name="_Toc484448464"/>
      <w:bookmarkStart w:id="1447" w:name="_Toc484448588"/>
      <w:bookmarkStart w:id="1448" w:name="_Toc484448712"/>
      <w:bookmarkStart w:id="1449" w:name="_Toc484448835"/>
      <w:bookmarkStart w:id="1450" w:name="_Toc484448959"/>
      <w:bookmarkStart w:id="1451" w:name="_Toc484449083"/>
      <w:bookmarkStart w:id="1452" w:name="_Toc484526578"/>
      <w:bookmarkStart w:id="1453" w:name="_Toc484605298"/>
      <w:bookmarkStart w:id="1454" w:name="_Toc484605422"/>
      <w:bookmarkStart w:id="1455" w:name="_Toc484688291"/>
      <w:bookmarkStart w:id="1456" w:name="_Toc484688846"/>
      <w:bookmarkStart w:id="1457" w:name="_Toc485218282"/>
      <w:bookmarkStart w:id="1458" w:name="_Toc483302357"/>
      <w:bookmarkStart w:id="1459" w:name="_Toc483315907"/>
      <w:bookmarkStart w:id="1460" w:name="_Toc483316112"/>
      <w:bookmarkStart w:id="1461" w:name="_Toc483316315"/>
      <w:bookmarkStart w:id="1462" w:name="_Toc483316446"/>
      <w:bookmarkStart w:id="1463" w:name="_Toc483325749"/>
      <w:bookmarkStart w:id="1464" w:name="_Toc483401228"/>
      <w:bookmarkStart w:id="1465" w:name="_Toc483474025"/>
      <w:bookmarkStart w:id="1466" w:name="_Toc483571454"/>
      <w:bookmarkStart w:id="1467" w:name="_Toc483571575"/>
      <w:bookmarkStart w:id="1468" w:name="_Toc483906952"/>
      <w:bookmarkStart w:id="1469" w:name="_Toc484010702"/>
      <w:bookmarkStart w:id="1470" w:name="_Toc484010824"/>
      <w:bookmarkStart w:id="1471" w:name="_Toc484010948"/>
      <w:bookmarkStart w:id="1472" w:name="_Toc484011070"/>
      <w:bookmarkStart w:id="1473" w:name="_Toc484011192"/>
      <w:bookmarkStart w:id="1474" w:name="_Toc484011667"/>
      <w:bookmarkStart w:id="1475" w:name="_Toc484097741"/>
      <w:bookmarkStart w:id="1476" w:name="_Toc484428913"/>
      <w:bookmarkStart w:id="1477" w:name="_Toc484429083"/>
      <w:bookmarkStart w:id="1478" w:name="_Toc484438658"/>
      <w:bookmarkStart w:id="1479" w:name="_Toc484438782"/>
      <w:bookmarkStart w:id="1480" w:name="_Toc484438906"/>
      <w:bookmarkStart w:id="1481" w:name="_Toc484439826"/>
      <w:bookmarkStart w:id="1482" w:name="_Toc484439949"/>
      <w:bookmarkStart w:id="1483" w:name="_Toc484440073"/>
      <w:bookmarkStart w:id="1484" w:name="_Toc484440433"/>
      <w:bookmarkStart w:id="1485" w:name="_Toc484448092"/>
      <w:bookmarkStart w:id="1486" w:name="_Toc484448217"/>
      <w:bookmarkStart w:id="1487" w:name="_Toc484448341"/>
      <w:bookmarkStart w:id="1488" w:name="_Toc484448465"/>
      <w:bookmarkStart w:id="1489" w:name="_Toc484448589"/>
      <w:bookmarkStart w:id="1490" w:name="_Toc484448713"/>
      <w:bookmarkStart w:id="1491" w:name="_Toc484448836"/>
      <w:bookmarkStart w:id="1492" w:name="_Toc484448960"/>
      <w:bookmarkStart w:id="1493" w:name="_Toc484449084"/>
      <w:bookmarkStart w:id="1494" w:name="_Toc484526579"/>
      <w:bookmarkStart w:id="1495" w:name="_Toc484605299"/>
      <w:bookmarkStart w:id="1496" w:name="_Toc484605423"/>
      <w:bookmarkStart w:id="1497" w:name="_Toc484688292"/>
      <w:bookmarkStart w:id="1498" w:name="_Toc484688847"/>
      <w:bookmarkStart w:id="1499" w:name="_Toc485218283"/>
      <w:bookmarkStart w:id="1500" w:name="_Toc483302358"/>
      <w:bookmarkStart w:id="1501" w:name="_Toc483315908"/>
      <w:bookmarkStart w:id="1502" w:name="_Toc483316113"/>
      <w:bookmarkStart w:id="1503" w:name="_Toc483316316"/>
      <w:bookmarkStart w:id="1504" w:name="_Toc483316447"/>
      <w:bookmarkStart w:id="1505" w:name="_Toc483325750"/>
      <w:bookmarkStart w:id="1506" w:name="_Toc483401229"/>
      <w:bookmarkStart w:id="1507" w:name="_Toc483474026"/>
      <w:bookmarkStart w:id="1508" w:name="_Toc483571455"/>
      <w:bookmarkStart w:id="1509" w:name="_Toc483571576"/>
      <w:bookmarkStart w:id="1510" w:name="_Toc483906953"/>
      <w:bookmarkStart w:id="1511" w:name="_Toc484010703"/>
      <w:bookmarkStart w:id="1512" w:name="_Toc484010825"/>
      <w:bookmarkStart w:id="1513" w:name="_Toc484010949"/>
      <w:bookmarkStart w:id="1514" w:name="_Toc484011071"/>
      <w:bookmarkStart w:id="1515" w:name="_Toc484011193"/>
      <w:bookmarkStart w:id="1516" w:name="_Toc484011668"/>
      <w:bookmarkStart w:id="1517" w:name="_Toc484097742"/>
      <w:bookmarkStart w:id="1518" w:name="_Toc484428914"/>
      <w:bookmarkStart w:id="1519" w:name="_Toc484429084"/>
      <w:bookmarkStart w:id="1520" w:name="_Toc484438659"/>
      <w:bookmarkStart w:id="1521" w:name="_Toc484438783"/>
      <w:bookmarkStart w:id="1522" w:name="_Toc484438907"/>
      <w:bookmarkStart w:id="1523" w:name="_Toc484439827"/>
      <w:bookmarkStart w:id="1524" w:name="_Toc484439950"/>
      <w:bookmarkStart w:id="1525" w:name="_Toc484440074"/>
      <w:bookmarkStart w:id="1526" w:name="_Toc484440434"/>
      <w:bookmarkStart w:id="1527" w:name="_Toc484448093"/>
      <w:bookmarkStart w:id="1528" w:name="_Toc484448218"/>
      <w:bookmarkStart w:id="1529" w:name="_Toc484448342"/>
      <w:bookmarkStart w:id="1530" w:name="_Toc484448466"/>
      <w:bookmarkStart w:id="1531" w:name="_Toc484448590"/>
      <w:bookmarkStart w:id="1532" w:name="_Toc484448714"/>
      <w:bookmarkStart w:id="1533" w:name="_Toc484448837"/>
      <w:bookmarkStart w:id="1534" w:name="_Toc484448961"/>
      <w:bookmarkStart w:id="1535" w:name="_Toc484449085"/>
      <w:bookmarkStart w:id="1536" w:name="_Toc484526580"/>
      <w:bookmarkStart w:id="1537" w:name="_Toc484605300"/>
      <w:bookmarkStart w:id="1538" w:name="_Toc484605424"/>
      <w:bookmarkStart w:id="1539" w:name="_Toc484688293"/>
      <w:bookmarkStart w:id="1540" w:name="_Toc484688848"/>
      <w:bookmarkStart w:id="1541" w:name="_Toc485218284"/>
      <w:bookmarkStart w:id="1542" w:name="_Toc483302359"/>
      <w:bookmarkStart w:id="1543" w:name="_Toc483315909"/>
      <w:bookmarkStart w:id="1544" w:name="_Toc483316114"/>
      <w:bookmarkStart w:id="1545" w:name="_Toc483316317"/>
      <w:bookmarkStart w:id="1546" w:name="_Toc483316448"/>
      <w:bookmarkStart w:id="1547" w:name="_Toc483325751"/>
      <w:bookmarkStart w:id="1548" w:name="_Toc483401230"/>
      <w:bookmarkStart w:id="1549" w:name="_Toc483474027"/>
      <w:bookmarkStart w:id="1550" w:name="_Toc483571456"/>
      <w:bookmarkStart w:id="1551" w:name="_Toc483571577"/>
      <w:bookmarkStart w:id="1552" w:name="_Toc483906954"/>
      <w:bookmarkStart w:id="1553" w:name="_Toc484010704"/>
      <w:bookmarkStart w:id="1554" w:name="_Toc484010826"/>
      <w:bookmarkStart w:id="1555" w:name="_Toc484010950"/>
      <w:bookmarkStart w:id="1556" w:name="_Toc484011072"/>
      <w:bookmarkStart w:id="1557" w:name="_Toc484011194"/>
      <w:bookmarkStart w:id="1558" w:name="_Toc484011669"/>
      <w:bookmarkStart w:id="1559" w:name="_Toc484097743"/>
      <w:bookmarkStart w:id="1560" w:name="_Toc484428915"/>
      <w:bookmarkStart w:id="1561" w:name="_Toc484429085"/>
      <w:bookmarkStart w:id="1562" w:name="_Toc484438660"/>
      <w:bookmarkStart w:id="1563" w:name="_Toc484438784"/>
      <w:bookmarkStart w:id="1564" w:name="_Toc484438908"/>
      <w:bookmarkStart w:id="1565" w:name="_Toc484439828"/>
      <w:bookmarkStart w:id="1566" w:name="_Toc484439951"/>
      <w:bookmarkStart w:id="1567" w:name="_Toc484440075"/>
      <w:bookmarkStart w:id="1568" w:name="_Toc484440435"/>
      <w:bookmarkStart w:id="1569" w:name="_Toc484448094"/>
      <w:bookmarkStart w:id="1570" w:name="_Toc484448219"/>
      <w:bookmarkStart w:id="1571" w:name="_Toc484448343"/>
      <w:bookmarkStart w:id="1572" w:name="_Toc484448467"/>
      <w:bookmarkStart w:id="1573" w:name="_Toc484448591"/>
      <w:bookmarkStart w:id="1574" w:name="_Toc484448715"/>
      <w:bookmarkStart w:id="1575" w:name="_Toc484448838"/>
      <w:bookmarkStart w:id="1576" w:name="_Toc484448962"/>
      <w:bookmarkStart w:id="1577" w:name="_Toc484449086"/>
      <w:bookmarkStart w:id="1578" w:name="_Toc484526581"/>
      <w:bookmarkStart w:id="1579" w:name="_Toc484605301"/>
      <w:bookmarkStart w:id="1580" w:name="_Toc484605425"/>
      <w:bookmarkStart w:id="1581" w:name="_Toc484688294"/>
      <w:bookmarkStart w:id="1582" w:name="_Toc484688849"/>
      <w:bookmarkStart w:id="1583" w:name="_Toc485218285"/>
      <w:bookmarkStart w:id="1584" w:name="_Toc497484951"/>
      <w:bookmarkStart w:id="1585" w:name="_Toc497728149"/>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Pr>
          <w:rFonts w:ascii="Titillium" w:hAnsi="Titillium"/>
          <w:sz w:val="18"/>
          <w:szCs w:val="18"/>
        </w:rPr>
        <w:t>INDICAZIONI SUI REQUISITI SPECIALI NEI RAGGRUPPAMENTI TEMPORANEI, CONSORZI ORDINARI, AGGREGAZIONI DI IMPRESE DI RETE, GEIE</w:t>
      </w:r>
      <w:bookmarkEnd w:id="1361"/>
    </w:p>
    <w:p>
      <w:pPr>
        <w:pStyle w:val="Normal"/>
        <w:spacing w:before="60" w:after="60"/>
        <w:rPr>
          <w:rFonts w:ascii="Titillium" w:hAnsi="Titillium" w:cs="Calibri"/>
          <w:sz w:val="18"/>
          <w:szCs w:val="18"/>
        </w:rPr>
      </w:pPr>
      <w:r>
        <w:rPr>
          <w:rFonts w:cs="Calibri" w:ascii="Titillium" w:hAnsi="Titillium"/>
          <w:sz w:val="18"/>
          <w:szCs w:val="18"/>
        </w:rPr>
        <w:t xml:space="preserve">I soggetti di cui all’articolo 65, comma 2, lettera e), f) g) e h) del Codice devono possedere i requisiti di ordine speciale nei termini di seguito indicati. </w:t>
      </w:r>
    </w:p>
    <w:p>
      <w:pPr>
        <w:pStyle w:val="Normal"/>
        <w:spacing w:before="60" w:after="60"/>
        <w:rPr>
          <w:rFonts w:ascii="Titillium" w:hAnsi="Titillium" w:cs="Calibri"/>
          <w:sz w:val="18"/>
          <w:szCs w:val="18"/>
        </w:rPr>
      </w:pPr>
      <w:r>
        <w:rPr>
          <w:rFonts w:cs="Calibri" w:ascii="Titillium" w:hAnsi="Titillium"/>
          <w:sz w:val="18"/>
          <w:szCs w:val="18"/>
        </w:rPr>
        <w:t xml:space="preserve">Alle aggregazioni di retisti, ai consorzi ordinari ed ai GEIE si applica la disciplina prevista per i raggruppamenti temporanei. </w:t>
      </w:r>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rFonts w:ascii="Titillium" w:hAnsi="Titillium"/>
          <w:b/>
          <w:iCs/>
          <w:sz w:val="18"/>
          <w:szCs w:val="18"/>
        </w:rPr>
      </w:pPr>
      <w:r>
        <w:rPr>
          <w:rFonts w:ascii="Titillium" w:hAnsi="Titillium"/>
          <w:b/>
          <w:iCs/>
          <w:sz w:val="18"/>
          <w:szCs w:val="18"/>
        </w:rPr>
        <w:t>Requisiti di idoneità professionale</w:t>
      </w:r>
    </w:p>
    <w:p>
      <w:pPr>
        <w:pStyle w:val="ListParagraph"/>
        <w:numPr>
          <w:ilvl w:val="2"/>
          <w:numId w:val="26"/>
        </w:numPr>
        <w:spacing w:before="60" w:after="60"/>
        <w:contextualSpacing w:val="false"/>
        <w:rPr/>
      </w:pPr>
      <w:r>
        <w:rPr>
          <w:rFonts w:cs="Calibri" w:ascii="Titillium" w:hAnsi="Titillium"/>
          <w:sz w:val="18"/>
          <w:szCs w:val="18"/>
        </w:rPr>
        <w:t>Il requisito relativo all’iscrizione nel Registro delle Imprese oppure nell’Albo delle Imprese artigiane di cui al paragrafo 6.1. lett. a) deve essere posseduto:</w:t>
      </w:r>
    </w:p>
    <w:p>
      <w:pPr>
        <w:pStyle w:val="ListParagraph"/>
        <w:numPr>
          <w:ilvl w:val="0"/>
          <w:numId w:val="24"/>
        </w:numPr>
        <w:spacing w:before="60" w:after="60"/>
        <w:ind w:hanging="360" w:left="709"/>
        <w:contextualSpacing w:val="false"/>
        <w:rPr/>
      </w:pPr>
      <w:r>
        <w:rPr>
          <w:rFonts w:cs="Calibri" w:ascii="Titillium" w:hAnsi="Titillium"/>
          <w:sz w:val="18"/>
          <w:szCs w:val="18"/>
        </w:rPr>
        <w:t>da ciascun componente del raggruppamento/consorzio/GEIE anche da costituire, nonché dal GEIE medesimo;</w:t>
      </w:r>
    </w:p>
    <w:p>
      <w:pPr>
        <w:pStyle w:val="ListParagraph"/>
        <w:numPr>
          <w:ilvl w:val="0"/>
          <w:numId w:val="24"/>
        </w:numPr>
        <w:spacing w:before="60" w:after="60"/>
        <w:ind w:hanging="360" w:left="709"/>
        <w:contextualSpacing w:val="false"/>
        <w:rPr>
          <w:rFonts w:ascii="Titillium" w:hAnsi="Titillium" w:cs="Calibri"/>
          <w:sz w:val="18"/>
          <w:szCs w:val="18"/>
        </w:rPr>
      </w:pPr>
      <w:r>
        <w:rPr>
          <w:rFonts w:cs="Calibri" w:ascii="Titillium" w:hAnsi="Titillium"/>
          <w:sz w:val="18"/>
          <w:szCs w:val="18"/>
        </w:rPr>
        <w:t>da ciascun componente dell’aggregazione di rete nonché dall’organo comune nel caso in cui questi abbia soggettività giuridica.</w:t>
      </w:r>
    </w:p>
    <w:p>
      <w:pPr>
        <w:pStyle w:val="Normal"/>
        <w:spacing w:before="60" w:after="60"/>
        <w:rPr>
          <w:rFonts w:ascii="Titillium" w:hAnsi="Titillium"/>
          <w:sz w:val="18"/>
          <w:szCs w:val="24"/>
        </w:rPr>
      </w:pPr>
      <w:r>
        <w:rPr>
          <w:rFonts w:ascii="Titillium" w:hAnsi="Titillium"/>
          <w:sz w:val="18"/>
          <w:szCs w:val="24"/>
        </w:rPr>
        <w:t xml:space="preserve">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 </w:t>
      </w:r>
    </w:p>
    <w:p>
      <w:pPr>
        <w:pStyle w:val="Normal"/>
        <w:spacing w:before="60" w:after="60"/>
        <w:rPr>
          <w:rFonts w:ascii="Titillium" w:hAnsi="Titillium"/>
          <w:sz w:val="18"/>
          <w:szCs w:val="24"/>
        </w:rPr>
      </w:pPr>
      <w:r>
        <w:rPr>
          <w:rFonts w:ascii="Titillium" w:hAnsi="Titillium"/>
          <w:sz w:val="18"/>
          <w:szCs w:val="24"/>
        </w:rPr>
      </w:r>
    </w:p>
    <w:p>
      <w:pPr>
        <w:pStyle w:val="Heading3"/>
        <w:numPr>
          <w:ilvl w:val="1"/>
          <w:numId w:val="3"/>
        </w:numPr>
        <w:ind w:hanging="426" w:left="426"/>
        <w:rPr>
          <w:rFonts w:ascii="Titillium" w:hAnsi="Titillium"/>
          <w:caps/>
          <w:sz w:val="18"/>
          <w:szCs w:val="18"/>
        </w:rPr>
      </w:pPr>
      <w:bookmarkStart w:id="1586" w:name="_Toc231396670"/>
      <w:bookmarkStart w:id="1587" w:name="_Ref496007650"/>
      <w:bookmarkStart w:id="1588" w:name="_Ref496007652"/>
      <w:bookmarkStart w:id="1589" w:name="_Toc497831546"/>
      <w:bookmarkStart w:id="1590" w:name="_Toc498419744"/>
      <w:bookmarkStart w:id="1591" w:name="_Toc494358983"/>
      <w:bookmarkStart w:id="1592" w:name="_Toc494359032"/>
      <w:bookmarkStart w:id="1593" w:name="_Toc497484953"/>
      <w:bookmarkStart w:id="1594" w:name="_Toc497728151"/>
      <w:bookmarkEnd w:id="1589"/>
      <w:bookmarkEnd w:id="1590"/>
      <w:bookmarkEnd w:id="1591"/>
      <w:bookmarkEnd w:id="1592"/>
      <w:bookmarkEnd w:id="1593"/>
      <w:bookmarkEnd w:id="1594"/>
      <w:r>
        <w:rPr>
          <w:rFonts w:ascii="Titillium" w:hAnsi="Titillium"/>
          <w:sz w:val="18"/>
          <w:szCs w:val="18"/>
        </w:rPr>
        <w:t>INDICAZIONI SUI REQUISITI SPECIALI NEI CONSORZI DI COOPERATIVE, CONSORZI DI IMPRESE ARTIGIANE, CONSORZI STABILI</w:t>
      </w:r>
      <w:bookmarkEnd w:id="1586"/>
      <w:bookmarkEnd w:id="1587"/>
      <w:bookmarkEnd w:id="1588"/>
      <w:r>
        <w:rPr>
          <w:rFonts w:ascii="Titillium" w:hAnsi="Titillium"/>
          <w:sz w:val="18"/>
          <w:szCs w:val="18"/>
        </w:rPr>
        <w:t xml:space="preserve"> </w:t>
      </w:r>
    </w:p>
    <w:p>
      <w:pPr>
        <w:pStyle w:val="Normal"/>
        <w:spacing w:before="60" w:after="60"/>
        <w:rPr>
          <w:rFonts w:ascii="Titillium" w:hAnsi="Titillium"/>
          <w:b/>
          <w:iCs/>
          <w:sz w:val="18"/>
          <w:szCs w:val="18"/>
        </w:rPr>
      </w:pPr>
      <w:r>
        <w:rPr>
          <w:rFonts w:ascii="Titillium" w:hAnsi="Titillium"/>
          <w:b/>
          <w:iCs/>
          <w:sz w:val="18"/>
          <w:szCs w:val="18"/>
        </w:rPr>
        <w:t>Requisiti di idoneità professionale</w:t>
      </w:r>
    </w:p>
    <w:p>
      <w:pPr>
        <w:pStyle w:val="ListParagraph"/>
        <w:numPr>
          <w:ilvl w:val="2"/>
          <w:numId w:val="27"/>
        </w:numPr>
        <w:spacing w:before="60" w:after="60"/>
        <w:contextualSpacing w:val="false"/>
        <w:rPr>
          <w:rFonts w:ascii="Titillium" w:hAnsi="Titillium"/>
          <w:sz w:val="18"/>
          <w:szCs w:val="24"/>
        </w:rPr>
      </w:pPr>
      <w:r>
        <w:rPr>
          <w:rFonts w:cs="Calibri" w:ascii="Titillium" w:hAnsi="Titillium"/>
          <w:sz w:val="18"/>
          <w:szCs w:val="18"/>
        </w:rPr>
        <w:t xml:space="preserve">Il requisito relativo all’iscrizione nel Registro delle Imprese oppure nell’Albo delle Imprese artigiane di cui al paragrafo 6.1. lett. a) deve essere posseduto dal consorzio e dalle consorziate indicate come esecutrici </w:t>
      </w:r>
    </w:p>
    <w:p>
      <w:pPr>
        <w:pStyle w:val="Normal"/>
        <w:spacing w:before="60" w:after="60"/>
        <w:rPr>
          <w:rFonts w:ascii="Titillium" w:hAnsi="Titillium"/>
          <w:sz w:val="18"/>
          <w:szCs w:val="24"/>
        </w:rPr>
      </w:pPr>
      <w:r>
        <w:rPr>
          <w:rFonts w:ascii="Titillium" w:hAnsi="Titillium"/>
          <w:sz w:val="18"/>
          <w:szCs w:val="24"/>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pPr>
        <w:pStyle w:val="Normal"/>
        <w:spacing w:before="60" w:after="60"/>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595" w:name="_Toc231396671"/>
      <w:r>
        <w:rPr/>
        <w:t>AVVALIMENTO</w:t>
      </w:r>
      <w:bookmarkEnd w:id="1595"/>
      <w:r>
        <w:rPr/>
        <w:t xml:space="preserve"> </w:t>
      </w:r>
    </w:p>
    <w:p>
      <w:pPr>
        <w:pStyle w:val="Normal"/>
        <w:tabs>
          <w:tab w:val="clear" w:pos="708"/>
          <w:tab w:val="left" w:pos="0" w:leader="none"/>
        </w:tabs>
        <w:spacing w:before="60" w:after="60"/>
        <w:rPr>
          <w:rFonts w:ascii="Titillium" w:hAnsi="Titillium" w:cs="Calibri"/>
          <w:sz w:val="18"/>
          <w:szCs w:val="18"/>
        </w:rPr>
      </w:pPr>
      <w:r>
        <w:rPr>
          <w:rFonts w:cs="Calibri" w:ascii="Titillium" w:hAnsi="Titillium"/>
          <w:sz w:val="18"/>
          <w:szCs w:val="18"/>
        </w:rPr>
        <w:t>Il concorrente può avvalersi di dotazioni tecniche, risorse umane e strumentali messe a disposizione da uno o più operatori economici ausiliari per dimostrare il possesso dei requisiti di ordine speciale di cui al paragrafo 6 (se previsti) e per migliorare la propria offerta.</w:t>
      </w:r>
    </w:p>
    <w:p>
      <w:pPr>
        <w:pStyle w:val="Normal"/>
        <w:tabs>
          <w:tab w:val="clear" w:pos="708"/>
          <w:tab w:val="left" w:pos="0" w:leader="none"/>
        </w:tabs>
        <w:spacing w:before="60" w:after="60"/>
        <w:rPr>
          <w:rFonts w:ascii="Titillium" w:hAnsi="Titillium" w:cs="Calibri"/>
          <w:sz w:val="18"/>
          <w:szCs w:val="18"/>
        </w:rPr>
      </w:pPr>
      <w:r>
        <w:rPr>
          <w:rFonts w:cs="Calibri" w:ascii="Titillium" w:hAnsi="Titillium"/>
          <w:sz w:val="18"/>
          <w:szCs w:val="18"/>
        </w:rPr>
        <w:t>Nel contratto di avvalimento le parti specificano le risorse strumentali e umane che l’impresa ausiliaria mette a disposizione del concorrente e indicano se l’avvalimento è finalizzato ad acquisire un requisito di partecipazione o a migliorare l’offerta del concorrente, o se serve ad entrambe le finalità.</w:t>
      </w:r>
    </w:p>
    <w:p>
      <w:pPr>
        <w:pStyle w:val="Normal"/>
        <w:spacing w:before="60" w:after="60"/>
        <w:rPr>
          <w:rFonts w:ascii="Titillium" w:hAnsi="Titillium" w:cs="Calibri"/>
          <w:iCs/>
          <w:sz w:val="18"/>
          <w:szCs w:val="18"/>
        </w:rPr>
      </w:pPr>
      <w:r>
        <w:rPr>
          <w:rFonts w:cs="Calibri" w:ascii="Titillium" w:hAnsi="Titillium"/>
          <w:iCs/>
          <w:sz w:val="18"/>
          <w:szCs w:val="18"/>
        </w:rPr>
        <w:t xml:space="preserve">Nel caso di avvalimento finalizzato a migliorare l’offerta, l’impresa ausiliata e l’impresa ausiliaria non possono partecipare alla stessa gara, pena l’esclusione di entrambi i soggetti, salvo che l’impresa ausiliaria non dimostri, facendo ricorso ad </w:t>
      </w:r>
      <w:r>
        <w:rPr>
          <w:rFonts w:cs="Calibri" w:ascii="Titillium" w:hAnsi="Titillium"/>
          <w:sz w:val="18"/>
          <w:szCs w:val="18"/>
        </w:rPr>
        <w:t>idoneo supporto documentale, che non sussistono collegamenti con l‘impresa ausiliata tali da ricondurre entrambe le imprese ad uno stesso centro decisionale.</w:t>
      </w:r>
    </w:p>
    <w:p>
      <w:pPr>
        <w:pStyle w:val="Normal"/>
        <w:spacing w:before="60" w:after="60"/>
        <w:rPr/>
      </w:pPr>
      <w:r>
        <w:rPr>
          <w:rFonts w:cs="Calibri" w:ascii="Titillium" w:hAnsi="Titillium"/>
          <w:sz w:val="18"/>
          <w:szCs w:val="18"/>
        </w:rPr>
        <w:t>Il concorrente e l’impresa ausiliaria sono responsabili in solido nei confronti della stazione appaltante in relazione alle prestazioni oggetto del contratto.</w:t>
      </w:r>
    </w:p>
    <w:p>
      <w:pPr>
        <w:pStyle w:val="Normal"/>
        <w:tabs>
          <w:tab w:val="clear" w:pos="708"/>
          <w:tab w:val="left" w:pos="0" w:leader="none"/>
        </w:tabs>
        <w:spacing w:before="60" w:after="60"/>
        <w:rPr>
          <w:rFonts w:ascii="Titillium" w:hAnsi="Titillium" w:cs="Calibri"/>
          <w:sz w:val="18"/>
          <w:szCs w:val="18"/>
        </w:rPr>
      </w:pPr>
      <w:r>
        <w:rPr>
          <w:rFonts w:cs="Calibri" w:ascii="Titillium" w:hAnsi="Titillium"/>
          <w:sz w:val="18"/>
          <w:szCs w:val="18"/>
        </w:rPr>
        <w:t>Non è consentito l’avvalimento per soddisfare i requisiti di ordine generale e dell’iscrizione alla Camera di commercio.</w:t>
      </w:r>
    </w:p>
    <w:p>
      <w:pPr>
        <w:pStyle w:val="Normal"/>
        <w:spacing w:before="60" w:after="60"/>
        <w:rPr>
          <w:rFonts w:ascii="Titillium" w:hAnsi="Titillium" w:cs="Calibri"/>
          <w:sz w:val="18"/>
          <w:szCs w:val="18"/>
        </w:rPr>
      </w:pPr>
      <w:r>
        <w:rPr>
          <w:rFonts w:cs="Calibri" w:ascii="Titillium" w:hAnsi="Titillium"/>
          <w:sz w:val="18"/>
          <w:szCs w:val="18"/>
        </w:rPr>
        <w:t>L’impresa ausiliaria deve:</w:t>
      </w:r>
    </w:p>
    <w:p>
      <w:pPr>
        <w:pStyle w:val="ListParagraph"/>
        <w:numPr>
          <w:ilvl w:val="2"/>
          <w:numId w:val="13"/>
        </w:numPr>
        <w:spacing w:before="60" w:after="60"/>
        <w:ind w:hanging="360" w:left="709"/>
        <w:contextualSpacing w:val="false"/>
        <w:rPr/>
      </w:pPr>
      <w:r>
        <w:rPr>
          <w:rFonts w:cs="Calibri" w:ascii="Titillium" w:hAnsi="Titillium"/>
          <w:sz w:val="18"/>
          <w:szCs w:val="18"/>
        </w:rPr>
        <w:t xml:space="preserve">possedere i requisiti previsti dall’articolo </w:t>
      </w:r>
      <w:r>
        <w:rPr>
          <w:rFonts w:cs="Calibri" w:ascii="Titillium" w:hAnsi="Titillium"/>
          <w:sz w:val="18"/>
          <w:szCs w:val="18"/>
        </w:rPr>
        <w:fldChar w:fldCharType="begin"/>
      </w:r>
      <w:r>
        <w:rPr>
          <w:rFonts w:cs="Calibri" w:ascii="Titillium" w:hAnsi="Titillium"/>
          <w:sz w:val="18"/>
          <w:szCs w:val="18"/>
        </w:rPr>
        <w:instrText xml:space="preserve"> REF _Ref128477566 \r \r \h </w:instrText>
      </w:r>
      <w:r>
        <w:rPr>
          <w:rFonts w:cs="Calibri" w:ascii="Titillium" w:hAnsi="Titillium"/>
          <w:sz w:val="18"/>
          <w:szCs w:val="18"/>
        </w:rPr>
        <w:fldChar w:fldCharType="separate"/>
      </w:r>
      <w:r>
        <w:rPr>
          <w:rFonts w:cs="Calibri" w:ascii="Titillium" w:hAnsi="Titillium"/>
          <w:sz w:val="18"/>
          <w:szCs w:val="18"/>
        </w:rPr>
        <w:t>5</w:t>
      </w:r>
      <w:r>
        <w:rPr>
          <w:rFonts w:cs="Calibri" w:ascii="Titillium" w:hAnsi="Titillium"/>
          <w:sz w:val="18"/>
          <w:szCs w:val="18"/>
        </w:rPr>
        <w:fldChar w:fldCharType="end"/>
      </w:r>
      <w:r>
        <w:rPr>
          <w:rFonts w:cs="Calibri" w:ascii="Titillium" w:hAnsi="Titillium"/>
          <w:sz w:val="18"/>
          <w:szCs w:val="18"/>
        </w:rPr>
        <w:t xml:space="preserve"> e dichiararli presentando un proprio DGUE, da compilare nelle parti pertinenti;</w:t>
      </w:r>
    </w:p>
    <w:p>
      <w:pPr>
        <w:pStyle w:val="ListParagraph"/>
        <w:numPr>
          <w:ilvl w:val="2"/>
          <w:numId w:val="13"/>
        </w:numPr>
        <w:spacing w:before="60" w:after="60"/>
        <w:ind w:hanging="360" w:left="709"/>
        <w:contextualSpacing w:val="false"/>
        <w:rPr/>
      </w:pPr>
      <w:r>
        <w:rPr>
          <w:rFonts w:cs="Calibri" w:ascii="Titillium" w:hAnsi="Titillium"/>
          <w:sz w:val="18"/>
          <w:szCs w:val="18"/>
        </w:rPr>
        <w:t xml:space="preserve">possedere i requisiti i di cui all’articolo 6 oggetto di avvalimento e dichiararli nel proprio DGUE, da compilare nelle parti pertinenti; </w:t>
      </w:r>
    </w:p>
    <w:p>
      <w:pPr>
        <w:pStyle w:val="ListParagraph"/>
        <w:numPr>
          <w:ilvl w:val="2"/>
          <w:numId w:val="13"/>
        </w:numPr>
        <w:spacing w:before="60" w:after="60"/>
        <w:ind w:hanging="360" w:left="709"/>
        <w:contextualSpacing w:val="false"/>
        <w:rPr/>
      </w:pPr>
      <w:r>
        <w:rPr>
          <w:rFonts w:cs="Calibri" w:ascii="Titillium" w:hAnsi="Titillium"/>
          <w:sz w:val="18"/>
          <w:szCs w:val="18"/>
        </w:rPr>
        <w:t xml:space="preserve">impegnarsi, verso il concorrente che si avvale e verso la stazione appaltante, a mettere a disposizione, per tutta la durata dell’appalto, le risorse (riferite a requisiti di partecipazione e/o premiali) oggetto di avvalimento. </w:t>
      </w:r>
    </w:p>
    <w:p>
      <w:pPr>
        <w:pStyle w:val="Normal"/>
        <w:spacing w:before="60" w:after="60"/>
        <w:rPr>
          <w:rFonts w:ascii="Titillium" w:hAnsi="Titillium" w:cs="Calibri"/>
          <w:sz w:val="18"/>
          <w:szCs w:val="18"/>
        </w:rPr>
      </w:pPr>
      <w:r>
        <w:rPr>
          <w:rFonts w:cs="Calibri" w:ascii="Titillium" w:hAnsi="Titillium"/>
          <w:sz w:val="18"/>
          <w:szCs w:val="18"/>
        </w:rPr>
        <w:t>Le dichiarazioni dell’ausiliaria sono allegate alla domanda di partecipazione.</w:t>
      </w:r>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rFonts w:ascii="Titillium" w:hAnsi="Titillium" w:cs="Calibri"/>
          <w:b/>
          <w:bCs/>
          <w:i/>
          <w:iCs/>
          <w:sz w:val="18"/>
          <w:szCs w:val="18"/>
          <w:u w:val="single"/>
        </w:rPr>
      </w:pPr>
      <w:r>
        <w:rPr>
          <w:rFonts w:cs="Calibri" w:ascii="Titillium" w:hAnsi="Titillium"/>
          <w:sz w:val="18"/>
          <w:szCs w:val="18"/>
        </w:rPr>
        <w:t xml:space="preserve">Il concorrente allega alla domanda di partecipazione il contratto di avvalimento e </w:t>
      </w:r>
      <w:r>
        <w:rPr>
          <w:rFonts w:cs="Calibri" w:ascii="Titillium" w:hAnsi="Titillium"/>
          <w:sz w:val="18"/>
          <w:szCs w:val="18"/>
          <w:u w:val="single"/>
        </w:rPr>
        <w:t>allega all’offerta tecnica il contratto di avvalimento premiale.</w:t>
      </w:r>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rFonts w:ascii="Titillium" w:hAnsi="Titillium" w:cs="Calibri"/>
          <w:sz w:val="18"/>
          <w:szCs w:val="18"/>
        </w:rPr>
      </w:pPr>
      <w:r>
        <w:rPr>
          <w:rFonts w:cs="Calibri" w:ascii="Titillium" w:hAnsi="Titillium"/>
          <w:sz w:val="18"/>
          <w:szCs w:val="18"/>
        </w:rPr>
        <w:t>Il contratto di avvalimento deve essere nativo digitale e firmato digitalmente dalle parti.</w:t>
      </w:r>
    </w:p>
    <w:p>
      <w:pPr>
        <w:pStyle w:val="Normal"/>
        <w:spacing w:before="60" w:after="60"/>
        <w:rPr>
          <w:rFonts w:ascii="Titillium" w:hAnsi="Titillium" w:cs="Calibri"/>
          <w:sz w:val="18"/>
          <w:szCs w:val="18"/>
        </w:rPr>
      </w:pPr>
      <w:r>
        <w:rPr>
          <w:rFonts w:cs="Calibri" w:ascii="Titillium" w:hAnsi="Titillium"/>
          <w:sz w:val="18"/>
          <w:szCs w:val="18"/>
        </w:rPr>
        <w:t>È sanabile, mediante soccorso istruttorio, la mancata produzione delle dichiarazioni dell’ausiliario.</w:t>
      </w:r>
    </w:p>
    <w:p>
      <w:pPr>
        <w:pStyle w:val="Normal"/>
        <w:spacing w:before="60" w:after="60"/>
        <w:rPr>
          <w:rFonts w:ascii="Titillium" w:hAnsi="Titillium" w:cs="Calibri"/>
          <w:sz w:val="18"/>
          <w:szCs w:val="18"/>
        </w:rPr>
      </w:pPr>
      <w:r>
        <w:rPr>
          <w:rFonts w:cs="Calibri" w:ascii="Titillium" w:hAnsi="Titillium"/>
          <w:sz w:val="18"/>
          <w:szCs w:val="18"/>
        </w:rPr>
        <w:t>È sanabile, mediante soccorso istruttorio, la mancata produzione del contratto di avvalimento a condizione che il contratto sia stato stipulato prima del termine di presentazione dell’offerta e che tale circostanza sia comprovabile con data certa.</w:t>
      </w:r>
    </w:p>
    <w:p>
      <w:pPr>
        <w:pStyle w:val="Normal"/>
        <w:spacing w:before="60" w:after="60"/>
        <w:rPr>
          <w:rFonts w:ascii="Titillium" w:hAnsi="Titillium" w:cs="Calibri"/>
          <w:sz w:val="18"/>
          <w:szCs w:val="18"/>
        </w:rPr>
      </w:pPr>
      <w:r>
        <w:rPr>
          <w:rFonts w:cs="Calibri" w:ascii="Titillium" w:hAnsi="Titillium"/>
          <w:sz w:val="18"/>
          <w:szCs w:val="18"/>
        </w:rPr>
        <w:t>Non è sanabile la mancata indicazione delle risorse messe a disposizione dall’ausiliario in quanto causa di nullità del contratto di avvalimento.</w:t>
      </w:r>
    </w:p>
    <w:p>
      <w:pPr>
        <w:pStyle w:val="Normal"/>
        <w:spacing w:before="60" w:after="60"/>
        <w:rPr/>
      </w:pPr>
      <w:r>
        <w:rPr>
          <w:rFonts w:cs="Calibri" w:ascii="Titillium" w:hAnsi="Titillium"/>
          <w:sz w:val="18"/>
          <w:szCs w:val="18"/>
        </w:rPr>
        <w:t xml:space="preserve">Qualora per l’impresa ausiliaria sussistano motivi di esclusione o laddove essa non soddisfi i requisiti di ordine speciale, il concorrente sostituisce l’impresa ausiliaria entro 10 giorni decorrenti dal ricevimento della richiesta da parte della stazione appaltante. Contestualmente il concorrente produce i documenti richiesti per l’avvalimento. </w:t>
      </w:r>
    </w:p>
    <w:p>
      <w:pPr>
        <w:pStyle w:val="Normal"/>
        <w:tabs>
          <w:tab w:val="clear" w:pos="708"/>
          <w:tab w:val="left" w:pos="0" w:leader="none"/>
        </w:tabs>
        <w:spacing w:before="60" w:after="60"/>
        <w:rPr>
          <w:rFonts w:ascii="Titillium" w:hAnsi="Titillium" w:cs="Calibri"/>
          <w:sz w:val="18"/>
          <w:szCs w:val="18"/>
        </w:rPr>
      </w:pPr>
      <w:r>
        <w:rPr>
          <w:rFonts w:cs="Calibri" w:ascii="Titillium" w:hAnsi="Titillium"/>
          <w:sz w:val="18"/>
          <w:szCs w:val="18"/>
        </w:rPr>
        <w:t>Nel caso in cui l’impresa ausiliaria si sia resa responsabile di una falsa dichiarazione sul possesso dei requisiti, la stazione appaltante procede a segnalare all’Autorità nazionale anticorruzione il comportamento tenuto dall’impresa ausiliaria per consentire le valutazioni di cui all’articolo 96, comma 15, del Codice. L’operatore economico può indicare un’altra impresa ausiliaria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pPr>
        <w:pStyle w:val="Normal"/>
        <w:tabs>
          <w:tab w:val="clear" w:pos="708"/>
          <w:tab w:val="left" w:pos="0" w:leader="none"/>
        </w:tabs>
        <w:spacing w:before="60" w:after="60"/>
        <w:rPr/>
      </w:pPr>
      <w:r>
        <w:rPr/>
      </w:r>
    </w:p>
    <w:p>
      <w:pPr>
        <w:pStyle w:val="Heading2"/>
        <w:numPr>
          <w:ilvl w:val="0"/>
          <w:numId w:val="3"/>
        </w:numPr>
        <w:rPr/>
      </w:pPr>
      <w:bookmarkStart w:id="1596" w:name="_Toc231396672"/>
      <w:bookmarkStart w:id="1597" w:name="_Toc406754176"/>
      <w:bookmarkStart w:id="1598" w:name="_Toc416423361"/>
      <w:bookmarkStart w:id="1599" w:name="_Toc354038180"/>
      <w:bookmarkStart w:id="1600" w:name="_Toc380501869"/>
      <w:bookmarkStart w:id="1601" w:name="_Toc391035982"/>
      <w:bookmarkStart w:id="1602" w:name="_Toc391036055"/>
      <w:bookmarkStart w:id="1603" w:name="_Toc392577496"/>
      <w:bookmarkStart w:id="1604" w:name="_Toc393110563"/>
      <w:bookmarkStart w:id="1605" w:name="_Toc393112127"/>
      <w:bookmarkStart w:id="1606" w:name="_Toc393187844"/>
      <w:bookmarkStart w:id="1607" w:name="_Toc393272600"/>
      <w:bookmarkStart w:id="1608" w:name="_Toc393272658"/>
      <w:bookmarkStart w:id="1609" w:name="_Toc393283174"/>
      <w:bookmarkStart w:id="1610" w:name="_Toc393700833"/>
      <w:bookmarkStart w:id="1611" w:name="_Toc393706906"/>
      <w:bookmarkStart w:id="1612" w:name="_Toc397346821"/>
      <w:bookmarkStart w:id="1613" w:name="_Toc397422862"/>
      <w:bookmarkStart w:id="1614" w:name="_Toc403471269"/>
      <w:bookmarkStart w:id="1615" w:name="_Toc406058375"/>
      <w:r>
        <w:rPr/>
        <w:t>SUBAPPALTO</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pPr>
        <w:pStyle w:val="Normal"/>
        <w:spacing w:before="60" w:after="60"/>
        <w:rPr/>
      </w:pPr>
      <w:r>
        <w:rPr>
          <w:rFonts w:cs="Calibri" w:ascii="Titillium" w:hAnsi="Titillium"/>
          <w:sz w:val="18"/>
          <w:szCs w:val="18"/>
        </w:rPr>
        <w:t xml:space="preserve">Il concorrente indica le prestazioni che intende subappaltare o concedere in cottimo. In caso di mancata indicazione il subappalto è vietato. </w:t>
      </w:r>
    </w:p>
    <w:p>
      <w:pPr>
        <w:pStyle w:val="Normal"/>
        <w:spacing w:before="60" w:after="60"/>
        <w:rPr>
          <w:rFonts w:ascii="Titillium" w:hAnsi="Titillium" w:cs="Calibri"/>
          <w:sz w:val="18"/>
          <w:szCs w:val="18"/>
        </w:rPr>
      </w:pPr>
      <w:r>
        <w:rPr>
          <w:rFonts w:cs="Calibri" w:ascii="Titillium" w:hAnsi="Titillium"/>
          <w:sz w:val="18"/>
          <w:szCs w:val="18"/>
        </w:rPr>
        <w:t>Non può essere affidata in subappalto l’integrale esecuzione delle prestazioni oggetto del contratto nonché la prevalente esecuzione delle medesime.</w:t>
      </w:r>
    </w:p>
    <w:p>
      <w:pPr>
        <w:pStyle w:val="Normal"/>
        <w:rPr>
          <w:rFonts w:ascii="Titillium" w:hAnsi="Titillium" w:cs="Calibri"/>
          <w:sz w:val="18"/>
          <w:szCs w:val="18"/>
        </w:rPr>
      </w:pPr>
      <w:r>
        <w:rPr>
          <w:rFonts w:cs="Calibri" w:ascii="Titillium" w:hAnsi="Titillium"/>
          <w:sz w:val="18"/>
          <w:szCs w:val="18"/>
        </w:rPr>
        <w:t>L’aggiudicatario e il subappaltatore sono responsabili in solido nei confronti della stazione appaltante dell’esecuzione delle prestazioni oggetto del contratto di subappalto.</w:t>
      </w:r>
    </w:p>
    <w:p>
      <w:pPr>
        <w:pStyle w:val="Normal"/>
        <w:rPr>
          <w:rFonts w:ascii="Titillium" w:hAnsi="Titillium" w:cs="Calibri"/>
          <w:sz w:val="18"/>
          <w:szCs w:val="18"/>
        </w:rPr>
      </w:pPr>
      <w:r>
        <w:rPr>
          <w:rFonts w:cs="Calibri" w:ascii="Titillium" w:hAnsi="Titillium"/>
          <w:sz w:val="18"/>
          <w:szCs w:val="18"/>
        </w:rPr>
      </w:r>
    </w:p>
    <w:p>
      <w:pPr>
        <w:pStyle w:val="Heading2"/>
        <w:numPr>
          <w:ilvl w:val="0"/>
          <w:numId w:val="3"/>
        </w:numPr>
        <w:rPr>
          <w:rFonts w:cs="Calibri"/>
        </w:rPr>
      </w:pPr>
      <w:bookmarkStart w:id="1616" w:name="_Toc231396673"/>
      <w:bookmarkStart w:id="1617" w:name="_Ref132050689"/>
      <w:r>
        <w:rPr/>
        <w:t>REQUISITI DI PARTECIPAZIONE E/O CONDIZIONI DI ESECUZIONE</w:t>
      </w:r>
      <w:bookmarkEnd w:id="1616"/>
      <w:bookmarkEnd w:id="1617"/>
      <w:r>
        <w:rPr/>
        <w:t xml:space="preserve"> </w:t>
      </w:r>
    </w:p>
    <w:p>
      <w:pPr>
        <w:pStyle w:val="Normal"/>
        <w:spacing w:before="60" w:after="60"/>
        <w:rPr>
          <w:rFonts w:ascii="Titillium" w:hAnsi="Titillium" w:cs="Calibri"/>
          <w:sz w:val="18"/>
          <w:szCs w:val="18"/>
        </w:rPr>
      </w:pPr>
      <w:bookmarkStart w:id="1618" w:name="_Toc483571640"/>
      <w:bookmarkStart w:id="1619" w:name="_Toc483907018"/>
      <w:bookmarkStart w:id="1620" w:name="_Toc482641321"/>
      <w:bookmarkStart w:id="1621" w:name="_Toc482712767"/>
      <w:bookmarkStart w:id="1622" w:name="_Toc482959555"/>
      <w:bookmarkStart w:id="1623" w:name="_Toc482959665"/>
      <w:bookmarkStart w:id="1624" w:name="_Toc482959775"/>
      <w:bookmarkStart w:id="1625" w:name="_Toc482978894"/>
      <w:bookmarkStart w:id="1626" w:name="_Toc482979003"/>
      <w:bookmarkStart w:id="1627" w:name="_Toc482979111"/>
      <w:bookmarkStart w:id="1628" w:name="_Toc482979222"/>
      <w:bookmarkStart w:id="1629" w:name="_Toc482979331"/>
      <w:bookmarkStart w:id="1630" w:name="_Toc482979440"/>
      <w:bookmarkStart w:id="1631" w:name="_Toc482979548"/>
      <w:bookmarkStart w:id="1632" w:name="_Toc482979646"/>
      <w:bookmarkStart w:id="1633" w:name="_Toc482979744"/>
      <w:bookmarkStart w:id="1634" w:name="_Toc483233704"/>
      <w:bookmarkStart w:id="1635" w:name="_Toc483302431"/>
      <w:bookmarkStart w:id="1636" w:name="_Toc483316052"/>
      <w:bookmarkStart w:id="1637" w:name="_Toc483316257"/>
      <w:bookmarkStart w:id="1638" w:name="_Toc483316389"/>
      <w:bookmarkStart w:id="1639" w:name="_Toc483316520"/>
      <w:bookmarkStart w:id="1640" w:name="_Toc483325813"/>
      <w:bookmarkStart w:id="1641" w:name="_Toc483401291"/>
      <w:bookmarkStart w:id="1642" w:name="_Toc483474087"/>
      <w:bookmarkStart w:id="1643" w:name="_Toc483571518"/>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Pr>
          <w:rFonts w:ascii="Titillium" w:hAnsi="Titillium"/>
          <w:sz w:val="18"/>
          <w:szCs w:val="18"/>
        </w:rPr>
        <w:t>L</w:t>
      </w:r>
      <w:r>
        <w:rPr>
          <w:rFonts w:cs="Calibri" w:ascii="Titillium" w:hAnsi="Titillium"/>
          <w:sz w:val="18"/>
          <w:szCs w:val="18"/>
        </w:rPr>
        <w:t>’aggiudicatario è tenuto a garantire l’applicazione del contratto collettivo nazionale e territoriale di cui al paragrafo 3. In alternativa, l’aggiudicatario è tenuto a garantire l’applicazione di un altro contratto che garantisca le stesse tutele economiche e normative per i propri lavoratori e per quelli in subappalto</w:t>
      </w:r>
      <w:r>
        <w:rPr>
          <w:rFonts w:cs="Calibri" w:ascii="Titillium" w:hAnsi="Titillium"/>
          <w:b/>
          <w:sz w:val="18"/>
          <w:szCs w:val="18"/>
        </w:rPr>
        <w:t>.</w:t>
      </w:r>
    </w:p>
    <w:p>
      <w:pPr>
        <w:pStyle w:val="Normal"/>
        <w:rPr>
          <w:shd w:fill="FFFFFF" w:val="clear"/>
        </w:rPr>
      </w:pPr>
      <w:r>
        <w:rPr>
          <w:rFonts w:ascii="Titillium" w:hAnsi="Titillium"/>
          <w:sz w:val="18"/>
          <w:szCs w:val="18"/>
          <w:shd w:fill="FFFFFF" w:val="clear"/>
        </w:rPr>
        <w:t>Ferma restando la necessaria armonizzazione con la propria organizzazione e con le esigenze tecnico-organizzative e di manodopera previste nel nuovo contratto, l’aggiudicatario del contratto di appalto è tenuto a garantire la stabilità occupazionale del personale impiegato nel contratto, assorbendo prioritariamente nel proprio organico il personale già operante alle dipendenze dell’aggiudicatario uscente, garantendo le stesse tutele del CCNL indicato al paragrafo 3.</w:t>
      </w:r>
    </w:p>
    <w:p>
      <w:pPr>
        <w:pStyle w:val="Normal"/>
        <w:rPr>
          <w:shd w:fill="FFFFFF" w:val="clear"/>
        </w:rPr>
      </w:pPr>
      <w:r>
        <w:rPr>
          <w:rFonts w:ascii="Titillium" w:hAnsi="Titillium"/>
          <w:sz w:val="18"/>
          <w:szCs w:val="18"/>
          <w:shd w:fill="FFFFFF" w:val="clear"/>
        </w:rPr>
        <w:t>L’elenco e i dati relativi al personale attualmente impiegato dal contraente uscente per l’esecuzione del contratto sono riportati nell’Allegato A1 e A2 – Dati del personale per clausola sociale e contiene il numero degli addetti impiegati complessivamente in precedente contratto, con indicazione dei lavoratori svantaggiati ai sensi della legge n. 381/91, qualifica, livelli anzianità, sede di lavoro, monte ore, etc.</w:t>
      </w:r>
    </w:p>
    <w:p>
      <w:pPr>
        <w:pStyle w:val="Normal"/>
        <w:spacing w:before="0" w:after="120"/>
        <w:rPr>
          <w:rFonts w:ascii="Titillium" w:hAnsi="Titillium" w:cs="Calibri"/>
          <w:sz w:val="18"/>
          <w:szCs w:val="18"/>
        </w:rPr>
      </w:pPr>
      <w:r>
        <w:rPr>
          <w:rFonts w:cs="Calibri" w:ascii="Titillium" w:hAnsi="Titillium"/>
          <w:sz w:val="18"/>
          <w:szCs w:val="18"/>
        </w:rPr>
      </w:r>
    </w:p>
    <w:p>
      <w:pPr>
        <w:pStyle w:val="Normal"/>
        <w:rPr>
          <w:rFonts w:ascii="Titillium" w:hAnsi="Titillium"/>
          <w:sz w:val="18"/>
          <w:szCs w:val="18"/>
          <w:shd w:fill="FFFFFF" w:val="clear"/>
        </w:rPr>
      </w:pPr>
      <w:r>
        <w:rPr>
          <w:rFonts w:ascii="Titillium" w:hAnsi="Titillium"/>
          <w:sz w:val="18"/>
          <w:szCs w:val="18"/>
          <w:shd w:fill="FFFFFF" w:val="clear"/>
        </w:rPr>
        <w:t xml:space="preserve">Gli operatori economici che occupano </w:t>
      </w:r>
      <w:r>
        <w:rPr>
          <w:rFonts w:ascii="Titillium" w:hAnsi="Titillium"/>
          <w:b/>
          <w:bCs/>
          <w:sz w:val="18"/>
          <w:szCs w:val="18"/>
          <w:shd w:fill="FFFFFF" w:val="clear"/>
        </w:rPr>
        <w:t>oltre cinquanta dipendenti</w:t>
      </w:r>
      <w:r>
        <w:rPr>
          <w:rFonts w:ascii="Titillium" w:hAnsi="Titillium"/>
          <w:sz w:val="18"/>
          <w:szCs w:val="18"/>
          <w:shd w:fill="FFFFFF" w:val="clear"/>
        </w:rPr>
        <w:t>, s’impegnano a consegnare al momento della presentazione dell'offerta, copia dell'ultimo rapporto periodico 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rFonts w:ascii="Titillium" w:hAnsi="Titillium" w:cs="Calibri"/>
          <w:sz w:val="18"/>
          <w:szCs w:val="18"/>
        </w:rPr>
      </w:pPr>
      <w:r>
        <w:rPr>
          <w:rFonts w:cs="Calibri" w:ascii="Titillium" w:hAnsi="Titillium"/>
          <w:sz w:val="18"/>
          <w:szCs w:val="18"/>
        </w:rPr>
        <w:t>Il concorrente si impegna in caso di aggiudicazione del contratto, ad assicurare assunzioni, eventualmente necessarie per l’esecuzione del contratto o per la realizzazione delle attività ad esso connesse o strumentali, di personale giovanile e femminile nella misura del 30%;</w:t>
      </w:r>
    </w:p>
    <w:p>
      <w:pPr>
        <w:pStyle w:val="Normal"/>
        <w:spacing w:before="60" w:after="60"/>
        <w:rPr>
          <w:rFonts w:ascii="Titillium" w:hAnsi="Titillium" w:cs="Calibri"/>
          <w:sz w:val="18"/>
          <w:szCs w:val="18"/>
        </w:rPr>
      </w:pPr>
      <w:r>
        <w:rPr>
          <w:rFonts w:cs="Calibri" w:ascii="Titillium" w:hAnsi="Titillium"/>
          <w:sz w:val="18"/>
          <w:szCs w:val="18"/>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alibri"/>
          <w:sz w:val="18"/>
          <w:szCs w:val="18"/>
        </w:rPr>
      </w:pPr>
      <w:r>
        <w:rPr>
          <w:rFonts w:cs="Courier New" w:ascii="Titillium" w:hAnsi="Titillium"/>
          <w:sz w:val="18"/>
          <w:szCs w:val="18"/>
        </w:rPr>
        <w:t xml:space="preserve">Gli operatori economici che occupano un numero </w:t>
      </w:r>
      <w:r>
        <w:rPr>
          <w:rFonts w:cs="Courier New" w:ascii="Titillium" w:hAnsi="Titillium"/>
          <w:b/>
          <w:bCs/>
          <w:sz w:val="18"/>
          <w:szCs w:val="18"/>
        </w:rPr>
        <w:t>pari o superiore a quindici dipendenti e non superiore a cinquanta</w:t>
      </w:r>
      <w:r>
        <w:rPr>
          <w:rFonts w:cs="Courier New" w:ascii="Titillium" w:hAnsi="Titillium"/>
          <w:sz w:val="18"/>
          <w:szCs w:val="18"/>
        </w:rPr>
        <w:t>,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Pr>
          <w:rFonts w:cs="Calibri" w:ascii="Titillium" w:hAnsi="Titillium"/>
          <w:sz w:val="18"/>
          <w:szCs w:val="18"/>
        </w:rPr>
        <w:t>.</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alibri"/>
          <w:sz w:val="18"/>
          <w:szCs w:val="18"/>
        </w:rPr>
      </w:pPr>
      <w:r>
        <w:rPr>
          <w:rFonts w:cs="Calibri" w:ascii="Titillium" w:hAnsi="Titillium"/>
          <w:sz w:val="18"/>
          <w:szCs w:val="18"/>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ourier New"/>
          <w:sz w:val="18"/>
          <w:szCs w:val="18"/>
        </w:rPr>
      </w:pPr>
      <w:r>
        <w:rPr>
          <w:rFonts w:cs="Courier New" w:ascii="Titillium" w:hAnsi="Titillium"/>
          <w:sz w:val="18"/>
          <w:szCs w:val="18"/>
        </w:rPr>
        <w:t xml:space="preserve">Gli operatori economici che occupano un numero di dipendenti </w:t>
      </w:r>
      <w:r>
        <w:rPr>
          <w:rFonts w:cs="Courier New" w:ascii="Titillium" w:hAnsi="Titillium"/>
          <w:b/>
          <w:bCs/>
          <w:sz w:val="18"/>
          <w:szCs w:val="18"/>
        </w:rPr>
        <w:t>pari o superiore a quindici</w:t>
      </w:r>
      <w:r>
        <w:rPr>
          <w:rFonts w:cs="Courier New" w:ascii="Titillium" w:hAnsi="Titillium"/>
          <w:sz w:val="18"/>
          <w:szCs w:val="18"/>
        </w:rPr>
        <w:t xml:space="preserve">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ourier New"/>
          <w:sz w:val="18"/>
          <w:szCs w:val="18"/>
        </w:rPr>
      </w:pPr>
      <w:r>
        <w:rPr>
          <w:rFonts w:cs="Courier New" w:ascii="Titillium" w:hAnsi="Titillium"/>
          <w:sz w:val="18"/>
          <w:szCs w:val="18"/>
        </w:rPr>
      </w:r>
    </w:p>
    <w:p>
      <w:pPr>
        <w:pStyle w:val="Heading3"/>
        <w:rPr>
          <w:rFonts w:ascii="Titillium" w:hAnsi="Titillium"/>
          <w:sz w:val="18"/>
          <w:szCs w:val="18"/>
        </w:rPr>
      </w:pPr>
      <w:bookmarkStart w:id="1644" w:name="_Toc231396674"/>
      <w:bookmarkStart w:id="1645" w:name="_Toc207275741"/>
      <w:r>
        <w:rPr>
          <w:rFonts w:ascii="Titillium" w:hAnsi="Titillium"/>
          <w:sz w:val="18"/>
          <w:szCs w:val="18"/>
        </w:rPr>
        <w:t>9.1 SOVVENZIONI ESTERE DISTORSIVE</w:t>
      </w:r>
      <w:bookmarkEnd w:id="1644"/>
      <w:bookmarkEnd w:id="1645"/>
      <w:r>
        <w:rPr>
          <w:rFonts w:ascii="Titillium" w:hAnsi="Titillium"/>
          <w:sz w:val="18"/>
          <w:szCs w:val="18"/>
        </w:rPr>
        <w:t xml:space="preserve">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ourier New"/>
          <w:sz w:val="18"/>
          <w:szCs w:val="18"/>
        </w:rPr>
      </w:pPr>
      <w:r>
        <w:rPr>
          <w:rFonts w:cs="Courier New" w:ascii="Titillium" w:hAnsi="Titillium"/>
          <w:sz w:val="18"/>
          <w:szCs w:val="18"/>
        </w:rPr>
        <w:t>La presente procedura non rientra nel campo di applicabilità della norma.</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646" w:name="_Toc231396675"/>
      <w:bookmarkStart w:id="1647" w:name="_Ref531346843"/>
      <w:bookmarkStart w:id="1648" w:name="_Ref531346857"/>
      <w:bookmarkStart w:id="1649" w:name="_Ref531264739"/>
      <w:r>
        <w:rPr/>
        <w:t>GARANZIA PROVVISORIA</w:t>
      </w:r>
      <w:bookmarkEnd w:id="1646"/>
      <w:bookmarkEnd w:id="1647"/>
      <w:bookmarkEnd w:id="1648"/>
      <w:bookmarkEnd w:id="1649"/>
    </w:p>
    <w:p>
      <w:pPr>
        <w:pStyle w:val="Normal"/>
        <w:spacing w:before="60" w:after="60"/>
        <w:rPr>
          <w:rFonts w:ascii="Titillium" w:hAnsi="Titillium" w:cs="Calibri"/>
          <w:sz w:val="18"/>
          <w:szCs w:val="18"/>
        </w:rPr>
      </w:pPr>
      <w:r>
        <w:rPr>
          <w:rFonts w:cs="Calibri" w:ascii="Titillium" w:hAnsi="Titillium"/>
          <w:sz w:val="18"/>
          <w:szCs w:val="18"/>
        </w:rPr>
        <w:t>L’offerta è corredata, a pena di esclusione,</w:t>
      </w:r>
      <w:r>
        <w:rPr>
          <w:rFonts w:cs="Calibri" w:ascii="Titillium" w:hAnsi="Titillium"/>
          <w:b/>
          <w:sz w:val="18"/>
          <w:szCs w:val="18"/>
        </w:rPr>
        <w:t xml:space="preserve"> </w:t>
      </w:r>
      <w:r>
        <w:rPr>
          <w:rFonts w:cs="Calibri" w:ascii="Titillium" w:hAnsi="Titillium"/>
          <w:sz w:val="18"/>
          <w:szCs w:val="18"/>
        </w:rPr>
        <w:t xml:space="preserve">da una garanzia provvisoria pari al </w:t>
      </w:r>
      <w:r>
        <w:rPr>
          <w:rFonts w:cs="Calibri" w:ascii="Titillium" w:hAnsi="Titillium"/>
          <w:iCs/>
          <w:sz w:val="18"/>
          <w:szCs w:val="18"/>
        </w:rPr>
        <w:t>2% del valore complessivo dell’appalto ovvero altra percentuale ai sensi dell’articolo 106, comma 1 del Codice</w:t>
      </w:r>
      <w:r>
        <w:rPr>
          <w:rFonts w:cs="Calibri" w:ascii="Titillium" w:hAnsi="Titillium"/>
          <w:i/>
          <w:sz w:val="18"/>
          <w:szCs w:val="18"/>
        </w:rPr>
        <w:t xml:space="preserve"> </w:t>
      </w:r>
      <w:r>
        <w:rPr>
          <w:rFonts w:cs="Calibri" w:ascii="Titillium" w:hAnsi="Titillium"/>
          <w:sz w:val="18"/>
          <w:szCs w:val="18"/>
        </w:rPr>
        <w:t>e precisamente di importo pari ad</w:t>
      </w:r>
      <w:r>
        <w:rPr>
          <w:rFonts w:cs="Calibri" w:ascii="Titillium" w:hAnsi="Titillium"/>
          <w:b/>
          <w:bCs/>
          <w:sz w:val="18"/>
          <w:szCs w:val="18"/>
          <w:u w:val="single"/>
          <w:shd w:fill="FFFFFF" w:val="clear"/>
        </w:rPr>
        <w:t xml:space="preserve"> € 23.132,67</w:t>
      </w:r>
      <w:r>
        <w:rPr>
          <w:rFonts w:cs="Calibri" w:ascii="Titillium" w:hAnsi="Titillium"/>
          <w:sz w:val="18"/>
          <w:szCs w:val="18"/>
        </w:rPr>
        <w:t>, costituita in data certa anteriore al termine di presentazione delle offerte, resa a favore della presente stazione appaltante e sottoscritta da un soggetto legittimato a rilasciare la garanzia e ad impegnare il concorrente.  Si applicano le riduzioni di cui all’articolo 106, comma 8 del Codice.</w:t>
      </w:r>
    </w:p>
    <w:p>
      <w:pPr>
        <w:pStyle w:val="Normal"/>
        <w:spacing w:before="120" w:after="60"/>
        <w:rPr/>
      </w:pPr>
      <w:r>
        <w:rPr>
          <w:rFonts w:cs="Calibri" w:ascii="Titillium" w:hAnsi="Titillium"/>
          <w:sz w:val="18"/>
          <w:szCs w:val="18"/>
        </w:rPr>
        <w:t>La garanzia provvisoria è costituita, a scelta del concorrente sotto forma di cauzione o di fideiussione.</w:t>
      </w:r>
    </w:p>
    <w:p>
      <w:pPr>
        <w:pStyle w:val="Normal"/>
        <w:spacing w:before="60" w:after="60"/>
        <w:rPr>
          <w:rFonts w:ascii="Titillium" w:hAnsi="Titillium" w:cs="Calibri"/>
          <w:sz w:val="18"/>
          <w:szCs w:val="18"/>
        </w:rPr>
      </w:pPr>
      <w:r>
        <w:rPr>
          <w:rFonts w:cs="Calibri" w:ascii="Titillium" w:hAnsi="Titillium"/>
          <w:sz w:val="18"/>
          <w:szCs w:val="18"/>
        </w:rPr>
        <w:t xml:space="preserve">La cauzione è costituita mediante accredito, con bonifico o con altri strumenti e canali di pagamento elettronici, presso il conto il Tesoriere dell’Azienda Unità Sanitaria Locale di Bologna – Intesa San Paolo spa: codice IBAN IT96D0306902520100000046027. </w:t>
      </w:r>
    </w:p>
    <w:p>
      <w:pPr>
        <w:pStyle w:val="Normal"/>
        <w:spacing w:before="60" w:after="60"/>
        <w:rPr>
          <w:rFonts w:ascii="Titillium" w:hAnsi="Titillium" w:cs="Calibri"/>
          <w:sz w:val="18"/>
          <w:szCs w:val="18"/>
        </w:rPr>
      </w:pPr>
      <w:r>
        <w:rPr>
          <w:rFonts w:cs="Calibri" w:ascii="Titillium" w:hAnsi="Titillium"/>
          <w:sz w:val="18"/>
          <w:szCs w:val="18"/>
        </w:rPr>
        <w:t xml:space="preserve">Per depositi cauzionali il codice Ente assegnato all’Azienda da parte del Tesoriere è il 1040039 con sottoconto IT29S0306902520100000300028 collegato al codice IBAN indicato. </w:t>
      </w:r>
    </w:p>
    <w:p>
      <w:pPr>
        <w:pStyle w:val="Normal"/>
        <w:spacing w:before="60" w:after="60"/>
        <w:rPr>
          <w:rFonts w:ascii="Titillium" w:hAnsi="Titillium" w:cs="Calibri"/>
          <w:sz w:val="18"/>
          <w:szCs w:val="18"/>
        </w:rPr>
      </w:pPr>
      <w:r>
        <w:rPr>
          <w:rFonts w:cs="Calibri" w:ascii="Titillium" w:hAnsi="Titillium"/>
          <w:sz w:val="18"/>
          <w:szCs w:val="18"/>
        </w:rPr>
        <w:t>Per pagamenti provenienti dall’estero, Codice BIC: BCITITMM.</w:t>
      </w:r>
    </w:p>
    <w:p>
      <w:pPr>
        <w:pStyle w:val="Normal"/>
        <w:spacing w:before="60" w:after="60"/>
        <w:rPr>
          <w:rFonts w:ascii="Titillium" w:hAnsi="Titillium" w:cs="Calibri"/>
          <w:sz w:val="18"/>
          <w:szCs w:val="24"/>
        </w:rPr>
      </w:pPr>
      <w:r>
        <w:rPr>
          <w:rFonts w:cs="Calibri" w:ascii="Titillium" w:hAnsi="Titillium"/>
          <w:sz w:val="18"/>
          <w:szCs w:val="24"/>
        </w:rPr>
        <w:t>La fideiussione può essere rilasciata:</w:t>
      </w:r>
    </w:p>
    <w:p>
      <w:pPr>
        <w:pStyle w:val="ListParagraph"/>
        <w:numPr>
          <w:ilvl w:val="1"/>
          <w:numId w:val="13"/>
        </w:numPr>
        <w:spacing w:before="60" w:after="60"/>
        <w:ind w:hanging="360" w:left="426"/>
        <w:contextualSpacing w:val="false"/>
        <w:rPr/>
      </w:pPr>
      <w:r>
        <w:rPr>
          <w:rFonts w:cs="Calibri" w:ascii="Titillium" w:hAnsi="Titillium"/>
          <w:sz w:val="18"/>
          <w:szCs w:val="24"/>
        </w:rPr>
        <w:t>da imprese bancarie o assicurative che rispondono ai requisiti di solvibilità previsti dalle leggi che ne disciplinano le rispettive attività;</w:t>
      </w:r>
    </w:p>
    <w:p>
      <w:pPr>
        <w:pStyle w:val="ListParagraph"/>
        <w:numPr>
          <w:ilvl w:val="1"/>
          <w:numId w:val="13"/>
        </w:numPr>
        <w:spacing w:before="60" w:after="60"/>
        <w:ind w:hanging="360" w:left="426"/>
        <w:contextualSpacing w:val="false"/>
        <w:rPr/>
      </w:pPr>
      <w:r>
        <w:rPr>
          <w:rFonts w:cs="Calibri" w:ascii="Titillium" w:hAnsi="Titillium"/>
          <w:sz w:val="18"/>
          <w:szCs w:val="24"/>
        </w:rPr>
        <w:t>da un intermediario finanziario iscritto nell'albo di cui all'</w:t>
      </w:r>
      <w:r>
        <w:fldChar w:fldCharType="begin"/>
      </w:r>
      <w:r>
        <w:rPr>
          <w:rStyle w:val="Style"/>
          <w:rFonts w:cs="Calibri" w:ascii="Titillium" w:hAnsi="Titillium"/>
          <w:sz w:val="18"/>
          <w:szCs w:val="24"/>
        </w:rPr>
        <w:instrText xml:space="preserve"> HYPERLINK "https://www.bosettiegatti.eu/info/norme/statali/1993_0385.htm" \l "107"</w:instrText>
      </w:r>
      <w:r>
        <w:rPr>
          <w:rStyle w:val="Style"/>
          <w:rFonts w:cs="Calibri" w:ascii="Titillium" w:hAnsi="Titillium"/>
          <w:sz w:val="18"/>
          <w:szCs w:val="24"/>
        </w:rPr>
        <w:fldChar w:fldCharType="separate"/>
      </w:r>
      <w:r>
        <w:rPr>
          <w:rStyle w:val="Style"/>
          <w:rFonts w:cs="Calibri" w:ascii="Titillium" w:hAnsi="Titillium"/>
          <w:sz w:val="18"/>
          <w:szCs w:val="24"/>
        </w:rPr>
        <w:t>articolo 106 del decreto legislativo 1 settembre 1993, n. 385</w:t>
      </w:r>
      <w:r>
        <w:rPr>
          <w:rStyle w:val="Style"/>
          <w:rFonts w:cs="Calibri" w:ascii="Titillium" w:hAnsi="Titillium"/>
          <w:sz w:val="18"/>
          <w:szCs w:val="24"/>
        </w:rPr>
        <w:fldChar w:fldCharType="end"/>
      </w:r>
      <w:r>
        <w:rPr>
          <w:rFonts w:ascii="Titillium" w:hAnsi="Titillium"/>
          <w:sz w:val="18"/>
          <w:szCs w:val="18"/>
        </w:rPr>
        <w:t xml:space="preserve">, che </w:t>
      </w:r>
      <w:r>
        <w:rPr>
          <w:rFonts w:cs="Calibri" w:ascii="Titillium" w:hAnsi="Titillium"/>
          <w:sz w:val="18"/>
          <w:szCs w:val="18"/>
        </w:rPr>
        <w:t>svolge</w:t>
      </w:r>
      <w:r>
        <w:rPr>
          <w:rFonts w:cs="Calibri" w:ascii="Titillium" w:hAnsi="Titillium"/>
          <w:sz w:val="18"/>
          <w:szCs w:val="24"/>
        </w:rPr>
        <w:t xml:space="preserv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pPr>
        <w:pStyle w:val="Normal"/>
        <w:spacing w:before="60" w:after="60"/>
        <w:rPr>
          <w:rFonts w:ascii="Titillium" w:hAnsi="Titillium" w:cs="Calibri"/>
          <w:sz w:val="18"/>
          <w:szCs w:val="24"/>
        </w:rPr>
      </w:pPr>
      <w:r>
        <w:rPr>
          <w:rFonts w:cs="Calibri" w:ascii="Titillium" w:hAnsi="Titillium"/>
          <w:sz w:val="18"/>
          <w:szCs w:val="24"/>
        </w:rPr>
      </w:r>
    </w:p>
    <w:p>
      <w:pPr>
        <w:pStyle w:val="Normal"/>
        <w:spacing w:before="60" w:after="60"/>
        <w:rPr>
          <w:rFonts w:ascii="Titillium" w:hAnsi="Titillium" w:cs="Calibri"/>
          <w:sz w:val="18"/>
          <w:szCs w:val="24"/>
        </w:rPr>
      </w:pPr>
      <w:r>
        <w:rPr>
          <w:rFonts w:cs="Calibri" w:ascii="Titillium" w:hAnsi="Titillium"/>
          <w:sz w:val="18"/>
          <w:szCs w:val="24"/>
        </w:rPr>
        <w:t xml:space="preserve">Gli operatori economici, prima di procedere alla sottoscrizione della garanzia, sono tenuti a verificare che il soggetto garante sia in possesso dell’autorizzazione al rilascio di garanzie, seguendo le indicazioni fornite nella Comunicazione congiunta della Banca D’Italia, dell’Istituto per la vigilanza sulle assicurazioni e dell’Autorità Nazionale Anticorruzione pubblicata il 18 luglio 2025 e consultabile al seguente link: </w:t>
      </w:r>
      <w:hyperlink r:id="rId3">
        <w:r>
          <w:rPr>
            <w:rStyle w:val="Hyperlink"/>
            <w:rFonts w:cs="Calibri" w:ascii="Titillium" w:hAnsi="Titillium"/>
            <w:sz w:val="18"/>
            <w:szCs w:val="24"/>
          </w:rPr>
          <w:t>https://www.anticorruzione.it/-/news.garanzie.finanziarie.18.07.2025</w:t>
        </w:r>
      </w:hyperlink>
      <w:r>
        <w:rPr>
          <w:rFonts w:cs="Calibri" w:ascii="Titillium" w:hAnsi="Titillium"/>
          <w:sz w:val="18"/>
          <w:szCs w:val="24"/>
        </w:rPr>
        <w:t xml:space="preserve">. </w:t>
      </w:r>
    </w:p>
    <w:p>
      <w:pPr>
        <w:pStyle w:val="Normal"/>
        <w:spacing w:before="60" w:after="60"/>
        <w:rPr>
          <w:rFonts w:ascii="Titillium" w:hAnsi="Titillium" w:cs="Calibri"/>
          <w:sz w:val="18"/>
          <w:szCs w:val="24"/>
        </w:rPr>
      </w:pPr>
      <w:r>
        <w:rPr>
          <w:rFonts w:cs="Calibri" w:ascii="Titillium" w:hAnsi="Titillium"/>
          <w:sz w:val="18"/>
          <w:szCs w:val="24"/>
        </w:rPr>
        <w:t xml:space="preserve">La garanzia fideiussoria deve essere emessa e firmata digitalmente da un soggetto in possesso dei poteri necessari per impegnare il garante. </w:t>
      </w:r>
    </w:p>
    <w:p>
      <w:pPr>
        <w:pStyle w:val="Normal"/>
        <w:spacing w:before="60" w:after="60"/>
        <w:ind w:left="66"/>
        <w:rPr>
          <w:rFonts w:ascii="Titillium" w:hAnsi="Titillium" w:cs="Calibri"/>
          <w:sz w:val="18"/>
          <w:szCs w:val="24"/>
        </w:rPr>
      </w:pPr>
      <w:r>
        <w:rPr>
          <w:rFonts w:cs="Calibri" w:ascii="Titillium" w:hAnsi="Titillium"/>
          <w:sz w:val="18"/>
          <w:szCs w:val="24"/>
        </w:rPr>
        <w:t>L’operatore economico può, alternativamente:</w:t>
      </w:r>
    </w:p>
    <w:p>
      <w:pPr>
        <w:pStyle w:val="ListParagraph"/>
        <w:numPr>
          <w:ilvl w:val="1"/>
          <w:numId w:val="34"/>
        </w:numPr>
        <w:spacing w:before="60" w:after="60"/>
        <w:ind w:hanging="360" w:left="426"/>
        <w:contextualSpacing/>
        <w:rPr>
          <w:rFonts w:ascii="Titillium" w:hAnsi="Titillium" w:cs="Calibri"/>
          <w:sz w:val="18"/>
          <w:szCs w:val="24"/>
        </w:rPr>
      </w:pPr>
      <w:r>
        <w:rPr>
          <w:rFonts w:cs="Calibri" w:ascii="Titillium" w:hAnsi="Titillium"/>
          <w:sz w:val="18"/>
          <w:szCs w:val="24"/>
        </w:rPr>
        <w:t>presentare una garanzia fideiussoria gestita in tutte le fasi mediante ricorso ad una piattaforma, operante con tecnologie basate su registri distribuiti o su registri elettronici, conforme alle caratteristiche stabilite dall’AgID;</w:t>
      </w:r>
    </w:p>
    <w:p>
      <w:pPr>
        <w:pStyle w:val="ListParagraph"/>
        <w:numPr>
          <w:ilvl w:val="1"/>
          <w:numId w:val="34"/>
        </w:numPr>
        <w:spacing w:before="60" w:after="60"/>
        <w:ind w:hanging="360" w:left="426"/>
        <w:contextualSpacing/>
        <w:rPr>
          <w:rFonts w:ascii="Titillium" w:hAnsi="Titillium" w:cs="Calibri"/>
          <w:sz w:val="18"/>
          <w:szCs w:val="24"/>
        </w:rPr>
      </w:pPr>
      <w:r>
        <w:rPr>
          <w:rFonts w:cs="Calibri" w:ascii="Titillium" w:hAnsi="Titillium"/>
          <w:sz w:val="18"/>
          <w:szCs w:val="24"/>
        </w:rPr>
        <w:t xml:space="preserve">presentare una garanzia fideiussoria verificabile telematicamente presso l’emittente; </w:t>
      </w:r>
    </w:p>
    <w:p>
      <w:pPr>
        <w:pStyle w:val="Normal"/>
        <w:spacing w:before="60" w:after="60"/>
        <w:ind w:left="66"/>
        <w:rPr>
          <w:rFonts w:ascii="Titillium" w:hAnsi="Titillium" w:cs="Calibri"/>
          <w:sz w:val="18"/>
          <w:szCs w:val="24"/>
        </w:rPr>
      </w:pPr>
      <w:r>
        <w:rPr>
          <w:rFonts w:cs="Calibri" w:ascii="Titillium" w:hAnsi="Titillium"/>
          <w:sz w:val="18"/>
          <w:szCs w:val="24"/>
        </w:rPr>
        <w:t xml:space="preserve">indicando nella domanda le modalità di verifica messe a disposizione dall’emittente medesimo. </w:t>
      </w:r>
    </w:p>
    <w:p>
      <w:pPr>
        <w:pStyle w:val="Normal"/>
        <w:spacing w:before="60" w:after="60"/>
        <w:rPr>
          <w:rFonts w:ascii="Titillium" w:hAnsi="Titillium" w:cs="Calibri"/>
          <w:sz w:val="18"/>
          <w:szCs w:val="18"/>
        </w:rPr>
      </w:pPr>
      <w:r>
        <w:rPr>
          <w:rFonts w:cs="Calibri" w:ascii="Titillium" w:hAnsi="Titillium"/>
          <w:sz w:val="18"/>
          <w:szCs w:val="18"/>
        </w:rPr>
      </w:r>
    </w:p>
    <w:p>
      <w:pPr>
        <w:pStyle w:val="Normal"/>
        <w:spacing w:before="60" w:after="60"/>
        <w:rPr/>
      </w:pPr>
      <w:r>
        <w:rPr>
          <w:rFonts w:cs="Calibri" w:ascii="Titillium" w:hAnsi="Titillium"/>
          <w:sz w:val="18"/>
          <w:szCs w:val="18"/>
        </w:rPr>
        <w:t>La fideiussione deve:</w:t>
      </w:r>
    </w:p>
    <w:p>
      <w:pPr>
        <w:pStyle w:val="Normal"/>
        <w:numPr>
          <w:ilvl w:val="2"/>
          <w:numId w:val="20"/>
        </w:numPr>
        <w:spacing w:before="60" w:after="60"/>
        <w:ind w:hanging="284" w:left="284"/>
        <w:rPr>
          <w:rFonts w:ascii="Titillium" w:hAnsi="Titillium" w:cs="Calibri"/>
          <w:sz w:val="18"/>
          <w:szCs w:val="18"/>
        </w:rPr>
      </w:pPr>
      <w:r>
        <w:rPr>
          <w:rFonts w:cs="Calibri" w:ascii="Titillium" w:hAnsi="Titillium"/>
          <w:sz w:val="18"/>
          <w:szCs w:val="18"/>
        </w:rPr>
        <w:t>contenere espressa menzione dell’oggetto del contratto di appalto e del soggetto garantito (stazione appaltante);</w:t>
      </w:r>
    </w:p>
    <w:p>
      <w:pPr>
        <w:pStyle w:val="Normal"/>
        <w:numPr>
          <w:ilvl w:val="2"/>
          <w:numId w:val="20"/>
        </w:numPr>
        <w:spacing w:before="60" w:after="60"/>
        <w:ind w:hanging="284" w:left="284"/>
        <w:rPr>
          <w:rFonts w:ascii="Titillium" w:hAnsi="Titillium" w:cs="Calibri"/>
          <w:sz w:val="18"/>
          <w:szCs w:val="18"/>
        </w:rPr>
      </w:pPr>
      <w:r>
        <w:rPr>
          <w:rFonts w:cs="Calibri" w:ascii="Titillium" w:hAnsi="Titillium"/>
          <w:sz w:val="18"/>
          <w:szCs w:val="18"/>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pPr>
        <w:pStyle w:val="Normal"/>
        <w:numPr>
          <w:ilvl w:val="2"/>
          <w:numId w:val="20"/>
        </w:numPr>
        <w:spacing w:before="60" w:after="60"/>
        <w:ind w:hanging="284" w:left="284"/>
        <w:rPr>
          <w:rFonts w:ascii="Titillium" w:hAnsi="Titillium" w:cs="Calibri"/>
          <w:sz w:val="18"/>
          <w:szCs w:val="18"/>
        </w:rPr>
      </w:pPr>
      <w:r>
        <w:rPr>
          <w:rFonts w:cs="Calibri" w:ascii="Titillium" w:hAnsi="Titillium"/>
          <w:sz w:val="18"/>
          <w:szCs w:val="18"/>
        </w:rPr>
        <w:t>essere conforme allo schema tipo approvato con decreto del Ministro dello sviluppo economico del 16 settembre 2022 n. 193;</w:t>
      </w:r>
    </w:p>
    <w:p>
      <w:pPr>
        <w:pStyle w:val="Normal"/>
        <w:numPr>
          <w:ilvl w:val="2"/>
          <w:numId w:val="20"/>
        </w:numPr>
        <w:spacing w:before="60" w:after="60"/>
        <w:ind w:hanging="284" w:left="284"/>
        <w:rPr/>
      </w:pPr>
      <w:r>
        <w:rPr>
          <w:rFonts w:cs="Calibri" w:ascii="Titillium" w:hAnsi="Titillium"/>
          <w:sz w:val="18"/>
          <w:szCs w:val="18"/>
        </w:rPr>
        <w:t xml:space="preserve">avere validità per </w:t>
      </w:r>
      <w:r>
        <w:rPr>
          <w:rFonts w:cs="Calibri" w:ascii="Titillium" w:hAnsi="Titillium"/>
          <w:iCs/>
          <w:sz w:val="18"/>
          <w:szCs w:val="18"/>
        </w:rPr>
        <w:t>180</w:t>
      </w:r>
      <w:r>
        <w:rPr>
          <w:rFonts w:cs="Calibri" w:ascii="Titillium" w:hAnsi="Titillium"/>
          <w:i/>
          <w:sz w:val="18"/>
          <w:szCs w:val="18"/>
        </w:rPr>
        <w:t xml:space="preserve"> </w:t>
      </w:r>
      <w:r>
        <w:rPr>
          <w:rFonts w:cs="Calibri" w:ascii="Titillium" w:hAnsi="Titillium"/>
          <w:sz w:val="18"/>
          <w:szCs w:val="18"/>
        </w:rPr>
        <w:t>giorni</w:t>
      </w:r>
      <w:r>
        <w:rPr>
          <w:rFonts w:cs="Calibri" w:ascii="Titillium" w:hAnsi="Titillium"/>
          <w:i/>
          <w:sz w:val="18"/>
          <w:szCs w:val="18"/>
        </w:rPr>
        <w:t xml:space="preserve"> </w:t>
      </w:r>
      <w:r>
        <w:rPr>
          <w:rFonts w:cs="Calibri" w:ascii="Titillium" w:hAnsi="Titillium"/>
          <w:sz w:val="18"/>
          <w:szCs w:val="18"/>
        </w:rPr>
        <w:t xml:space="preserve">dalla data di presentazione dell’offerta; </w:t>
      </w:r>
    </w:p>
    <w:p>
      <w:pPr>
        <w:pStyle w:val="Normal"/>
        <w:numPr>
          <w:ilvl w:val="2"/>
          <w:numId w:val="20"/>
        </w:numPr>
        <w:spacing w:before="60" w:after="60"/>
        <w:ind w:hanging="284" w:left="284"/>
        <w:rPr>
          <w:rFonts w:ascii="Titillium" w:hAnsi="Titillium" w:cs="Calibri"/>
          <w:sz w:val="18"/>
          <w:szCs w:val="18"/>
        </w:rPr>
      </w:pPr>
      <w:r>
        <w:rPr>
          <w:rFonts w:cs="Calibri" w:ascii="Titillium" w:hAnsi="Titillium"/>
          <w:sz w:val="18"/>
          <w:szCs w:val="18"/>
        </w:rPr>
        <w:t xml:space="preserve">prevedere espressamente: </w:t>
      </w:r>
    </w:p>
    <w:p>
      <w:pPr>
        <w:pStyle w:val="Normal"/>
        <w:numPr>
          <w:ilvl w:val="3"/>
          <w:numId w:val="20"/>
        </w:numPr>
        <w:spacing w:before="60" w:after="60"/>
        <w:ind w:hanging="425" w:left="709"/>
        <w:rPr>
          <w:rFonts w:ascii="Titillium" w:hAnsi="Titillium" w:cs="Calibri"/>
          <w:sz w:val="18"/>
          <w:szCs w:val="18"/>
        </w:rPr>
      </w:pPr>
      <w:r>
        <w:rPr>
          <w:rFonts w:cs="Calibri" w:ascii="Titillium" w:hAnsi="Titillium"/>
          <w:sz w:val="18"/>
          <w:szCs w:val="18"/>
        </w:rPr>
        <w:t xml:space="preserve">la rinuncia al beneficio della preventiva escussione del debitore principale di cui all’articolo 1944 del Codice civile; </w:t>
      </w:r>
    </w:p>
    <w:p>
      <w:pPr>
        <w:pStyle w:val="Normal"/>
        <w:numPr>
          <w:ilvl w:val="3"/>
          <w:numId w:val="20"/>
        </w:numPr>
        <w:spacing w:before="60" w:after="60"/>
        <w:ind w:hanging="425" w:left="709"/>
        <w:rPr>
          <w:rFonts w:ascii="Titillium" w:hAnsi="Titillium" w:cs="Calibri"/>
          <w:sz w:val="18"/>
          <w:szCs w:val="18"/>
        </w:rPr>
      </w:pPr>
      <w:r>
        <w:rPr>
          <w:rFonts w:cs="Calibri" w:ascii="Titillium" w:hAnsi="Titillium"/>
          <w:sz w:val="18"/>
          <w:szCs w:val="18"/>
        </w:rPr>
        <w:t xml:space="preserve">la rinuncia ad eccepire la decorrenza dei termini di cui all’articolo 1957, secondo comma, del Codice civile; </w:t>
      </w:r>
    </w:p>
    <w:p>
      <w:pPr>
        <w:pStyle w:val="Normal"/>
        <w:numPr>
          <w:ilvl w:val="3"/>
          <w:numId w:val="20"/>
        </w:numPr>
        <w:spacing w:before="60" w:after="60"/>
        <w:ind w:hanging="425" w:left="709"/>
        <w:rPr/>
      </w:pPr>
      <w:r>
        <w:rPr>
          <w:rFonts w:cs="Calibri" w:ascii="Titillium" w:hAnsi="Titillium"/>
          <w:sz w:val="18"/>
          <w:szCs w:val="18"/>
        </w:rPr>
        <w:t xml:space="preserve">l’operatività della stessa entro quindici giorni a semplice richiesta scritta della stazione appaltante. </w:t>
      </w:r>
    </w:p>
    <w:p>
      <w:pPr>
        <w:pStyle w:val="Normal"/>
        <w:numPr>
          <w:ilvl w:val="0"/>
          <w:numId w:val="21"/>
        </w:numPr>
        <w:spacing w:before="60" w:after="60"/>
        <w:ind w:hanging="284" w:left="284"/>
        <w:rPr/>
      </w:pPr>
      <w:bookmarkStart w:id="1650" w:name="_Ref496519438"/>
      <w:r>
        <w:rPr>
          <w:rFonts w:cs="Calibri" w:ascii="Titillium" w:hAnsi="Titillium"/>
          <w:sz w:val="18"/>
          <w:szCs w:val="18"/>
        </w:rPr>
        <w:t>essere corredata dall’impegno del garante a rinnovare la garanzia ai sensi dell’articolo 106, comma 5 del Codice, su richiesta della stazione appaltante per ulteriori 180 giorni, nel caso in cui al momento della sua scadenza non sia ancora intervenuta l’aggiudicazione</w:t>
      </w:r>
      <w:bookmarkEnd w:id="1650"/>
      <w:r>
        <w:rPr>
          <w:rFonts w:cs="Calibri" w:ascii="Titillium" w:hAnsi="Titillium"/>
          <w:sz w:val="18"/>
          <w:szCs w:val="18"/>
        </w:rPr>
        <w:t>.</w:t>
      </w:r>
    </w:p>
    <w:p>
      <w:pPr>
        <w:pStyle w:val="Normal"/>
        <w:spacing w:before="120" w:after="60"/>
        <w:rPr/>
      </w:pPr>
      <w:r>
        <w:rPr>
          <w:rFonts w:cs="Calibri" w:ascii="Titillium" w:hAnsi="Titillium"/>
          <w:sz w:val="18"/>
          <w:szCs w:val="18"/>
        </w:rPr>
        <w:t xml:space="preserve">In caso di richiesta di estensione della durata e validità dell’offerta e della garanzia fideiussoria, il concorrente </w:t>
      </w:r>
      <w:r>
        <w:rPr>
          <w:rFonts w:cs="Calibri" w:ascii="Titillium" w:hAnsi="Titillium"/>
          <w:color w:themeColor="text1" w:val="000000"/>
          <w:sz w:val="18"/>
          <w:szCs w:val="18"/>
        </w:rPr>
        <w:t xml:space="preserve">potrà produrre </w:t>
      </w:r>
      <w:r>
        <w:rPr>
          <w:rFonts w:cs="Calibri" w:ascii="Titillium" w:hAnsi="Titillium"/>
          <w:sz w:val="18"/>
          <w:szCs w:val="18"/>
        </w:rPr>
        <w:t>nelle medesime forme di cui sopra una nuova garanzia provvisoria del medesimo o di altro garante, in sostituzione della precedente, a condizione che abbia espressa decorrenza dalla data di presentazione dell’offerta.</w:t>
      </w:r>
    </w:p>
    <w:p>
      <w:pPr>
        <w:pStyle w:val="Normal"/>
        <w:spacing w:before="60" w:after="60"/>
        <w:rPr>
          <w:rFonts w:ascii="Titillium" w:hAnsi="Titillium" w:cs="Calibri"/>
          <w:sz w:val="18"/>
          <w:szCs w:val="18"/>
        </w:rPr>
      </w:pPr>
      <w:r>
        <w:rPr>
          <w:rFonts w:cs="Calibri" w:ascii="Titillium" w:hAnsi="Titillium"/>
          <w:sz w:val="18"/>
          <w:szCs w:val="18"/>
        </w:rPr>
        <w:t>Ai sensi dell’articolo 106, comma 8, del Codice l’importo della garanzia è ridotto nei termini di seguito indicati.</w:t>
      </w:r>
    </w:p>
    <w:p>
      <w:pPr>
        <w:pStyle w:val="ListParagraph"/>
        <w:numPr>
          <w:ilvl w:val="1"/>
          <w:numId w:val="29"/>
        </w:numPr>
        <w:spacing w:before="60" w:after="60"/>
        <w:ind w:hanging="360" w:left="284"/>
        <w:contextualSpacing w:val="false"/>
        <w:rPr>
          <w:rFonts w:ascii="Titillium" w:hAnsi="Titillium" w:cs="Calibri"/>
          <w:sz w:val="18"/>
          <w:szCs w:val="18"/>
        </w:rPr>
      </w:pPr>
      <w:r>
        <w:rPr>
          <w:rFonts w:cs="Calibri" w:ascii="Titillium" w:hAnsi="Titillium"/>
          <w:sz w:val="18"/>
          <w:szCs w:val="18"/>
        </w:rPr>
        <w:t>Riduzione del 30% in caso di possesso della certificazione di qualità conforme alle norme europee della serie UNI CEI ISO 9000. In caso di partecipazione in forma associata, la riduzione si ottiene:</w:t>
      </w:r>
    </w:p>
    <w:p>
      <w:pPr>
        <w:pStyle w:val="ListParagraph"/>
        <w:numPr>
          <w:ilvl w:val="1"/>
          <w:numId w:val="22"/>
        </w:numPr>
        <w:spacing w:before="60" w:after="60"/>
        <w:ind w:hanging="284" w:left="567"/>
        <w:contextualSpacing w:val="false"/>
        <w:rPr>
          <w:rFonts w:ascii="Titillium" w:hAnsi="Titillium" w:cs="Calibri"/>
          <w:sz w:val="18"/>
          <w:szCs w:val="18"/>
        </w:rPr>
      </w:pPr>
      <w:r>
        <w:rPr>
          <w:rFonts w:cs="Calibri" w:ascii="Titillium" w:hAnsi="Titillium"/>
          <w:sz w:val="18"/>
          <w:szCs w:val="18"/>
        </w:rPr>
        <w:t>per i soggetti di cui all’articolo 65, comma 2, lettere e), f), g), h) del Codice solo se tutti soggetti i che costituiscono il raggruppamento, consorzio ordinario o GEIE, o tutte le imprese retiste che partecipano alla gara siano in possesso della certificazione;</w:t>
      </w:r>
    </w:p>
    <w:p>
      <w:pPr>
        <w:pStyle w:val="ListParagraph"/>
        <w:numPr>
          <w:ilvl w:val="1"/>
          <w:numId w:val="22"/>
        </w:numPr>
        <w:spacing w:before="60" w:after="60"/>
        <w:ind w:hanging="284" w:left="567"/>
        <w:contextualSpacing w:val="false"/>
        <w:rPr>
          <w:rFonts w:ascii="Titillium" w:hAnsi="Titillium" w:cs="Calibri"/>
          <w:sz w:val="18"/>
          <w:szCs w:val="18"/>
        </w:rPr>
      </w:pPr>
      <w:r>
        <w:rPr>
          <w:rFonts w:cs="Calibri" w:ascii="Titillium" w:hAnsi="Titillium"/>
          <w:sz w:val="18"/>
          <w:szCs w:val="18"/>
        </w:rPr>
        <w:t>per i consorzi di cui all’articolo 65, comma 2, lettere b, c) e d) del Codice se il consorzio o almeno una delle imprese consorziate sia in possesso della certificazione.</w:t>
      </w:r>
    </w:p>
    <w:p>
      <w:pPr>
        <w:pStyle w:val="ListParagraph"/>
        <w:numPr>
          <w:ilvl w:val="1"/>
          <w:numId w:val="29"/>
        </w:numPr>
        <w:spacing w:before="60" w:after="60"/>
        <w:ind w:hanging="360" w:left="284"/>
        <w:contextualSpacing w:val="false"/>
        <w:rPr>
          <w:rFonts w:ascii="Titillium" w:hAnsi="Titillium" w:cs="Calibri"/>
          <w:sz w:val="18"/>
          <w:szCs w:val="18"/>
        </w:rPr>
      </w:pPr>
      <w:r>
        <w:rPr>
          <w:rFonts w:cs="Calibri" w:ascii="Titillium" w:hAnsi="Titillium"/>
          <w:sz w:val="18"/>
          <w:szCs w:val="18"/>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pPr>
        <w:pStyle w:val="ListParagraph"/>
        <w:numPr>
          <w:ilvl w:val="1"/>
          <w:numId w:val="29"/>
        </w:numPr>
        <w:spacing w:before="60" w:after="60"/>
        <w:ind w:hanging="360" w:left="284"/>
        <w:contextualSpacing w:val="false"/>
        <w:rPr>
          <w:rFonts w:ascii="Titillium" w:hAnsi="Titillium" w:cs="Calibri"/>
          <w:sz w:val="18"/>
          <w:szCs w:val="18"/>
        </w:rPr>
      </w:pPr>
      <w:r>
        <w:rPr>
          <w:rFonts w:cs="Calibri" w:ascii="Titillium" w:hAnsi="Titillium"/>
          <w:sz w:val="18"/>
          <w:szCs w:val="18"/>
        </w:rPr>
        <w:t>Riduzione del 10% cumulabile con quelle di cui alle precedenti lettere a) e b) in caso di presentazione di garanzie fideiussorie:</w:t>
      </w:r>
    </w:p>
    <w:p>
      <w:pPr>
        <w:pStyle w:val="ListParagraph"/>
        <w:numPr>
          <w:ilvl w:val="0"/>
          <w:numId w:val="30"/>
        </w:numPr>
        <w:spacing w:before="60" w:after="60"/>
        <w:ind w:hanging="283" w:left="567"/>
        <w:contextualSpacing w:val="false"/>
        <w:rPr>
          <w:rFonts w:ascii="Titillium" w:hAnsi="Titillium" w:cs="Calibri"/>
          <w:sz w:val="18"/>
          <w:szCs w:val="18"/>
        </w:rPr>
      </w:pPr>
      <w:r>
        <w:rPr>
          <w:rFonts w:cs="Calibri" w:ascii="Titillium" w:hAnsi="Titillium"/>
          <w:sz w:val="18"/>
          <w:szCs w:val="18"/>
        </w:rPr>
        <w:t>gestite mediante ricorso a piattaforme telematiche operanti con tecnologie basate su registri distribuiti</w:t>
      </w:r>
      <w:r>
        <w:rPr>
          <w:rFonts w:cs="Calibri" w:ascii="Calibri" w:hAnsi="Calibri"/>
          <w:sz w:val="18"/>
          <w:szCs w:val="18"/>
        </w:rPr>
        <w:t>;</w:t>
      </w:r>
    </w:p>
    <w:p>
      <w:pPr>
        <w:pStyle w:val="ListParagraph"/>
        <w:numPr>
          <w:ilvl w:val="0"/>
          <w:numId w:val="30"/>
        </w:numPr>
        <w:spacing w:before="60" w:after="60"/>
        <w:ind w:hanging="283" w:left="567"/>
        <w:contextualSpacing w:val="false"/>
        <w:rPr>
          <w:rFonts w:ascii="Titillium" w:hAnsi="Titillium" w:cs="Calibri"/>
          <w:sz w:val="18"/>
          <w:szCs w:val="18"/>
        </w:rPr>
      </w:pPr>
      <w:r>
        <w:rPr>
          <w:rFonts w:cs="Calibri" w:ascii="Titillium" w:hAnsi="Titillium"/>
          <w:sz w:val="18"/>
          <w:szCs w:val="18"/>
        </w:rPr>
        <w:t>verificabili telematicamente sul sito internet dell'emittente.</w:t>
      </w:r>
    </w:p>
    <w:p>
      <w:pPr>
        <w:pStyle w:val="ListParagraph"/>
        <w:numPr>
          <w:ilvl w:val="1"/>
          <w:numId w:val="29"/>
        </w:numPr>
        <w:spacing w:before="60" w:after="60"/>
        <w:ind w:hanging="360" w:left="284"/>
        <w:contextualSpacing w:val="false"/>
        <w:rPr>
          <w:rFonts w:ascii="Titillium" w:hAnsi="Titillium" w:cs="Calibri"/>
          <w:sz w:val="18"/>
          <w:szCs w:val="18"/>
        </w:rPr>
      </w:pPr>
      <w:r>
        <w:rPr>
          <w:rFonts w:cs="Calibri" w:ascii="Titillium" w:hAnsi="Titillium"/>
          <w:sz w:val="18"/>
          <w:szCs w:val="18"/>
        </w:rPr>
        <w:t>Riduzione del 20 % in caso di possesso di una o più delle certificazioni/marchi tra quelle indicate all’allegato II.13 del codice. Tale riduzione è cumulabile con quelle indicate alle lett. a), b) e c). In caso di partecipazione in forma associata la riduzione si ottiene:</w:t>
      </w:r>
    </w:p>
    <w:p>
      <w:pPr>
        <w:pStyle w:val="ListParagraph"/>
        <w:numPr>
          <w:ilvl w:val="1"/>
          <w:numId w:val="22"/>
        </w:numPr>
        <w:spacing w:before="60" w:after="60"/>
        <w:ind w:hanging="284" w:left="567"/>
        <w:contextualSpacing w:val="false"/>
        <w:rPr>
          <w:rFonts w:ascii="Titillium" w:hAnsi="Titillium" w:cs="Calibri"/>
          <w:sz w:val="18"/>
          <w:szCs w:val="18"/>
        </w:rPr>
      </w:pPr>
      <w:r>
        <w:rPr>
          <w:rFonts w:cs="Calibri" w:ascii="Titillium" w:hAnsi="Titillium"/>
          <w:sz w:val="18"/>
          <w:szCs w:val="18"/>
        </w:rPr>
        <w:t>per i soggetti di cui all’articolo 65, comma 2, lettere e), f), g), h) del Codice se uno dei soggetti che costituiscono il raggruppamento, consorzio ordinario o GEIE, o una delle imprese retiste che partecipano alla gara sia in possesso della certificazione;</w:t>
      </w:r>
    </w:p>
    <w:p>
      <w:pPr>
        <w:pStyle w:val="ListParagraph"/>
        <w:numPr>
          <w:ilvl w:val="1"/>
          <w:numId w:val="22"/>
        </w:numPr>
        <w:spacing w:before="60" w:after="60"/>
        <w:ind w:hanging="284" w:left="567"/>
        <w:contextualSpacing w:val="false"/>
        <w:rPr>
          <w:rFonts w:ascii="Titillium" w:hAnsi="Titillium" w:cs="Calibri"/>
          <w:sz w:val="18"/>
          <w:szCs w:val="18"/>
        </w:rPr>
      </w:pPr>
      <w:r>
        <w:rPr>
          <w:rFonts w:cs="Calibri" w:ascii="Titillium" w:hAnsi="Titillium"/>
          <w:sz w:val="18"/>
          <w:szCs w:val="18"/>
        </w:rPr>
        <w:t xml:space="preserve">per i consorzi di cui all’articolo 65, comma 2, lettere b), c), d) del Codice se il consorzio o una delle consorziate sia in possesso della certificazione. </w:t>
      </w:r>
    </w:p>
    <w:p>
      <w:pPr>
        <w:pStyle w:val="Normal"/>
        <w:spacing w:before="60" w:after="60"/>
        <w:rPr>
          <w:rFonts w:ascii="Titillium" w:hAnsi="Titillium" w:cs="Calibri"/>
          <w:sz w:val="18"/>
          <w:szCs w:val="18"/>
        </w:rPr>
      </w:pPr>
      <w:r>
        <w:rPr>
          <w:rFonts w:cs="Calibri" w:ascii="Titillium" w:hAnsi="Titillium"/>
          <w:sz w:val="18"/>
          <w:szCs w:val="18"/>
        </w:rPr>
        <w:t>Per fruire delle riduzioni di cui all’articolo 106, comma 8 del Codice, il concorrente dichiara nella domanda di partecipazione il possesso delle certificazioni e inserisce copia delle certificazioni possedute qualora non già presenti nel fascicolo virtuale.</w:t>
      </w:r>
    </w:p>
    <w:p>
      <w:pPr>
        <w:pStyle w:val="Normal"/>
        <w:spacing w:before="60" w:after="60"/>
        <w:rPr/>
      </w:pPr>
      <w:r>
        <w:rPr/>
      </w:r>
    </w:p>
    <w:p>
      <w:pPr>
        <w:pStyle w:val="Heading2"/>
        <w:numPr>
          <w:ilvl w:val="0"/>
          <w:numId w:val="3"/>
        </w:numPr>
        <w:rPr/>
      </w:pPr>
      <w:bookmarkStart w:id="1651" w:name="_Toc231396676"/>
      <w:r>
        <w:rPr/>
        <w:t>SOPRALLUOGO</w:t>
      </w:r>
      <w:bookmarkEnd w:id="1651"/>
      <w:r>
        <w:rPr/>
        <w:t xml:space="preserve"> </w:t>
      </w:r>
    </w:p>
    <w:p>
      <w:pPr>
        <w:pStyle w:val="Normal"/>
        <w:rPr>
          <w:rFonts w:ascii="Titillium" w:hAnsi="Titillium" w:cs="Calibri"/>
          <w:sz w:val="18"/>
          <w:szCs w:val="18"/>
        </w:rPr>
      </w:pPr>
      <w:r>
        <w:rPr>
          <w:rFonts w:cs="Calibri" w:ascii="Titillium" w:hAnsi="Titillium"/>
          <w:sz w:val="18"/>
          <w:szCs w:val="18"/>
        </w:rPr>
        <w:t>Non previsto.</w:t>
      </w:r>
    </w:p>
    <w:p>
      <w:pPr>
        <w:pStyle w:val="Normal"/>
        <w:rPr/>
      </w:pPr>
      <w:r>
        <w:rPr/>
      </w:r>
    </w:p>
    <w:p>
      <w:pPr>
        <w:pStyle w:val="Heading2"/>
        <w:numPr>
          <w:ilvl w:val="0"/>
          <w:numId w:val="3"/>
        </w:numPr>
        <w:rPr/>
      </w:pPr>
      <w:bookmarkStart w:id="1652" w:name="_Toc231396677"/>
      <w:r>
        <w:rPr/>
        <w:t>PAGAMENTO DEL CONTRIBUTO A FAVORE DELL’</w:t>
      </w:r>
      <w:r>
        <w:rPr>
          <w:rFonts w:cs="Calibri"/>
        </w:rPr>
        <w:t>ANAC</w:t>
      </w:r>
      <w:bookmarkStart w:id="1653" w:name="_Toc354038185"/>
      <w:bookmarkStart w:id="1654" w:name="_Toc380501872"/>
      <w:bookmarkStart w:id="1655" w:name="_Toc391035985"/>
      <w:bookmarkStart w:id="1656" w:name="_Toc391036058"/>
      <w:bookmarkStart w:id="1657" w:name="_Toc392577499"/>
      <w:bookmarkStart w:id="1658" w:name="_Toc393110566"/>
      <w:bookmarkStart w:id="1659" w:name="_Toc393112130"/>
      <w:bookmarkStart w:id="1660" w:name="_Toc393187847"/>
      <w:bookmarkStart w:id="1661" w:name="_Toc393272603"/>
      <w:bookmarkStart w:id="1662" w:name="_Toc393272661"/>
      <w:bookmarkStart w:id="1663" w:name="_Toc393283177"/>
      <w:bookmarkStart w:id="1664" w:name="_Toc393700836"/>
      <w:bookmarkStart w:id="1665" w:name="_Toc393706909"/>
      <w:bookmarkStart w:id="1666" w:name="_Toc397346824"/>
      <w:bookmarkStart w:id="1667" w:name="_Toc397422865"/>
      <w:bookmarkStart w:id="1668" w:name="_Toc403471272"/>
      <w:bookmarkStart w:id="1669" w:name="_Toc406058378"/>
      <w:bookmarkStart w:id="1670" w:name="_Toc406754179"/>
      <w:bookmarkStart w:id="1671" w:name="_Toc416423364"/>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pPr>
        <w:pStyle w:val="Normal"/>
        <w:spacing w:before="60" w:after="60"/>
        <w:rPr>
          <w:rFonts w:ascii="Titillium" w:hAnsi="Titillium"/>
          <w:iCs/>
          <w:sz w:val="18"/>
          <w:szCs w:val="18"/>
        </w:rPr>
      </w:pPr>
      <w:r>
        <w:rPr>
          <w:rFonts w:cs="Calibri" w:ascii="Titillium" w:hAnsi="Titillium"/>
          <w:sz w:val="18"/>
          <w:szCs w:val="18"/>
        </w:rPr>
        <w:t>I concorrenti effettuano il pagamento del contributo previsto dalla legge in favore dell’Autorità Nazionale Anticorruzione per un importo pari a</w:t>
      </w:r>
      <w:r>
        <w:rPr>
          <w:rFonts w:cs="Calibri" w:ascii="Titillium" w:hAnsi="Titillium"/>
          <w:b/>
          <w:bCs/>
          <w:sz w:val="18"/>
          <w:szCs w:val="18"/>
        </w:rPr>
        <w:t xml:space="preserve"> € 165,00</w:t>
      </w:r>
      <w:r>
        <w:rPr>
          <w:rFonts w:cs="Calibri" w:ascii="Titillium" w:hAnsi="Titillium"/>
          <w:sz w:val="18"/>
          <w:szCs w:val="18"/>
        </w:rPr>
        <w:t xml:space="preserve"> secondo le modalità di cui alla delibera ANAC </w:t>
      </w:r>
      <w:r>
        <w:rPr>
          <w:rFonts w:cs="Calibri" w:ascii="Titillium" w:hAnsi="Titillium"/>
          <w:iCs/>
          <w:sz w:val="18"/>
          <w:szCs w:val="18"/>
        </w:rPr>
        <w:t xml:space="preserve">n. 598 del 30 dicembre 2024 </w:t>
      </w:r>
      <w:r>
        <w:rPr>
          <w:rFonts w:ascii="Titillium" w:hAnsi="Titillium"/>
          <w:iCs/>
          <w:sz w:val="18"/>
          <w:szCs w:val="18"/>
        </w:rPr>
        <w:t xml:space="preserve">o successiva delibera pubblicata al seguente </w:t>
      </w:r>
      <w:hyperlink r:id="rId4">
        <w:r>
          <w:rPr>
            <w:rStyle w:val="Hyperlink"/>
            <w:rFonts w:ascii="Titillium" w:hAnsi="Titillium"/>
            <w:iCs/>
            <w:sz w:val="18"/>
            <w:szCs w:val="18"/>
          </w:rPr>
          <w:t>https://www.anticorruzione.it/-/gestione-contributi-gara</w:t>
        </w:r>
      </w:hyperlink>
      <w:r>
        <w:rPr>
          <w:rFonts w:ascii="Titillium" w:hAnsi="Titillium"/>
          <w:iCs/>
          <w:sz w:val="18"/>
          <w:szCs w:val="18"/>
        </w:rPr>
        <w:t xml:space="preserve">. </w:t>
      </w:r>
    </w:p>
    <w:p>
      <w:pPr>
        <w:pStyle w:val="Normal"/>
        <w:spacing w:before="60" w:after="60"/>
        <w:rPr>
          <w:rFonts w:ascii="Titillium" w:hAnsi="Titillium"/>
          <w:iCs/>
          <w:sz w:val="18"/>
          <w:szCs w:val="18"/>
        </w:rPr>
      </w:pPr>
      <w:r>
        <w:rPr>
          <w:rFonts w:ascii="Titillium" w:hAnsi="Titillium"/>
          <w:iCs/>
          <w:sz w:val="18"/>
          <w:szCs w:val="18"/>
        </w:rPr>
        <w:t xml:space="preserve">Il pagamento del contributo è condizione di ammissibilità dell’offerta. </w:t>
      </w:r>
    </w:p>
    <w:p>
      <w:pPr>
        <w:pStyle w:val="Normal"/>
        <w:spacing w:before="60" w:after="60"/>
        <w:rPr>
          <w:rFonts w:ascii="Titillium" w:hAnsi="Titillium"/>
          <w:iCs/>
          <w:sz w:val="18"/>
          <w:szCs w:val="18"/>
        </w:rPr>
      </w:pPr>
      <w:r>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del pagamento. In caso di mancata regolarizzazione nel termine assegnato, l’offerta è dichiarata inammissibile.  </w:t>
      </w:r>
    </w:p>
    <w:p>
      <w:pPr>
        <w:pStyle w:val="Normal"/>
        <w:spacing w:before="60" w:after="60"/>
        <w:rPr>
          <w:rFonts w:ascii="Titillium" w:hAnsi="Titillium"/>
          <w:iCs/>
          <w:sz w:val="18"/>
          <w:szCs w:val="18"/>
        </w:rPr>
      </w:pPr>
      <w:r>
        <w:rPr>
          <w:rFonts w:ascii="Titillium" w:hAnsi="Titillium"/>
          <w:iCs/>
          <w:sz w:val="18"/>
          <w:szCs w:val="18"/>
        </w:rPr>
        <w:t xml:space="preserve">Il pagamento del contributo è condizione di ammissibilità dell’offerta. </w:t>
      </w:r>
    </w:p>
    <w:p>
      <w:pPr>
        <w:pStyle w:val="Normal"/>
        <w:spacing w:before="60" w:after="60"/>
        <w:rPr>
          <w:rFonts w:ascii="Titillium" w:hAnsi="Titillium"/>
          <w:iCs/>
          <w:sz w:val="18"/>
          <w:szCs w:val="18"/>
        </w:rPr>
      </w:pPr>
      <w:r>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del pagamento. In caso di mancata regolarizzazione nel termine assegnato, l’offerta è dichiarata inammissibile.  </w:t>
      </w:r>
    </w:p>
    <w:p>
      <w:pPr>
        <w:pStyle w:val="Normal"/>
        <w:spacing w:before="60" w:after="60"/>
        <w:rPr>
          <w:rFonts w:ascii="Titillium" w:hAnsi="Titillium" w:cs="Calibri"/>
          <w:sz w:val="18"/>
          <w:szCs w:val="18"/>
        </w:rPr>
      </w:pPr>
      <w:r>
        <w:rPr>
          <w:rFonts w:cs="Calibri" w:ascii="Titillium" w:hAnsi="Titillium"/>
          <w:sz w:val="18"/>
          <w:szCs w:val="18"/>
        </w:rPr>
      </w:r>
    </w:p>
    <w:tbl>
      <w:tblPr>
        <w:tblW w:w="921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tillium" w:hAnsi="Titillium"/>
                <w:i/>
                <w:sz w:val="18"/>
                <w:szCs w:val="18"/>
              </w:rPr>
            </w:pPr>
            <w:r>
              <w:rPr>
                <w:rFonts w:cs="Calibri" w:ascii="Titillium" w:hAnsi="Titillium"/>
                <w:i/>
                <w:sz w:val="18"/>
                <w:szCs w:val="18"/>
              </w:rPr>
              <w:t xml:space="preserve">N.B. Indicazioni operative sulle modalità di pagamento del contributo sono disponibili sul sito dell’Autorità Nazionale Anticorruzione al seguente link: </w:t>
            </w:r>
            <w:hyperlink r:id="rId5">
              <w:r>
                <w:rPr>
                  <w:rStyle w:val="Hyperlink"/>
                  <w:rFonts w:ascii="Titillium" w:hAnsi="Titillium"/>
                  <w:i/>
                  <w:sz w:val="18"/>
                  <w:szCs w:val="18"/>
                </w:rPr>
                <w:t>https://www.anticorruzione.it/-/portale-dei-pagamenti-di-anac</w:t>
              </w:r>
            </w:hyperlink>
          </w:p>
          <w:p>
            <w:pPr>
              <w:pStyle w:val="Normal"/>
              <w:spacing w:before="60" w:after="60"/>
              <w:rPr>
                <w:rFonts w:ascii="Titillium" w:hAnsi="Titillium" w:cs="Calibri"/>
                <w:i/>
                <w:sz w:val="18"/>
                <w:szCs w:val="18"/>
              </w:rPr>
            </w:pPr>
            <w:r>
              <w:rPr>
                <w:rFonts w:cs="Calibri" w:ascii="Titillium" w:hAnsi="Titillium"/>
                <w:i/>
                <w:sz w:val="18"/>
                <w:szCs w:val="18"/>
              </w:rPr>
              <w:t>L'importo del contributo è calcolato sul valore stimato d'appalto comprensivo delle eventuali opzioni contrattuali previste nella documentazione di gara.</w:t>
            </w:r>
          </w:p>
        </w:tc>
      </w:tr>
    </w:tbl>
    <w:p>
      <w:pPr>
        <w:pStyle w:val="Normal"/>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672" w:name="_Toc231396678"/>
      <w:bookmarkStart w:id="1673" w:name="_Ref498595281"/>
      <w:r>
        <w:rPr/>
        <w:t>MODALITÀ DI PRESENTAZIONE DELL’OFFERTA E SOTTOSCRIZIONE DEI DOCUMENTI DI GARA</w:t>
      </w:r>
      <w:bookmarkEnd w:id="1672"/>
      <w:bookmarkEnd w:id="1673"/>
      <w:r>
        <w:rPr/>
        <w:t xml:space="preserve"> </w:t>
      </w:r>
    </w:p>
    <w:p>
      <w:pPr>
        <w:pStyle w:val="Normal"/>
        <w:tabs>
          <w:tab w:val="clear" w:pos="708"/>
          <w:tab w:val="left" w:pos="360" w:leader="none"/>
        </w:tabs>
        <w:spacing w:before="60" w:after="60"/>
        <w:rPr>
          <w:rFonts w:ascii="Titillium" w:hAnsi="Titillium"/>
          <w:sz w:val="18"/>
          <w:szCs w:val="18"/>
        </w:rPr>
      </w:pPr>
      <w:r>
        <w:rPr>
          <w:rFonts w:cs="Calibri" w:ascii="Titillium" w:hAnsi="Titillium"/>
          <w:bCs/>
          <w:iCs/>
          <w:sz w:val="18"/>
          <w:szCs w:val="18"/>
        </w:rPr>
        <w:t xml:space="preserve">L’offerta e la documentazione relativa alla procedura devono essere presentate </w:t>
      </w:r>
      <w:r>
        <w:rPr>
          <w:rFonts w:cs="Calibri" w:ascii="Titillium" w:hAnsi="Titillium"/>
          <w:sz w:val="18"/>
          <w:szCs w:val="18"/>
        </w:rPr>
        <w:t xml:space="preserve">esclusivamente attraverso la PAD. Non sono considerate valide le offerte presentate attraverso modalità diverse da quelle previste nel presente disciplinare. L’offerta </w:t>
      </w:r>
      <w:r>
        <w:rPr>
          <w:rFonts w:cs="Calibri" w:ascii="Titillium" w:hAnsi="Titillium"/>
          <w:bCs/>
          <w:iCs/>
          <w:sz w:val="18"/>
          <w:szCs w:val="18"/>
        </w:rPr>
        <w:t>deve essere sottoscritta con firma digitale o altra firma elettronica qualificata o firma elettronica avanzata.</w:t>
      </w:r>
    </w:p>
    <w:p>
      <w:pPr>
        <w:pStyle w:val="Normal"/>
        <w:spacing w:before="60" w:after="60"/>
        <w:rPr>
          <w:rFonts w:ascii="Titillium" w:hAnsi="Titillium" w:cs="Calibri"/>
          <w:sz w:val="18"/>
          <w:szCs w:val="18"/>
        </w:rPr>
      </w:pPr>
      <w:r>
        <w:rPr>
          <w:rFonts w:cs="Calibri" w:ascii="Titillium" w:hAnsi="Titillium"/>
          <w:sz w:val="18"/>
          <w:szCs w:val="18"/>
        </w:rPr>
        <w:t xml:space="preserve">Le dichiarazioni sostitutive si redigono ai sensi degli articoli 19, 46 e 47 del decreto del Presidente della Repubblica n.  445/2000. </w:t>
      </w:r>
    </w:p>
    <w:p>
      <w:pPr>
        <w:pStyle w:val="Normal"/>
        <w:spacing w:before="60" w:after="60"/>
        <w:rPr/>
      </w:pPr>
      <w:r>
        <w:rPr>
          <w:rFonts w:cs="Calibri" w:ascii="Titillium" w:hAnsi="Titillium"/>
          <w:sz w:val="18"/>
          <w:szCs w:val="18"/>
        </w:rPr>
        <w:t xml:space="preserve">La documentazione presentata in copia viene prodotta ai sensi del decreto legislativo n. 82/05. </w:t>
      </w:r>
    </w:p>
    <w:p>
      <w:pPr>
        <w:pStyle w:val="Normal"/>
        <w:tabs>
          <w:tab w:val="clear" w:pos="708"/>
          <w:tab w:val="left" w:pos="360" w:leader="none"/>
        </w:tabs>
        <w:spacing w:before="60" w:after="60"/>
        <w:rPr>
          <w:rFonts w:ascii="Titillium" w:hAnsi="Titillium" w:cs="Calibri"/>
          <w:sz w:val="18"/>
          <w:szCs w:val="18"/>
        </w:rPr>
      </w:pPr>
      <w:r>
        <w:rPr>
          <w:rFonts w:cs="Calibri" w:ascii="Titillium" w:hAnsi="Titillium"/>
          <w:bCs/>
          <w:iCs/>
          <w:sz w:val="18"/>
          <w:szCs w:val="18"/>
        </w:rPr>
        <w:t>L’offerta deve pervenire</w:t>
      </w:r>
      <w:r>
        <w:rPr>
          <w:rFonts w:cs="Calibri" w:ascii="Titillium" w:hAnsi="Titillium"/>
          <w:sz w:val="18"/>
          <w:szCs w:val="18"/>
        </w:rPr>
        <w:t xml:space="preserve"> entro e non oltre quanto indicato dalla Piattaforma a pena di irricevibilità</w:t>
      </w:r>
      <w:r>
        <w:rPr>
          <w:rFonts w:ascii="Titillium" w:hAnsi="Titillium"/>
          <w:sz w:val="18"/>
          <w:szCs w:val="18"/>
        </w:rPr>
        <w:t>.</w:t>
      </w:r>
      <w:r>
        <w:rPr>
          <w:rFonts w:cs="Calibri" w:ascii="Titillium" w:hAnsi="Titillium"/>
          <w:sz w:val="18"/>
          <w:szCs w:val="18"/>
        </w:rPr>
        <w:t xml:space="preserve"> La PAD non accetta offerte presentate dopo la data e l’orario stabiliti come termine ultimo di presentazione dell’offerta.</w:t>
      </w:r>
    </w:p>
    <w:p>
      <w:pPr>
        <w:pStyle w:val="Normal"/>
        <w:spacing w:before="60" w:after="60"/>
        <w:rPr/>
      </w:pPr>
      <w:r>
        <w:rPr>
          <w:rFonts w:ascii="Titillium" w:hAnsi="Titillium"/>
          <w:iCs/>
          <w:sz w:val="18"/>
          <w:szCs w:val="18"/>
        </w:rPr>
        <w:t>Per l’individuazione di</w:t>
      </w:r>
      <w:r>
        <w:rPr>
          <w:rFonts w:cs="Calibri" w:ascii="Titillium" w:hAnsi="Titillium"/>
          <w:bCs/>
          <w:iCs/>
          <w:sz w:val="18"/>
          <w:szCs w:val="18"/>
        </w:rPr>
        <w:t xml:space="preserve"> data e ora di arrivo dell’offerta fa fede l’orario registrato dalla PAD.</w:t>
      </w:r>
    </w:p>
    <w:p>
      <w:pPr>
        <w:pStyle w:val="Normal"/>
        <w:widowControl w:val="false"/>
        <w:spacing w:lineRule="exact" w:line="280" w:before="60" w:after="60"/>
        <w:rPr/>
      </w:pPr>
      <w:r>
        <w:rPr>
          <w:rFonts w:cs="Calibri" w:ascii="Titillium" w:hAnsi="Titillium"/>
          <w:color w:val="000000"/>
          <w:sz w:val="18"/>
          <w:szCs w:val="18"/>
        </w:rPr>
        <w:t>Le operazioni di inserimento sulla PAD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cs="Calibri" w:ascii="Titillium" w:hAnsi="Titillium"/>
          <w:bCs/>
          <w:iCs/>
          <w:sz w:val="18"/>
          <w:szCs w:val="18"/>
        </w:rPr>
        <w:t xml:space="preserve"> </w:t>
      </w:r>
    </w:p>
    <w:p>
      <w:pPr>
        <w:pStyle w:val="Normal"/>
        <w:widowControl w:val="false"/>
        <w:spacing w:lineRule="exact" w:line="280" w:before="60" w:after="60"/>
        <w:rPr/>
      </w:pPr>
      <w:r>
        <w:rPr>
          <w:rFonts w:cs="Calibri" w:ascii="Titillium" w:hAnsi="Titillium"/>
          <w:bCs/>
          <w:iCs/>
          <w:sz w:val="18"/>
          <w:szCs w:val="18"/>
        </w:rPr>
        <w:t xml:space="preserve">Qualora si verifichi un mancato funzionamento o un malfunzionamento della PAD si applica quanto previsto al paragrafo </w:t>
      </w:r>
      <w:r>
        <w:rPr>
          <w:rFonts w:cs="Calibri" w:ascii="Titillium" w:hAnsi="Titillium"/>
          <w:bCs/>
          <w:iCs/>
          <w:sz w:val="18"/>
          <w:szCs w:val="18"/>
        </w:rPr>
        <w:fldChar w:fldCharType="begin"/>
      </w:r>
      <w:r>
        <w:rPr>
          <w:rFonts w:cs="Calibri" w:ascii="Titillium" w:hAnsi="Titillium"/>
          <w:bCs/>
          <w:iCs/>
          <w:sz w:val="18"/>
          <w:szCs w:val="18"/>
        </w:rPr>
        <w:instrText xml:space="preserve"> REF _Ref132303729 \r \r \h </w:instrText>
      </w:r>
      <w:r>
        <w:rPr>
          <w:rFonts w:cs="Calibri" w:ascii="Titillium" w:hAnsi="Titillium"/>
          <w:bCs/>
          <w:iCs/>
          <w:sz w:val="18"/>
          <w:szCs w:val="18"/>
        </w:rPr>
        <w:fldChar w:fldCharType="separate"/>
      </w:r>
      <w:r>
        <w:rPr>
          <w:rFonts w:cs="Calibri" w:ascii="Titillium" w:hAnsi="Titillium"/>
          <w:bCs/>
          <w:iCs/>
          <w:sz w:val="18"/>
          <w:szCs w:val="18"/>
        </w:rPr>
        <w:t>1.1</w:t>
      </w:r>
      <w:r>
        <w:rPr>
          <w:rFonts w:cs="Calibri" w:ascii="Titillium" w:hAnsi="Titillium"/>
          <w:bCs/>
          <w:iCs/>
          <w:sz w:val="18"/>
          <w:szCs w:val="18"/>
        </w:rPr>
        <w:fldChar w:fldCharType="end"/>
      </w:r>
      <w:r>
        <w:rPr>
          <w:rFonts w:cs="Calibri" w:ascii="Titillium" w:hAnsi="Titillium"/>
          <w:bCs/>
          <w:iCs/>
          <w:sz w:val="18"/>
          <w:szCs w:val="18"/>
        </w:rPr>
        <w:t>.</w:t>
      </w:r>
    </w:p>
    <w:p>
      <w:pPr>
        <w:pStyle w:val="Normal"/>
        <w:tabs>
          <w:tab w:val="clear" w:pos="708"/>
          <w:tab w:val="left" w:pos="360" w:leader="none"/>
        </w:tabs>
        <w:spacing w:before="60" w:after="60"/>
        <w:rPr>
          <w:rFonts w:ascii="Titillium" w:hAnsi="Titillium" w:cs="Calibri"/>
          <w:bCs/>
          <w:i/>
          <w:iCs/>
          <w:sz w:val="18"/>
          <w:szCs w:val="18"/>
        </w:rPr>
      </w:pPr>
      <w:r>
        <w:rPr>
          <w:rFonts w:cs="Calibri" w:ascii="Titillium" w:hAnsi="Titillium"/>
          <w:bCs/>
          <w:iCs/>
          <w:sz w:val="18"/>
          <w:szCs w:val="18"/>
        </w:rPr>
        <w:t xml:space="preserve">Ogni operatore economico per la presentazione dell’offerta ha a disposizione una capacità pari alla dimensione massima di </w:t>
      </w:r>
      <w:r>
        <w:rPr>
          <w:rFonts w:cs="Calibri" w:ascii="Titillium" w:hAnsi="Titillium"/>
          <w:bCs/>
          <w:sz w:val="18"/>
          <w:szCs w:val="18"/>
        </w:rPr>
        <w:t>100 MB</w:t>
      </w:r>
      <w:r>
        <w:rPr>
          <w:rFonts w:cs="Calibri" w:ascii="Titillium" w:hAnsi="Titillium"/>
          <w:bCs/>
          <w:i/>
          <w:iCs/>
          <w:sz w:val="18"/>
          <w:szCs w:val="18"/>
        </w:rPr>
        <w:t xml:space="preserve"> </w:t>
      </w:r>
      <w:r>
        <w:rPr>
          <w:rFonts w:cs="Calibri" w:ascii="Titillium" w:hAnsi="Titillium"/>
          <w:bCs/>
          <w:iCs/>
          <w:sz w:val="18"/>
          <w:szCs w:val="18"/>
        </w:rPr>
        <w:t xml:space="preserve">per singolo file. La PAD accetta esclusivamente file con i seguenti formati PDF, ZIP, ecc. </w:t>
      </w:r>
    </w:p>
    <w:p>
      <w:pPr>
        <w:pStyle w:val="Normal"/>
        <w:tabs>
          <w:tab w:val="clear" w:pos="708"/>
          <w:tab w:val="left" w:pos="360" w:leader="none"/>
        </w:tabs>
        <w:spacing w:before="60" w:after="60"/>
        <w:rPr>
          <w:i/>
        </w:rPr>
      </w:pPr>
      <w:r>
        <w:rPr>
          <w:i/>
        </w:rPr>
      </w:r>
    </w:p>
    <w:p>
      <w:pPr>
        <w:pStyle w:val="Heading3"/>
        <w:numPr>
          <w:ilvl w:val="1"/>
          <w:numId w:val="3"/>
        </w:numPr>
        <w:ind w:hanging="426" w:left="426"/>
        <w:rPr>
          <w:rFonts w:ascii="Titillium" w:hAnsi="Titillium"/>
          <w:sz w:val="18"/>
          <w:szCs w:val="18"/>
        </w:rPr>
      </w:pPr>
      <w:bookmarkStart w:id="1674" w:name="_Toc231396679"/>
      <w:r>
        <w:rPr>
          <w:rFonts w:ascii="Titillium" w:hAnsi="Titillium"/>
          <w:sz w:val="18"/>
          <w:szCs w:val="18"/>
        </w:rPr>
        <w:t>REGOLE PER LA PRESENTAZIONE DELL’OFFERTA</w:t>
      </w:r>
      <w:bookmarkEnd w:id="1674"/>
    </w:p>
    <w:p>
      <w:pPr>
        <w:pStyle w:val="Normal"/>
        <w:spacing w:before="60" w:after="60"/>
        <w:rPr/>
      </w:pPr>
      <w:r>
        <w:rPr>
          <w:rFonts w:cs="Calibri" w:ascii="Titillium" w:hAnsi="Titillium"/>
          <w:sz w:val="18"/>
          <w:szCs w:val="18"/>
        </w:rPr>
        <w:t xml:space="preserve">Fermo restando le indicazioni tecniche riportate al paragrafo </w:t>
      </w:r>
      <w:r>
        <w:rPr>
          <w:rFonts w:cs="Calibri" w:ascii="Titillium" w:hAnsi="Titillium"/>
          <w:sz w:val="18"/>
          <w:szCs w:val="18"/>
        </w:rPr>
        <w:fldChar w:fldCharType="begin"/>
      </w:r>
      <w:r>
        <w:rPr>
          <w:rFonts w:cs="Calibri" w:ascii="Titillium" w:hAnsi="Titillium"/>
          <w:sz w:val="18"/>
          <w:szCs w:val="18"/>
        </w:rPr>
        <w:instrText xml:space="preserve"> REF _Ref132303744 \r \r \h </w:instrText>
      </w:r>
      <w:r>
        <w:rPr>
          <w:rFonts w:cs="Calibri" w:ascii="Titillium" w:hAnsi="Titillium"/>
          <w:sz w:val="18"/>
          <w:szCs w:val="18"/>
        </w:rPr>
        <w:fldChar w:fldCharType="separate"/>
      </w:r>
      <w:r>
        <w:rPr>
          <w:rFonts w:cs="Calibri" w:ascii="Titillium" w:hAnsi="Titillium"/>
          <w:sz w:val="18"/>
          <w:szCs w:val="18"/>
        </w:rPr>
        <w:t>1</w:t>
      </w:r>
      <w:r>
        <w:rPr>
          <w:rFonts w:cs="Calibri" w:ascii="Titillium" w:hAnsi="Titillium"/>
          <w:sz w:val="18"/>
          <w:szCs w:val="18"/>
        </w:rPr>
        <w:fldChar w:fldCharType="end"/>
      </w:r>
      <w:r>
        <w:rPr>
          <w:rFonts w:cs="Calibri" w:ascii="Titillium" w:hAnsi="Titillium"/>
          <w:sz w:val="18"/>
          <w:szCs w:val="18"/>
        </w:rPr>
        <w:t xml:space="preserve"> di seguito sono indicate le modalità di caricamento dell’offerta nella PAD.</w:t>
      </w:r>
    </w:p>
    <w:p>
      <w:pPr>
        <w:pStyle w:val="usoboll1"/>
        <w:spacing w:lineRule="exact" w:line="300"/>
        <w:rPr/>
      </w:pPr>
      <w:r>
        <w:rPr>
          <w:rFonts w:cs="Trebuchet MS" w:ascii="Titillium" w:hAnsi="Titillium"/>
          <w:sz w:val="18"/>
          <w:szCs w:val="18"/>
        </w:rPr>
        <w:t>L’“</w:t>
      </w:r>
      <w:r>
        <w:rPr>
          <w:rFonts w:cs="Trebuchet MS" w:ascii="Titillium" w:hAnsi="Titillium"/>
          <w:b/>
          <w:i/>
          <w:sz w:val="18"/>
          <w:szCs w:val="18"/>
        </w:rPr>
        <w:t>OFFERTA</w:t>
      </w:r>
      <w:r>
        <w:rPr>
          <w:rFonts w:cs="Trebuchet MS" w:ascii="Titillium" w:hAnsi="Titillium"/>
          <w:sz w:val="18"/>
          <w:szCs w:val="18"/>
        </w:rPr>
        <w:t xml:space="preserve">” è composta da: </w:t>
      </w:r>
    </w:p>
    <w:p>
      <w:pPr>
        <w:pStyle w:val="usoboll1"/>
        <w:spacing w:lineRule="exact" w:line="300"/>
        <w:ind w:left="567"/>
        <w:rPr/>
      </w:pPr>
      <w:r>
        <w:rPr>
          <w:rFonts w:cs="Trebuchet MS" w:ascii="Titillium" w:hAnsi="Titillium"/>
          <w:sz w:val="18"/>
          <w:szCs w:val="18"/>
        </w:rPr>
        <w:t xml:space="preserve">A – </w:t>
      </w:r>
      <w:r>
        <w:rPr>
          <w:rFonts w:cs="Trebuchet MS" w:ascii="Titillium" w:hAnsi="Titillium"/>
          <w:b/>
          <w:sz w:val="18"/>
          <w:szCs w:val="18"/>
        </w:rPr>
        <w:t>Documentazione amministrativa</w:t>
      </w:r>
      <w:r>
        <w:rPr>
          <w:rFonts w:cs="Trebuchet MS" w:ascii="Titillium" w:hAnsi="Titillium"/>
          <w:sz w:val="18"/>
          <w:szCs w:val="18"/>
        </w:rPr>
        <w:t xml:space="preserve">; </w:t>
      </w:r>
    </w:p>
    <w:p>
      <w:pPr>
        <w:pStyle w:val="usoboll1"/>
        <w:spacing w:lineRule="exact" w:line="300"/>
        <w:ind w:left="567"/>
        <w:rPr/>
      </w:pPr>
      <w:r>
        <w:rPr>
          <w:rFonts w:cs="Trebuchet MS" w:ascii="Titillium" w:hAnsi="Titillium"/>
          <w:sz w:val="18"/>
          <w:szCs w:val="18"/>
        </w:rPr>
        <w:t xml:space="preserve">B – </w:t>
      </w:r>
      <w:r>
        <w:rPr>
          <w:rFonts w:cs="Trebuchet MS" w:ascii="Titillium" w:hAnsi="Titillium"/>
          <w:b/>
          <w:bCs/>
          <w:sz w:val="18"/>
          <w:szCs w:val="18"/>
        </w:rPr>
        <w:t>Offerta tecnica</w:t>
      </w:r>
      <w:r>
        <w:rPr>
          <w:rFonts w:cs="Trebuchet MS" w:ascii="Titillium" w:hAnsi="Titillium"/>
          <w:color w:val="000000"/>
          <w:sz w:val="18"/>
          <w:szCs w:val="18"/>
        </w:rPr>
        <w:t xml:space="preserve">; </w:t>
      </w:r>
    </w:p>
    <w:p>
      <w:pPr>
        <w:pStyle w:val="usoboll1"/>
        <w:spacing w:lineRule="exact" w:line="300"/>
        <w:ind w:left="567"/>
        <w:rPr>
          <w:rFonts w:ascii="Titillium" w:hAnsi="Titillium" w:cs="Trebuchet MS"/>
          <w:color w:val="000000"/>
          <w:sz w:val="18"/>
          <w:szCs w:val="18"/>
        </w:rPr>
      </w:pPr>
      <w:r>
        <w:rPr>
          <w:rFonts w:cs="Trebuchet MS" w:ascii="Titillium" w:hAnsi="Titillium"/>
          <w:color w:val="000000"/>
          <w:sz w:val="18"/>
          <w:szCs w:val="18"/>
        </w:rPr>
        <w:t xml:space="preserve">C – </w:t>
      </w:r>
      <w:r>
        <w:rPr>
          <w:rFonts w:cs="Trebuchet MS" w:ascii="Titillium" w:hAnsi="Titillium"/>
          <w:b/>
          <w:bCs/>
          <w:color w:val="000000"/>
          <w:sz w:val="18"/>
          <w:szCs w:val="18"/>
        </w:rPr>
        <w:t>Offerta economica</w:t>
      </w:r>
      <w:r>
        <w:rPr>
          <w:rFonts w:cs="Trebuchet MS" w:ascii="Titillium" w:hAnsi="Titillium"/>
          <w:i/>
          <w:color w:val="000000"/>
          <w:sz w:val="18"/>
          <w:szCs w:val="18"/>
        </w:rPr>
        <w:t>.</w:t>
      </w:r>
    </w:p>
    <w:p>
      <w:pPr>
        <w:pStyle w:val="usoboll1"/>
        <w:spacing w:lineRule="exact" w:line="300"/>
        <w:ind w:left="567"/>
        <w:rPr/>
      </w:pPr>
      <w:r>
        <w:rPr/>
      </w:r>
    </w:p>
    <w:p>
      <w:pPr>
        <w:pStyle w:val="Normal"/>
        <w:spacing w:before="60" w:after="60"/>
        <w:rPr>
          <w:rFonts w:ascii="Titillium" w:hAnsi="Titillium" w:cs="Calibri"/>
          <w:sz w:val="18"/>
          <w:szCs w:val="18"/>
        </w:rPr>
      </w:pPr>
      <w:r>
        <w:rPr>
          <w:rFonts w:cs="Calibri" w:ascii="Titillium" w:hAnsi="Titillium"/>
          <w:sz w:val="18"/>
          <w:szCs w:val="18"/>
        </w:rPr>
        <w:t xml:space="preserve">L’operatore economico ha facoltà di inserire nella PAD offerte successive che sostituiscono la precedente, ovvero ritirare l’offerta presentata, nel periodo di tempo compreso tra la data e ora di inizio e la data e ora di chiusura della fase di presentazione delle offerte. </w:t>
      </w:r>
      <w:r>
        <w:rPr>
          <w:rFonts w:cs="Calibri" w:ascii="Titillium" w:hAnsi="Titillium"/>
          <w:bCs/>
          <w:color w:val="000000"/>
          <w:sz w:val="18"/>
          <w:szCs w:val="18"/>
        </w:rPr>
        <w:t>La stazione appaltante considera esclusivamente l’ultima offerta presentata.</w:t>
      </w:r>
      <w:r>
        <w:rPr>
          <w:rFonts w:cs="Calibri" w:ascii="Titillium" w:hAnsi="Titillium"/>
          <w:sz w:val="18"/>
          <w:szCs w:val="18"/>
        </w:rPr>
        <w:t xml:space="preserve"> </w:t>
      </w:r>
    </w:p>
    <w:p>
      <w:pPr>
        <w:pStyle w:val="Default"/>
        <w:rPr>
          <w:rFonts w:ascii="Titillium" w:hAnsi="Titillium"/>
          <w:sz w:val="18"/>
          <w:szCs w:val="18"/>
        </w:rPr>
      </w:pPr>
      <w:r>
        <w:rPr>
          <w:rFonts w:ascii="Titillium" w:hAnsi="Titillium"/>
          <w:sz w:val="18"/>
          <w:szCs w:val="18"/>
        </w:rPr>
        <w:t xml:space="preserve">Si precisa inoltre che: </w:t>
      </w:r>
    </w:p>
    <w:p>
      <w:pPr>
        <w:pStyle w:val="Default"/>
        <w:numPr>
          <w:ilvl w:val="0"/>
          <w:numId w:val="17"/>
        </w:numPr>
        <w:spacing w:lineRule="auto" w:line="240" w:before="0" w:after="70"/>
        <w:ind w:hanging="357" w:left="426"/>
        <w:rPr>
          <w:rFonts w:ascii="Titillium" w:hAnsi="Titillium"/>
          <w:sz w:val="18"/>
          <w:szCs w:val="18"/>
        </w:rPr>
      </w:pPr>
      <w:r>
        <w:rPr>
          <w:rFonts w:ascii="Titillium" w:hAnsi="Titillium"/>
          <w:sz w:val="18"/>
          <w:szCs w:val="18"/>
        </w:rPr>
        <w:t>l’offerta è vincolante per il concorrente;</w:t>
      </w:r>
    </w:p>
    <w:p>
      <w:pPr>
        <w:pStyle w:val="Default"/>
        <w:numPr>
          <w:ilvl w:val="0"/>
          <w:numId w:val="17"/>
        </w:numPr>
        <w:spacing w:lineRule="auto" w:line="240"/>
        <w:ind w:hanging="357" w:left="426"/>
        <w:rPr>
          <w:rFonts w:ascii="Titillium" w:hAnsi="Titillium" w:cs="Calibri"/>
          <w:sz w:val="18"/>
          <w:szCs w:val="18"/>
        </w:rPr>
      </w:pPr>
      <w:r>
        <w:rPr>
          <w:rFonts w:cs="Calibri" w:ascii="Titillium" w:hAnsi="Titillium"/>
          <w:sz w:val="18"/>
          <w:szCs w:val="18"/>
        </w:rPr>
        <w:t>con la trasmissione dell’offerta, il concorrente accetta tutta la documentazione di gara, allegati e chiarimenti inclusi.</w:t>
      </w:r>
    </w:p>
    <w:p>
      <w:pPr>
        <w:pStyle w:val="Normal"/>
        <w:spacing w:before="60" w:after="60"/>
        <w:rPr/>
      </w:pPr>
      <w:r>
        <w:rPr>
          <w:rFonts w:cs="Calibri" w:ascii="Titillium" w:hAnsi="Titillium"/>
          <w:sz w:val="18"/>
          <w:szCs w:val="18"/>
        </w:rPr>
        <w:t xml:space="preserve">Al momento della ricezione delle offerte, ciascun concorrente riceve notifica della corretta ricezione della documentazione inviata. </w:t>
      </w:r>
    </w:p>
    <w:p>
      <w:pPr>
        <w:pStyle w:val="Default"/>
        <w:spacing w:before="60" w:after="60"/>
        <w:rPr/>
      </w:pPr>
      <w:r>
        <w:rPr>
          <w:rFonts w:cs="Calibri" w:ascii="Titillium" w:hAnsi="Titillium"/>
          <w:sz w:val="18"/>
          <w:szCs w:val="18"/>
        </w:rPr>
        <w:t xml:space="preserve">La PAD consente al concorrente di visualizzare l’avvenuta trasmissione della domanda. </w:t>
      </w:r>
    </w:p>
    <w:p>
      <w:pPr>
        <w:pStyle w:val="Normal"/>
        <w:spacing w:before="60" w:after="60"/>
        <w:rPr/>
      </w:pPr>
      <w:r>
        <w:rPr>
          <w:rFonts w:ascii="Titillium" w:hAnsi="Titillium"/>
          <w:sz w:val="18"/>
          <w:szCs w:val="18"/>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pPr>
        <w:pStyle w:val="Normal"/>
        <w:spacing w:before="60" w:after="60"/>
        <w:rPr>
          <w:rFonts w:ascii="Titillium" w:hAnsi="Titillium"/>
          <w:sz w:val="18"/>
          <w:szCs w:val="18"/>
        </w:rPr>
      </w:pPr>
      <w:r>
        <w:rPr>
          <w:rFonts w:ascii="Titillium" w:hAnsi="Titillium"/>
          <w:sz w:val="18"/>
          <w:szCs w:val="18"/>
        </w:rPr>
        <w:t xml:space="preserve">Tutta la documentazione da produrre deve essere in lingua italiana. </w:t>
      </w:r>
    </w:p>
    <w:p>
      <w:pPr>
        <w:pStyle w:val="Normal"/>
        <w:spacing w:before="60" w:after="60"/>
        <w:rPr/>
      </w:pPr>
      <w:r>
        <w:rPr>
          <w:rFonts w:cs="Calibri" w:ascii="Titillium" w:hAnsi="Titillium"/>
          <w:sz w:val="18"/>
          <w:szCs w:val="18"/>
        </w:rPr>
        <w:t>L’offerta vincola il concorrente per</w:t>
      </w:r>
      <w:r>
        <w:rPr>
          <w:rFonts w:cs="Calibri" w:ascii="Titillium" w:hAnsi="Titillium"/>
          <w:i/>
          <w:sz w:val="18"/>
          <w:szCs w:val="18"/>
        </w:rPr>
        <w:t xml:space="preserve"> </w:t>
      </w:r>
      <w:r>
        <w:rPr>
          <w:rFonts w:cs="Calibri" w:ascii="Titillium" w:hAnsi="Titillium"/>
          <w:iCs/>
          <w:sz w:val="18"/>
          <w:szCs w:val="18"/>
        </w:rPr>
        <w:t>180 giorni</w:t>
      </w:r>
      <w:r>
        <w:rPr>
          <w:rFonts w:cs="Calibri" w:ascii="Titillium" w:hAnsi="Titillium"/>
          <w:i/>
          <w:sz w:val="18"/>
          <w:szCs w:val="18"/>
        </w:rPr>
        <w:t xml:space="preserve"> </w:t>
      </w:r>
      <w:r>
        <w:rPr>
          <w:rFonts w:cs="Calibri" w:ascii="Titillium" w:hAnsi="Titillium"/>
          <w:sz w:val="18"/>
          <w:szCs w:val="18"/>
        </w:rPr>
        <w:t>dalla scadenza</w:t>
      </w:r>
      <w:r>
        <w:rPr>
          <w:rFonts w:cs="Calibri" w:ascii="Titillium" w:hAnsi="Titillium"/>
          <w:i/>
          <w:sz w:val="18"/>
          <w:szCs w:val="18"/>
        </w:rPr>
        <w:t xml:space="preserve"> </w:t>
      </w:r>
      <w:r>
        <w:rPr>
          <w:rFonts w:cs="Calibri" w:ascii="Titillium" w:hAnsi="Titillium"/>
          <w:sz w:val="18"/>
          <w:szCs w:val="18"/>
        </w:rPr>
        <w:t xml:space="preserve">del termine indicato per la presentazione dell’offerta. </w:t>
      </w:r>
    </w:p>
    <w:p>
      <w:pPr>
        <w:pStyle w:val="Normal"/>
        <w:spacing w:before="60" w:after="60"/>
        <w:rPr>
          <w:rFonts w:ascii="Titillium" w:hAnsi="Titillium" w:cs="Calibri"/>
          <w:sz w:val="18"/>
          <w:szCs w:val="18"/>
        </w:rPr>
      </w:pPr>
      <w:r>
        <w:rPr>
          <w:rFonts w:cs="Calibri" w:ascii="Titillium" w:hAnsi="Titillium"/>
          <w:sz w:val="18"/>
          <w:szCs w:val="18"/>
        </w:rPr>
        <w:t xml:space="preserve">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w:t>
      </w:r>
    </w:p>
    <w:p>
      <w:pPr>
        <w:pStyle w:val="Normal"/>
        <w:spacing w:before="60" w:after="60"/>
        <w:rPr>
          <w:rFonts w:ascii="Titillium" w:hAnsi="Titillium" w:cs="Calibri"/>
          <w:sz w:val="18"/>
          <w:szCs w:val="18"/>
        </w:rPr>
      </w:pPr>
      <w:r>
        <w:rPr>
          <w:rFonts w:cs="Calibri" w:ascii="Titillium" w:hAnsi="Titillium"/>
          <w:sz w:val="18"/>
          <w:szCs w:val="18"/>
        </w:rPr>
        <w:t>Il mancato riscontro alla richiesta della stazione appaltante entro il termine fissato da quest’ultima o comunque in tempo utile alla celere prosecuzione della procedura è considerato come rinuncia del concorrente alla partecipazione alla gara.</w:t>
      </w:r>
    </w:p>
    <w:p>
      <w:pPr>
        <w:pStyle w:val="Normal"/>
        <w:spacing w:before="60" w:after="60"/>
        <w:rPr>
          <w:rFonts w:ascii="Titillium" w:hAnsi="Titillium" w:cs="Calibri"/>
          <w:sz w:val="18"/>
          <w:szCs w:val="18"/>
        </w:rPr>
      </w:pPr>
      <w:r>
        <w:rPr>
          <w:rFonts w:cs="Calibri" w:ascii="Titillium" w:hAnsi="Titillium"/>
          <w:sz w:val="18"/>
          <w:szCs w:val="18"/>
        </w:rPr>
        <w:t xml:space="preserve">Fino al giorno fissato per l’apertura delle offerte tecniche o economiche, l’operatore economico può effettuare, tramite la PAD, la richiesta di rettifica di un errore materiale contenuto rispettivamente nell’offerta tecnica o nell’offerta economica, di cui si sia avveduto dopo la scadenza del termine per la loro presentazione. A tal fine, richiede di potersi avvalere di tale facoltà.  </w:t>
      </w:r>
    </w:p>
    <w:p>
      <w:pPr>
        <w:pStyle w:val="Normal"/>
        <w:spacing w:before="60" w:after="60"/>
        <w:rPr>
          <w:rFonts w:ascii="Titillium" w:hAnsi="Titillium" w:cs="Calibri"/>
          <w:sz w:val="18"/>
          <w:szCs w:val="18"/>
        </w:rPr>
      </w:pPr>
      <w:r>
        <w:rPr>
          <w:rFonts w:cs="Calibri" w:ascii="Titillium" w:hAnsi="Titillium"/>
          <w:sz w:val="18"/>
          <w:szCs w:val="18"/>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 e non può comportare la presentazione di una nuova offerta, né la sua modifica sostanziale.</w:t>
      </w:r>
    </w:p>
    <w:p>
      <w:pPr>
        <w:pStyle w:val="Normal"/>
        <w:spacing w:before="60" w:after="60"/>
        <w:rPr>
          <w:rFonts w:ascii="Titillium" w:hAnsi="Titillium" w:cs="Calibri"/>
          <w:sz w:val="18"/>
          <w:szCs w:val="18"/>
        </w:rPr>
      </w:pPr>
      <w:r>
        <w:rPr>
          <w:rFonts w:cs="Calibri" w:ascii="Titillium" w:hAnsi="Titillium"/>
          <w:sz w:val="18"/>
          <w:szCs w:val="18"/>
        </w:rPr>
        <w:t>Se la rettifica è ritenuta non accoglibile perché sostanziale, è valutata la possibilità di dichiarare l’offerta inammissibile.</w:t>
      </w:r>
    </w:p>
    <w:p>
      <w:pPr>
        <w:pStyle w:val="Normal"/>
        <w:spacing w:before="60" w:after="60"/>
        <w:rPr/>
      </w:pPr>
      <w:r>
        <w:rPr/>
      </w:r>
    </w:p>
    <w:p>
      <w:pPr>
        <w:pStyle w:val="Heading2"/>
        <w:numPr>
          <w:ilvl w:val="0"/>
          <w:numId w:val="3"/>
        </w:numPr>
        <w:rPr/>
      </w:pPr>
      <w:bookmarkStart w:id="1675" w:name="_Toc231396680"/>
      <w:bookmarkStart w:id="1676" w:name="_Ref129796272"/>
      <w:r>
        <w:rPr/>
        <w:t>SOCCORSO ISTRUTTORIO</w:t>
      </w:r>
      <w:bookmarkEnd w:id="1675"/>
      <w:bookmarkEnd w:id="1676"/>
    </w:p>
    <w:p>
      <w:pPr>
        <w:pStyle w:val="Normal"/>
        <w:spacing w:before="60" w:after="60"/>
        <w:rPr>
          <w:rFonts w:ascii="Titillium" w:hAnsi="Titillium"/>
          <w:sz w:val="18"/>
          <w:szCs w:val="18"/>
        </w:rPr>
      </w:pPr>
      <w:r>
        <w:rPr>
          <w:rFonts w:ascii="Titillium" w:hAnsi="Titillium"/>
          <w:sz w:val="18"/>
          <w:szCs w:val="18"/>
        </w:rPr>
        <w:t>Con la procedura di soccorso istruttorio di cui all’articolo 101 del Codice, possono essere sanate le carenze della documentazione trasmessa con la domanda di partecipazione ma non quelle della documentazione che compone l’offerta tecnica e l’offerta economica.</w:t>
      </w:r>
    </w:p>
    <w:p>
      <w:pPr>
        <w:pStyle w:val="Normal"/>
        <w:spacing w:before="60" w:after="60"/>
        <w:rPr>
          <w:rFonts w:ascii="Titillium" w:hAnsi="Titillium"/>
          <w:sz w:val="18"/>
          <w:szCs w:val="18"/>
        </w:rPr>
      </w:pPr>
      <w:r>
        <w:rPr>
          <w:rFonts w:ascii="Titillium" w:hAnsi="Titillium"/>
          <w:sz w:val="18"/>
          <w:szCs w:val="18"/>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w:t>
      </w:r>
    </w:p>
    <w:p>
      <w:pPr>
        <w:pStyle w:val="Normal"/>
        <w:spacing w:before="60" w:after="60"/>
        <w:rPr>
          <w:rFonts w:ascii="Titillium" w:hAnsi="Titillium"/>
          <w:sz w:val="18"/>
          <w:szCs w:val="18"/>
        </w:rPr>
      </w:pPr>
      <w:r>
        <w:rPr>
          <w:rFonts w:ascii="Titillium" w:hAnsi="Titillium"/>
          <w:sz w:val="18"/>
          <w:szCs w:val="18"/>
        </w:rPr>
        <w:t xml:space="preserve">A titolo esemplificativo, si chiarisce che sono sanabili: </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 xml:space="preserve">il mancato o parziale pagamento del contributo ANAC anche laddove non effettuato entro la scadenza del termine di presentazione delle offerte; </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 xml:space="preserve">l’omessa o incompleta nonché irregolare presentazione delle dichiarazioni sul possesso dei requisiti di partecipazione e ogni altra mancanza, incompletezza o irregolarità della domanda;        </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 xml:space="preserve">la mancata produzione del contratto di avvalimento, della garanzia provvisoria, del mandato collettivo speciale o dell’impegno a conferire mandato collettivo, solo se i citati documenti sono preesistenti e comprovabili con data certa anteriore al termine di presentazione dell’offerta risultante dall’apposizione della marca temporale </w:t>
      </w:r>
      <w:bookmarkStart w:id="1677" w:name="_Hlk202279869"/>
      <w:r>
        <w:rPr>
          <w:rFonts w:ascii="Titillium" w:hAnsi="Titillium"/>
          <w:sz w:val="18"/>
          <w:szCs w:val="18"/>
        </w:rPr>
        <w:t xml:space="preserve">o da ulteriori riferimenti temporali equivalenti ai sensi della vigente normativa; </w:t>
      </w:r>
      <w:bookmarkEnd w:id="1677"/>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il non corretto ammontare della garanzia provvisoria;</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l’erronea indicazione del beneficiario della garanzia provvisoria che non comporti la costituzione di una nuova polizza;</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l’intestazione della garanzia provvisori non a tutti i componenti del costituendo RTI;</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il difetto di sottoscrizione della domanda di partecipazione, delle dichiarazioni richieste e dell’offerta, a condizione che la mancanza della sottoscrizione non precluda la riconoscibilità della provenienza dell’offerta e non comporti un’incertezza assoluta sulla stessa;</w:t>
      </w:r>
    </w:p>
    <w:p>
      <w:pPr>
        <w:pStyle w:val="ListParagraph"/>
        <w:numPr>
          <w:ilvl w:val="0"/>
          <w:numId w:val="35"/>
        </w:numPr>
        <w:spacing w:before="60" w:after="60"/>
        <w:ind w:hanging="360" w:left="426"/>
        <w:contextualSpacing/>
        <w:rPr>
          <w:rFonts w:ascii="Titillium" w:hAnsi="Titillium"/>
          <w:sz w:val="18"/>
          <w:szCs w:val="18"/>
        </w:rPr>
      </w:pPr>
      <w:r>
        <w:rPr>
          <w:rFonts w:ascii="Titillium" w:hAnsi="Titillium"/>
          <w:sz w:val="18"/>
          <w:szCs w:val="18"/>
        </w:rPr>
        <w:t>la mancata, incompleta o irregolare traduzione in italiano della documentazione di gara, quando richiesta ai sensi del paragrafo 13.1.</w:t>
      </w:r>
    </w:p>
    <w:p>
      <w:pPr>
        <w:pStyle w:val="Normal"/>
        <w:spacing w:before="60" w:after="60"/>
        <w:rPr>
          <w:rFonts w:ascii="Titillium" w:hAnsi="Titillium"/>
          <w:sz w:val="18"/>
          <w:szCs w:val="18"/>
        </w:rPr>
      </w:pPr>
      <w:r>
        <w:rPr>
          <w:rFonts w:ascii="Titillium" w:hAnsi="Titillium"/>
          <w:sz w:val="18"/>
          <w:szCs w:val="18"/>
        </w:rPr>
        <w:t xml:space="preserve">Non sono sanabili: </w:t>
      </w:r>
    </w:p>
    <w:p>
      <w:pPr>
        <w:pStyle w:val="ListParagraph"/>
        <w:numPr>
          <w:ilvl w:val="0"/>
          <w:numId w:val="31"/>
        </w:numPr>
        <w:spacing w:before="0" w:after="0"/>
        <w:ind w:hanging="360" w:left="426"/>
        <w:contextualSpacing w:val="false"/>
        <w:rPr>
          <w:rFonts w:ascii="Titillium" w:hAnsi="Titillium"/>
          <w:sz w:val="18"/>
          <w:szCs w:val="18"/>
        </w:rPr>
      </w:pPr>
      <w:r>
        <w:rPr>
          <w:rFonts w:ascii="Titillium" w:hAnsi="Titillium"/>
          <w:sz w:val="18"/>
          <w:szCs w:val="18"/>
        </w:rPr>
        <w:t>il mancato possesso dei prescritti requisiti di partecipazione;</w:t>
      </w:r>
    </w:p>
    <w:p>
      <w:pPr>
        <w:pStyle w:val="ListParagraph"/>
        <w:numPr>
          <w:ilvl w:val="0"/>
          <w:numId w:val="31"/>
        </w:numPr>
        <w:spacing w:before="60" w:after="60"/>
        <w:ind w:hanging="360" w:left="426"/>
        <w:contextualSpacing w:val="false"/>
        <w:rPr/>
      </w:pPr>
      <w:r>
        <w:rPr>
          <w:rFonts w:ascii="Titillium" w:hAnsi="Titillium"/>
          <w:sz w:val="18"/>
          <w:szCs w:val="18"/>
        </w:rPr>
        <w:t>le false dichiarazioni circa il possesso dei prescritti requisiti di partecipazione;</w:t>
      </w:r>
    </w:p>
    <w:p>
      <w:pPr>
        <w:pStyle w:val="ListParagraph"/>
        <w:numPr>
          <w:ilvl w:val="0"/>
          <w:numId w:val="31"/>
        </w:numPr>
        <w:spacing w:before="60" w:after="120"/>
        <w:ind w:hanging="360" w:left="426"/>
        <w:contextualSpacing w:val="false"/>
        <w:rPr>
          <w:rFonts w:ascii="Titillium" w:hAnsi="Titillium"/>
          <w:sz w:val="18"/>
          <w:szCs w:val="18"/>
        </w:rPr>
      </w:pPr>
      <w:r>
        <w:rPr>
          <w:rFonts w:ascii="Titillium" w:hAnsi="Titillium"/>
          <w:sz w:val="18"/>
          <w:szCs w:val="18"/>
        </w:rPr>
        <w:t>la mancata indicazione nel contratto di avvalimento delle risorse messe a disposizione dell’ausiliario, in quanto causa di nullità del contratto di avvalimento;</w:t>
      </w:r>
    </w:p>
    <w:p>
      <w:pPr>
        <w:pStyle w:val="ListParagraph"/>
        <w:numPr>
          <w:ilvl w:val="0"/>
          <w:numId w:val="31"/>
        </w:numPr>
        <w:spacing w:before="0" w:after="0"/>
        <w:ind w:hanging="360" w:left="426"/>
        <w:contextualSpacing w:val="false"/>
        <w:rPr>
          <w:rFonts w:ascii="Titillium" w:hAnsi="Titillium"/>
          <w:sz w:val="18"/>
          <w:szCs w:val="18"/>
        </w:rPr>
      </w:pPr>
      <w:r>
        <w:rPr>
          <w:rFonts w:ascii="Titillium" w:hAnsi="Titillium"/>
          <w:sz w:val="18"/>
          <w:szCs w:val="18"/>
        </w:rPr>
        <w:t>la sottoscrizione della garanzia provvisoria da parte di un soggetto non legittimato a rilasciare la garanzia o non autorizzato ad impegnare il garante.</w:t>
      </w:r>
    </w:p>
    <w:p>
      <w:pPr>
        <w:pStyle w:val="ListParagraph"/>
        <w:ind w:left="0"/>
        <w:rPr>
          <w:rFonts w:ascii="Titillium" w:hAnsi="Titillium"/>
          <w:bCs/>
          <w:iCs/>
          <w:sz w:val="18"/>
          <w:szCs w:val="18"/>
        </w:rPr>
      </w:pPr>
      <w:r>
        <w:rPr>
          <w:rFonts w:ascii="Titillium" w:hAnsi="Titillium"/>
          <w:bCs/>
          <w:iCs/>
          <w:sz w:val="18"/>
          <w:szCs w:val="18"/>
        </w:rPr>
        <w:t>Inoltre, si rappresenta che:</w:t>
      </w:r>
    </w:p>
    <w:p>
      <w:pPr>
        <w:pStyle w:val="ListParagraph"/>
        <w:numPr>
          <w:ilvl w:val="0"/>
          <w:numId w:val="6"/>
        </w:numPr>
        <w:spacing w:before="60" w:after="60"/>
        <w:ind w:hanging="360" w:left="426"/>
        <w:contextualSpacing w:val="false"/>
        <w:rPr>
          <w:rFonts w:ascii="Titillium" w:hAnsi="Titillium"/>
          <w:sz w:val="18"/>
          <w:szCs w:val="18"/>
        </w:rPr>
      </w:pPr>
      <w:r>
        <w:rPr>
          <w:rFonts w:ascii="Titillium" w:hAnsi="Titillium"/>
          <w:sz w:val="18"/>
          <w:szCs w:val="18"/>
        </w:rPr>
        <w:t xml:space="preserve">sono sanabili l’omessa dichiarazione sull’assolvimento degli obblighi di cui alla legge 68/1999 e, per i concorrenti che occupano oltre cinquanta dipendenti, l’omessa presentazione di copia </w:t>
      </w:r>
      <w:r>
        <w:rPr>
          <w:rFonts w:cs="Courier New" w:ascii="Titillium" w:hAnsi="Titillium"/>
          <w:sz w:val="18"/>
          <w:szCs w:val="18"/>
        </w:rPr>
        <w:t xml:space="preserve">dell’ultimo rapporto periodico sulla situazione del personale maschile e femminile, redatto ai sensi dell’articolo 46 decreto legislativo n. 198 del 2006, e la trasmissione dello stesso alle rappresentanze sindacali e ai consiglieri regionali di parità, purché il rapporto sia stato redatto e trasmesso in data anteriore al termine per la presentazione delle offerte; </w:t>
      </w:r>
    </w:p>
    <w:p>
      <w:pPr>
        <w:pStyle w:val="ListParagraph"/>
        <w:numPr>
          <w:ilvl w:val="0"/>
          <w:numId w:val="6"/>
        </w:numPr>
        <w:spacing w:before="60" w:after="60"/>
        <w:ind w:hanging="360" w:left="426"/>
        <w:contextualSpacing w:val="false"/>
        <w:rPr>
          <w:rFonts w:ascii="Titillium" w:hAnsi="Titillium"/>
          <w:sz w:val="18"/>
          <w:szCs w:val="18"/>
        </w:rPr>
      </w:pPr>
      <w:r>
        <w:rPr>
          <w:rFonts w:ascii="Titillium" w:hAnsi="Titillium"/>
          <w:sz w:val="18"/>
          <w:szCs w:val="18"/>
        </w:rPr>
        <w:t xml:space="preserve">non è sanabile mediante soccorso istruttorio l’omesso impegno ad assicurare, in caso di aggiudicazione del contratto, l’assunzione di una quota di </w:t>
      </w:r>
      <w:r>
        <w:rPr>
          <w:rFonts w:cs="Arial" w:ascii="Titillium" w:hAnsi="Titillium"/>
          <w:sz w:val="18"/>
          <w:szCs w:val="18"/>
        </w:rPr>
        <w:t xml:space="preserve">occupazione giovanile e femminile di cui al paragrafo </w:t>
      </w:r>
      <w:r>
        <w:rPr>
          <w:rFonts w:cs="Arial" w:ascii="Titillium" w:hAnsi="Titillium"/>
          <w:sz w:val="18"/>
          <w:szCs w:val="18"/>
        </w:rPr>
        <w:fldChar w:fldCharType="begin"/>
      </w:r>
      <w:r>
        <w:rPr>
          <w:rFonts w:cs="Arial" w:ascii="Titillium" w:hAnsi="Titillium"/>
          <w:sz w:val="18"/>
          <w:szCs w:val="18"/>
        </w:rPr>
        <w:instrText xml:space="preserve"> REF _Ref132050689 \r \r \h </w:instrText>
      </w:r>
      <w:r>
        <w:rPr>
          <w:rFonts w:cs="Arial" w:ascii="Titillium" w:hAnsi="Titillium"/>
          <w:sz w:val="18"/>
          <w:szCs w:val="18"/>
        </w:rPr>
        <w:fldChar w:fldCharType="separate"/>
      </w:r>
      <w:r>
        <w:rPr>
          <w:rFonts w:cs="Arial" w:ascii="Titillium" w:hAnsi="Titillium"/>
          <w:sz w:val="18"/>
          <w:szCs w:val="18"/>
        </w:rPr>
        <w:t>9</w:t>
      </w:r>
      <w:r>
        <w:rPr>
          <w:rFonts w:cs="Arial" w:ascii="Titillium" w:hAnsi="Titillium"/>
          <w:sz w:val="18"/>
          <w:szCs w:val="18"/>
        </w:rPr>
        <w:fldChar w:fldCharType="end"/>
      </w:r>
      <w:r>
        <w:rPr>
          <w:rFonts w:cs="Arial" w:ascii="Titillium" w:hAnsi="Titillium"/>
          <w:sz w:val="18"/>
          <w:szCs w:val="18"/>
        </w:rPr>
        <w:t xml:space="preserve"> del presente Disciplinare.</w:t>
      </w:r>
    </w:p>
    <w:p>
      <w:pPr>
        <w:pStyle w:val="Normal"/>
        <w:spacing w:before="60" w:after="60"/>
        <w:rPr>
          <w:rFonts w:ascii="Titillium" w:hAnsi="Titillium"/>
          <w:sz w:val="18"/>
          <w:szCs w:val="18"/>
        </w:rPr>
      </w:pPr>
      <w:r>
        <w:rPr>
          <w:rFonts w:ascii="Titillium" w:hAnsi="Titillium"/>
          <w:sz w:val="18"/>
          <w:szCs w:val="18"/>
        </w:rPr>
      </w:r>
    </w:p>
    <w:p>
      <w:pPr>
        <w:pStyle w:val="Normal"/>
        <w:rPr>
          <w:rFonts w:ascii="Titillium" w:hAnsi="Titillium" w:eastAsia="Calibri"/>
          <w:sz w:val="18"/>
          <w:szCs w:val="18"/>
          <w:lang w:eastAsia="it-IT"/>
        </w:rPr>
      </w:pPr>
      <w:r>
        <w:rPr>
          <w:rFonts w:eastAsia="Calibri" w:ascii="Titillium" w:hAnsi="Titillium"/>
          <w:sz w:val="18"/>
          <w:szCs w:val="18"/>
          <w:lang w:eastAsia="it-IT"/>
        </w:rPr>
        <w:t xml:space="preserve">Ai fini del soccorso istruttorio la stazione appaltante assegna al concorrente un termine </w:t>
      </w:r>
      <w:r>
        <w:rPr>
          <w:rFonts w:eastAsia="Calibri" w:cs="Arial" w:ascii="Titillium" w:hAnsi="Titillium"/>
          <w:sz w:val="18"/>
          <w:szCs w:val="18"/>
          <w:lang w:eastAsia="it-IT"/>
        </w:rPr>
        <w:t>non inferiore a cinque e non superiore a dieci giorni, affinché siano rese, integrate o regolarizzate le dichiarazioni necessarie, indicando il contenuto e i soggetti che le devono rendere, nonché la sezione della PAD dove deve essere inserita</w:t>
      </w:r>
      <w:r>
        <w:rPr>
          <w:rFonts w:eastAsia="Calibri" w:ascii="Titillium" w:hAnsi="Titillium"/>
          <w:sz w:val="18"/>
          <w:szCs w:val="18"/>
          <w:lang w:eastAsia="it-IT"/>
        </w:rPr>
        <w:t xml:space="preserve"> la documentazione richiesta. </w:t>
      </w:r>
    </w:p>
    <w:p>
      <w:pPr>
        <w:pStyle w:val="Normal"/>
        <w:spacing w:before="60" w:after="60"/>
        <w:rPr/>
      </w:pPr>
      <w:r>
        <w:rPr>
          <w:rFonts w:ascii="Titillium" w:hAnsi="Titillium"/>
          <w:sz w:val="18"/>
          <w:szCs w:val="18"/>
        </w:rPr>
        <w:t>In caso di inutile decorso del termine, se la mancata allegazione, integrazione o regolarizzazione riguarda la domanda di partecipazione, il DGUE o ogni altro documento richiesto necessariamente ai fini della partecipazione alla gara, la stazione appaltante procede all’esclusione del concorrente dalla procedura.</w:t>
      </w:r>
    </w:p>
    <w:p>
      <w:pPr>
        <w:pStyle w:val="Normal"/>
        <w:spacing w:before="60" w:after="60"/>
        <w:rPr>
          <w:rFonts w:ascii="Titillium" w:hAnsi="Titillium"/>
          <w:sz w:val="18"/>
          <w:szCs w:val="18"/>
        </w:rPr>
      </w:pPr>
      <w:r>
        <w:rPr>
          <w:rFonts w:ascii="Titillium" w:hAnsi="Titillium"/>
          <w:sz w:val="18"/>
          <w:szCs w:val="18"/>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pPr>
        <w:pStyle w:val="Normal"/>
        <w:spacing w:before="60" w:after="60"/>
        <w:rPr>
          <w:rFonts w:ascii="Titillium" w:hAnsi="Titillium"/>
          <w:sz w:val="18"/>
          <w:szCs w:val="18"/>
        </w:rPr>
      </w:pPr>
      <w:r>
        <w:rPr>
          <w:rFonts w:ascii="Titillium" w:hAnsi="Titillium"/>
          <w:sz w:val="18"/>
          <w:szCs w:val="18"/>
        </w:rPr>
        <w:t>La stazione appaltante può sempre chiedere chiarimenti sui contenuti dell’offerta tecnica e dell’offerta economica e su ogni loro allegato. L’operatore economico è tenuto a fornire risposta nel termine di 5 giorni. I chiarimenti resi dall’operatore economico non possono modificare il contenuto dell’offerta.</w:t>
      </w:r>
    </w:p>
    <w:p>
      <w:pPr>
        <w:pStyle w:val="Normal"/>
        <w:spacing w:before="60" w:after="60"/>
        <w:rPr>
          <w:rFonts w:ascii="Titillium" w:hAnsi="Titillium"/>
          <w:sz w:val="18"/>
          <w:szCs w:val="18"/>
        </w:rPr>
      </w:pPr>
      <w:r>
        <w:rPr>
          <w:rFonts w:ascii="Titillium" w:hAnsi="Titillium"/>
          <w:sz w:val="18"/>
          <w:szCs w:val="18"/>
        </w:rPr>
      </w:r>
    </w:p>
    <w:p>
      <w:pPr>
        <w:pStyle w:val="Heading2"/>
        <w:numPr>
          <w:ilvl w:val="0"/>
          <w:numId w:val="3"/>
        </w:numPr>
        <w:rPr/>
      </w:pPr>
      <w:bookmarkStart w:id="1678" w:name="_Toc231396681"/>
      <w:r>
        <w:rPr/>
        <w:t>DOMANDA DI PARTECIPAZIONE E DOCUMENTAZIONE AMMINISTRATIVA</w:t>
      </w:r>
      <w:bookmarkStart w:id="1679" w:name="_Toc380501873"/>
      <w:bookmarkStart w:id="1680" w:name="_Toc391035986"/>
      <w:bookmarkStart w:id="1681" w:name="_Toc391036059"/>
      <w:bookmarkStart w:id="1682" w:name="_Toc392577500"/>
      <w:bookmarkStart w:id="1683" w:name="_Toc393110567"/>
      <w:bookmarkStart w:id="1684" w:name="_Toc393112131"/>
      <w:bookmarkStart w:id="1685" w:name="_Toc393187848"/>
      <w:bookmarkStart w:id="1686" w:name="_Toc393272604"/>
      <w:bookmarkStart w:id="1687" w:name="_Toc393272662"/>
      <w:bookmarkStart w:id="1688" w:name="_Toc393283178"/>
      <w:bookmarkStart w:id="1689" w:name="_Toc393700837"/>
      <w:bookmarkStart w:id="1690" w:name="_Toc393706910"/>
      <w:bookmarkStart w:id="1691" w:name="_Toc397346825"/>
      <w:bookmarkStart w:id="1692" w:name="_Toc397422866"/>
      <w:bookmarkStart w:id="1693" w:name="_Toc403471273"/>
      <w:bookmarkStart w:id="1694" w:name="_Toc406058379"/>
      <w:bookmarkStart w:id="1695" w:name="_Toc406754180"/>
      <w:bookmarkStart w:id="1696" w:name="_Toc416423365"/>
      <w:bookmarkStart w:id="1697" w:name="_Toc354038186"/>
      <w:bookmarkStart w:id="1698" w:name="_Ref481767068"/>
      <w:bookmarkStart w:id="1699" w:name="_Ref481767076"/>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pPr>
        <w:pStyle w:val="Normal"/>
        <w:spacing w:before="60" w:after="60"/>
        <w:rPr/>
      </w:pPr>
      <w:r>
        <w:rPr>
          <w:rFonts w:cs="Calibri" w:ascii="Titillium" w:hAnsi="Titillium"/>
          <w:sz w:val="18"/>
          <w:szCs w:val="18"/>
        </w:rPr>
        <w:t>L’operatore economico utilizza la PAD per compilare o allegare la seguente documentazione:</w:t>
      </w:r>
    </w:p>
    <w:p>
      <w:pPr>
        <w:pStyle w:val="ListParagraph"/>
        <w:numPr>
          <w:ilvl w:val="0"/>
          <w:numId w:val="11"/>
        </w:numPr>
        <w:spacing w:before="60" w:after="60"/>
        <w:contextualSpacing w:val="false"/>
        <w:rPr/>
      </w:pPr>
      <w:r>
        <w:rPr>
          <w:rFonts w:cs="Calibri" w:ascii="Titillium" w:hAnsi="Titillium"/>
          <w:sz w:val="18"/>
          <w:szCs w:val="18"/>
        </w:rPr>
        <w:t>Capitolato speciale firmato per accettazione;</w:t>
      </w:r>
    </w:p>
    <w:p>
      <w:pPr>
        <w:pStyle w:val="ListParagraph"/>
        <w:numPr>
          <w:ilvl w:val="0"/>
          <w:numId w:val="11"/>
        </w:numPr>
        <w:spacing w:before="60" w:after="60"/>
        <w:contextualSpacing w:val="false"/>
        <w:rPr/>
      </w:pPr>
      <w:r>
        <w:rPr>
          <w:rFonts w:cs="Calibri" w:ascii="Titillium" w:hAnsi="Titillium"/>
          <w:sz w:val="18"/>
          <w:szCs w:val="18"/>
        </w:rPr>
        <w:t>Allegato 1 – Clausole vessatorie</w:t>
      </w:r>
    </w:p>
    <w:p>
      <w:pPr>
        <w:pStyle w:val="ListParagraph"/>
        <w:numPr>
          <w:ilvl w:val="0"/>
          <w:numId w:val="11"/>
        </w:numPr>
        <w:spacing w:before="60" w:after="60"/>
        <w:contextualSpacing w:val="false"/>
        <w:rPr/>
      </w:pPr>
      <w:r>
        <w:rPr>
          <w:rFonts w:cs="Calibri" w:ascii="Titillium" w:hAnsi="Titillium"/>
          <w:sz w:val="18"/>
          <w:szCs w:val="18"/>
        </w:rPr>
        <w:t>Allegato 2 - Domanda di partecipazione+ pagamento imposta di bollo di € 16,00;</w:t>
      </w:r>
    </w:p>
    <w:p>
      <w:pPr>
        <w:pStyle w:val="ListParagraph"/>
        <w:numPr>
          <w:ilvl w:val="0"/>
          <w:numId w:val="11"/>
        </w:numPr>
        <w:spacing w:before="60" w:after="60"/>
        <w:contextualSpacing w:val="false"/>
        <w:rPr/>
      </w:pPr>
      <w:r>
        <w:rPr>
          <w:rFonts w:cs="Calibri" w:ascii="Titillium" w:hAnsi="Titillium"/>
          <w:sz w:val="18"/>
          <w:szCs w:val="18"/>
        </w:rPr>
        <w:t>Allegato 3 – Schema di contratto</w:t>
      </w:r>
    </w:p>
    <w:p>
      <w:pPr>
        <w:pStyle w:val="ListParagraph"/>
        <w:numPr>
          <w:ilvl w:val="0"/>
          <w:numId w:val="11"/>
        </w:numPr>
        <w:rPr>
          <w:rFonts w:ascii="Titillium" w:hAnsi="Titillium" w:cs="Calibri"/>
          <w:sz w:val="18"/>
          <w:szCs w:val="18"/>
        </w:rPr>
      </w:pPr>
      <w:r>
        <w:rPr>
          <w:rFonts w:cs="Calibri" w:ascii="Titillium" w:hAnsi="Titillium"/>
          <w:sz w:val="18"/>
          <w:szCs w:val="18"/>
        </w:rPr>
        <w:t>Allegato 4 - A norma dell’articolo 35 comma 5 bis, consenso al trattamento dei dati tramite il fascicolo virtuale;</w:t>
      </w:r>
    </w:p>
    <w:p>
      <w:pPr>
        <w:pStyle w:val="ListParagraph"/>
        <w:numPr>
          <w:ilvl w:val="0"/>
          <w:numId w:val="11"/>
        </w:numPr>
        <w:rPr>
          <w:rFonts w:ascii="Titillium" w:hAnsi="Titillium" w:cs="Calibri"/>
          <w:sz w:val="18"/>
          <w:szCs w:val="18"/>
        </w:rPr>
      </w:pPr>
      <w:r>
        <w:rPr>
          <w:rFonts w:cs="Calibri" w:ascii="Titillium" w:hAnsi="Titillium"/>
          <w:sz w:val="18"/>
          <w:szCs w:val="18"/>
        </w:rPr>
        <w:t>Allegato 5 - Descrizione attività di trattamento dati;</w:t>
      </w:r>
    </w:p>
    <w:p>
      <w:pPr>
        <w:pStyle w:val="ListParagraph"/>
        <w:numPr>
          <w:ilvl w:val="0"/>
          <w:numId w:val="11"/>
        </w:numPr>
        <w:rPr>
          <w:rFonts w:ascii="Titillium" w:hAnsi="Titillium" w:cs="Calibri"/>
          <w:sz w:val="18"/>
          <w:szCs w:val="18"/>
        </w:rPr>
      </w:pPr>
      <w:r>
        <w:rPr>
          <w:rFonts w:cs="Calibri" w:ascii="Titillium" w:hAnsi="Titillium"/>
          <w:sz w:val="18"/>
          <w:szCs w:val="18"/>
        </w:rPr>
        <w:t>Allegato 6 - Istruzioni per il responsabile del trattamento dati;</w:t>
      </w:r>
    </w:p>
    <w:p>
      <w:pPr>
        <w:pStyle w:val="ListParagraph"/>
        <w:numPr>
          <w:ilvl w:val="0"/>
          <w:numId w:val="11"/>
        </w:numPr>
        <w:rPr>
          <w:rFonts w:ascii="Titillium" w:hAnsi="Titillium" w:cs="Calibri"/>
          <w:sz w:val="18"/>
          <w:szCs w:val="18"/>
          <w:shd w:fill="FFFFFF" w:val="clear"/>
        </w:rPr>
      </w:pPr>
      <w:r>
        <w:rPr>
          <w:rFonts w:cs="Calibri" w:ascii="Titillium" w:hAnsi="Titillium"/>
          <w:sz w:val="18"/>
          <w:szCs w:val="18"/>
          <w:shd w:fill="FFFFFF" w:val="clear"/>
        </w:rPr>
        <w:t>Allegato 7 - Dichiarazione pari opportunità;</w:t>
      </w:r>
    </w:p>
    <w:p>
      <w:pPr>
        <w:pStyle w:val="ListParagraph"/>
        <w:numPr>
          <w:ilvl w:val="0"/>
          <w:numId w:val="11"/>
        </w:numPr>
        <w:rPr>
          <w:rFonts w:ascii="Titillium" w:hAnsi="Titillium" w:cs="Calibri"/>
          <w:sz w:val="18"/>
          <w:szCs w:val="18"/>
          <w:shd w:fill="FFFFFF" w:val="clear"/>
        </w:rPr>
      </w:pPr>
      <w:r>
        <w:rPr>
          <w:rFonts w:cs="Calibri" w:ascii="Titillium" w:hAnsi="Titillium"/>
          <w:sz w:val="18"/>
          <w:szCs w:val="18"/>
          <w:shd w:fill="FFFFFF" w:val="clear"/>
        </w:rPr>
        <w:t>Allegato 8 - Cybersecurity</w:t>
      </w:r>
    </w:p>
    <w:p>
      <w:pPr>
        <w:pStyle w:val="ListParagraph"/>
        <w:numPr>
          <w:ilvl w:val="0"/>
          <w:numId w:val="11"/>
        </w:numPr>
        <w:rPr>
          <w:rFonts w:ascii="Titillium" w:hAnsi="Titillium" w:cs="Calibri"/>
          <w:sz w:val="18"/>
          <w:szCs w:val="18"/>
          <w:shd w:fill="FFFFFF" w:val="clear"/>
        </w:rPr>
      </w:pPr>
      <w:r>
        <w:rPr>
          <w:rFonts w:cs="Calibri" w:ascii="Titillium" w:hAnsi="Titillium"/>
          <w:bCs/>
          <w:iCs/>
          <w:sz w:val="18"/>
          <w:szCs w:val="18"/>
          <w:shd w:fill="FFFFFF" w:val="clear"/>
          <w:lang w:eastAsia="it-IT"/>
        </w:rPr>
        <w:t>Allegati A1 e A2 - D</w:t>
      </w:r>
      <w:r>
        <w:rPr>
          <w:rFonts w:cs="Calibri" w:ascii="Titillium" w:hAnsi="Titillium"/>
          <w:bCs/>
          <w:iCs/>
          <w:sz w:val="18"/>
          <w:szCs w:val="18"/>
          <w:shd w:fill="auto" w:val="clear"/>
          <w:lang w:eastAsia="it-IT"/>
        </w:rPr>
        <w:t>ati relativi al personale per clausola sociale</w:t>
      </w:r>
    </w:p>
    <w:p>
      <w:pPr>
        <w:pStyle w:val="ListParagraph"/>
        <w:numPr>
          <w:ilvl w:val="0"/>
          <w:numId w:val="11"/>
        </w:numPr>
        <w:rPr>
          <w:rFonts w:ascii="Titillium" w:hAnsi="Titillium" w:cs="Calibri"/>
          <w:sz w:val="18"/>
          <w:szCs w:val="18"/>
          <w:shd w:fill="FFFFFF" w:val="clear"/>
        </w:rPr>
      </w:pPr>
      <w:r>
        <w:rPr>
          <w:rFonts w:cs="Calibri" w:ascii="Titillium" w:hAnsi="Titillium"/>
          <w:sz w:val="18"/>
          <w:szCs w:val="18"/>
          <w:shd w:fill="FFFFFF" w:val="clear"/>
        </w:rPr>
        <w:t>tabella DUVRI</w:t>
      </w:r>
    </w:p>
    <w:p>
      <w:pPr>
        <w:pStyle w:val="ListParagraph"/>
        <w:numPr>
          <w:ilvl w:val="0"/>
          <w:numId w:val="11"/>
        </w:numPr>
        <w:spacing w:before="60" w:after="60"/>
        <w:contextualSpacing w:val="false"/>
        <w:rPr>
          <w:shd w:fill="FFFFFF" w:val="clear"/>
        </w:rPr>
      </w:pPr>
      <w:r>
        <w:rPr>
          <w:rFonts w:ascii="Titillium" w:hAnsi="Titillium"/>
          <w:sz w:val="18"/>
          <w:szCs w:val="18"/>
          <w:shd w:fill="FFFFFF" w:val="clear"/>
        </w:rPr>
        <w:t>Garanzia provvisoria con prova di eventuali riduzioni</w:t>
      </w:r>
      <w:r>
        <w:rPr>
          <w:rFonts w:cs="Calibri" w:ascii="Titillium" w:hAnsi="Titillium"/>
          <w:sz w:val="18"/>
          <w:szCs w:val="18"/>
          <w:shd w:fill="FFFFFF" w:val="clear"/>
        </w:rPr>
        <w:t>;</w:t>
      </w:r>
    </w:p>
    <w:p>
      <w:pPr>
        <w:pStyle w:val="ListParagraph"/>
        <w:numPr>
          <w:ilvl w:val="0"/>
          <w:numId w:val="11"/>
        </w:numPr>
        <w:spacing w:before="60" w:after="60"/>
        <w:contextualSpacing w:val="false"/>
        <w:rPr>
          <w:shd w:fill="FFFFFF" w:val="clear"/>
        </w:rPr>
      </w:pPr>
      <w:r>
        <w:rPr>
          <w:rFonts w:ascii="Titillium" w:hAnsi="Titillium"/>
          <w:sz w:val="18"/>
          <w:szCs w:val="18"/>
          <w:shd w:fill="FFFFFF" w:val="clear"/>
        </w:rPr>
        <w:t>Copia del pagamento del contributo ANAC;</w:t>
      </w:r>
    </w:p>
    <w:p>
      <w:pPr>
        <w:pStyle w:val="ListParagraph"/>
        <w:numPr>
          <w:ilvl w:val="0"/>
          <w:numId w:val="11"/>
        </w:numPr>
        <w:spacing w:before="60" w:after="60"/>
        <w:contextualSpacing w:val="false"/>
        <w:rPr>
          <w:rFonts w:ascii="Titillium" w:hAnsi="Titillium"/>
          <w:sz w:val="18"/>
          <w:szCs w:val="18"/>
          <w:shd w:fill="FFFFFF" w:val="clear"/>
        </w:rPr>
      </w:pPr>
      <w:r>
        <w:rPr>
          <w:rFonts w:ascii="Titillium" w:hAnsi="Titillium"/>
          <w:sz w:val="18"/>
          <w:szCs w:val="18"/>
          <w:shd w:fill="FFFFFF" w:val="clear"/>
        </w:rPr>
        <w:t>Documentazione in caso di concordato preventivo di cui al paragrafo 15.2;</w:t>
      </w:r>
    </w:p>
    <w:p>
      <w:pPr>
        <w:pStyle w:val="ListParagraph"/>
        <w:numPr>
          <w:ilvl w:val="0"/>
          <w:numId w:val="11"/>
        </w:numPr>
        <w:spacing w:before="60" w:after="60"/>
        <w:contextualSpacing w:val="false"/>
        <w:rPr>
          <w:rFonts w:ascii="Titillium" w:hAnsi="Titillium" w:cs="Calibri"/>
          <w:sz w:val="18"/>
          <w:szCs w:val="18"/>
        </w:rPr>
      </w:pPr>
      <w:r>
        <w:rPr>
          <w:rFonts w:cs="Calibri" w:ascii="Titillium" w:hAnsi="Titillium"/>
          <w:sz w:val="18"/>
          <w:szCs w:val="18"/>
          <w:shd w:fill="FFFFFF" w:val="clear"/>
        </w:rPr>
        <w:t>documentazione in caso di avvalimento di cu</w:t>
      </w:r>
      <w:r>
        <w:rPr>
          <w:rFonts w:cs="Calibri" w:ascii="Titillium" w:hAnsi="Titillium"/>
          <w:sz w:val="18"/>
          <w:szCs w:val="18"/>
        </w:rPr>
        <w:t>i al successivo paragrafo 15.4;</w:t>
      </w:r>
    </w:p>
    <w:p>
      <w:pPr>
        <w:pStyle w:val="ListParagraph"/>
        <w:numPr>
          <w:ilvl w:val="0"/>
          <w:numId w:val="11"/>
        </w:numPr>
        <w:spacing w:before="60" w:after="60"/>
        <w:contextualSpacing w:val="false"/>
        <w:rPr/>
      </w:pPr>
      <w:r>
        <w:rPr>
          <w:rFonts w:cs="Calibri" w:ascii="Titillium" w:hAnsi="Titillium"/>
          <w:sz w:val="18"/>
          <w:szCs w:val="18"/>
        </w:rPr>
        <w:t>documentazione per i soggetti associati di cui al successivo paragrafo 15.5;</w:t>
      </w:r>
    </w:p>
    <w:p>
      <w:pPr>
        <w:pStyle w:val="ListParagraph"/>
        <w:numPr>
          <w:ilvl w:val="0"/>
          <w:numId w:val="11"/>
        </w:numPr>
        <w:spacing w:before="60" w:after="60"/>
        <w:contextualSpacing w:val="false"/>
        <w:rPr>
          <w:rFonts w:ascii="Titillium" w:hAnsi="Titillium" w:cs="Calibri"/>
          <w:sz w:val="18"/>
          <w:szCs w:val="18"/>
        </w:rPr>
      </w:pPr>
      <w:r>
        <w:rPr>
          <w:rFonts w:cs="Calibri" w:ascii="Titillium" w:hAnsi="Titillium"/>
          <w:sz w:val="18"/>
          <w:szCs w:val="18"/>
        </w:rPr>
        <w:t>(per gli operatori economici che occupano oltre cinquanta dipendenti): copia dell'ultimo rapporto periodico sulla situazione del personale maschile e femminile redatto ai sensi dell’articolo 46 del decreto legislativo n. 198/2006,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pPr>
        <w:pStyle w:val="ListParagraph"/>
        <w:numPr>
          <w:ilvl w:val="0"/>
          <w:numId w:val="11"/>
        </w:numPr>
        <w:spacing w:before="60" w:after="60"/>
        <w:contextualSpacing w:val="false"/>
        <w:rPr>
          <w:rFonts w:ascii="Titillium" w:hAnsi="Titillium"/>
          <w:iCs/>
          <w:sz w:val="18"/>
          <w:szCs w:val="18"/>
          <w:u w:val="single"/>
          <w:shd w:fill="FFFFFF" w:val="clear"/>
        </w:rPr>
      </w:pPr>
      <w:r>
        <w:rPr>
          <w:rFonts w:cs="Calibri" w:ascii="Titillium" w:hAnsi="Titillium"/>
          <w:b/>
          <w:iCs/>
          <w:sz w:val="18"/>
          <w:szCs w:val="18"/>
          <w:u w:val="single"/>
        </w:rPr>
        <w:t>DGUE da compilarsi direttamente sulla Piattaforma SATER</w:t>
      </w:r>
    </w:p>
    <w:p>
      <w:pPr>
        <w:pStyle w:val="Normal"/>
        <w:spacing w:before="60" w:after="60"/>
        <w:ind w:left="360"/>
        <w:rPr>
          <w:rFonts w:ascii="Titillium" w:hAnsi="Titillium"/>
          <w:iCs/>
          <w:sz w:val="18"/>
          <w:szCs w:val="18"/>
          <w:u w:val="single"/>
          <w:shd w:fill="FFFFFF" w:val="clear"/>
        </w:rPr>
      </w:pPr>
      <w:r>
        <w:rPr>
          <w:rFonts w:ascii="Titillium" w:hAnsi="Titillium"/>
          <w:iCs/>
          <w:sz w:val="18"/>
          <w:szCs w:val="18"/>
          <w:u w:val="single"/>
          <w:shd w:fill="FFFFFF" w:val="clear"/>
        </w:rPr>
      </w:r>
    </w:p>
    <w:p>
      <w:pPr>
        <w:pStyle w:val="Heading3"/>
        <w:numPr>
          <w:ilvl w:val="1"/>
          <w:numId w:val="3"/>
        </w:numPr>
        <w:ind w:hanging="426" w:left="426"/>
        <w:rPr/>
      </w:pPr>
      <w:bookmarkStart w:id="1700" w:name="_Toc231396682"/>
      <w:bookmarkStart w:id="1701" w:name="_Ref129789908"/>
      <w:bookmarkStart w:id="1702" w:name="_Ref129785861"/>
      <w:bookmarkStart w:id="1703" w:name="_Toc497831557"/>
      <w:bookmarkStart w:id="1704" w:name="_Toc498419755"/>
      <w:bookmarkStart w:id="1705" w:name="_Toc497484963"/>
      <w:bookmarkStart w:id="1706" w:name="_Toc497728161"/>
      <w:bookmarkStart w:id="1707" w:name="_Toc497831556"/>
      <w:bookmarkStart w:id="1708" w:name="_Toc498419754"/>
      <w:bookmarkStart w:id="1709" w:name="_Toc497484964"/>
      <w:bookmarkStart w:id="1710" w:name="_Toc497728162"/>
      <w:bookmarkEnd w:id="1703"/>
      <w:bookmarkEnd w:id="1704"/>
      <w:bookmarkEnd w:id="1705"/>
      <w:bookmarkEnd w:id="1706"/>
      <w:bookmarkEnd w:id="1707"/>
      <w:bookmarkEnd w:id="1708"/>
      <w:bookmarkEnd w:id="1709"/>
      <w:bookmarkEnd w:id="1710"/>
      <w:r>
        <w:rPr>
          <w:rFonts w:ascii="Titillium" w:hAnsi="Titillium"/>
          <w:sz w:val="18"/>
          <w:szCs w:val="18"/>
        </w:rPr>
        <w:t>DOMANDA DI PARTECIPAZIONE ED EVENTUALE PROCURA</w:t>
      </w:r>
      <w:bookmarkEnd w:id="1700"/>
      <w:bookmarkEnd w:id="1701"/>
      <w:bookmarkEnd w:id="1702"/>
      <w:r>
        <w:rPr>
          <w:rFonts w:ascii="Titillium" w:hAnsi="Titillium"/>
          <w:sz w:val="18"/>
          <w:szCs w:val="18"/>
        </w:rPr>
        <w:t xml:space="preserve"> </w:t>
      </w:r>
    </w:p>
    <w:p>
      <w:pPr>
        <w:pStyle w:val="Normal"/>
        <w:spacing w:before="60" w:after="60"/>
        <w:rPr>
          <w:rFonts w:ascii="Titillium" w:hAnsi="Titillium" w:cs="Calibri"/>
          <w:sz w:val="18"/>
          <w:szCs w:val="18"/>
        </w:rPr>
      </w:pPr>
      <w:r>
        <w:rPr>
          <w:rFonts w:cs="Calibri" w:ascii="Titillium" w:hAnsi="Titillium"/>
          <w:sz w:val="18"/>
          <w:szCs w:val="18"/>
        </w:rPr>
        <w:t>La domanda di partecipazione è redatta secondo il modello di cui all’allegato n. 2.</w:t>
      </w:r>
    </w:p>
    <w:p>
      <w:pPr>
        <w:pStyle w:val="Normal"/>
        <w:spacing w:before="60" w:after="60"/>
        <w:rPr>
          <w:rFonts w:ascii="Titillium" w:hAnsi="Titillium" w:cs="Calibri"/>
          <w:sz w:val="18"/>
          <w:szCs w:val="18"/>
        </w:rPr>
      </w:pPr>
      <w:r>
        <w:rPr>
          <w:rFonts w:cs="Calibri" w:ascii="Titillium" w:hAnsi="Titillium"/>
          <w:sz w:val="18"/>
          <w:szCs w:val="18"/>
        </w:rPr>
        <w:t>in conformità alla vigente normativa in tema di utilizzo di sistemi di intelligenza artificiale, nella domanda il concorrente è tenuto a dichiarare:</w:t>
      </w:r>
    </w:p>
    <w:p>
      <w:pPr>
        <w:pStyle w:val="Normal"/>
        <w:spacing w:before="60" w:after="60"/>
        <w:rPr>
          <w:rFonts w:ascii="Titillium" w:hAnsi="Titillium" w:cs="Calibri"/>
          <w:sz w:val="18"/>
          <w:szCs w:val="18"/>
        </w:rPr>
      </w:pPr>
      <w:r>
        <w:rPr>
          <w:rFonts w:cs="Calibri" w:ascii="Titillium" w:hAnsi="Titillium"/>
          <w:sz w:val="18"/>
          <w:szCs w:val="18"/>
        </w:rPr>
        <w:t xml:space="preserve">- se nell’elaborazione dell’offerta tecnica si è avvalso di sistemi di intelligenza artificiale, garantendo che l’uso di tali sistemi </w:t>
      </w:r>
      <w:r>
        <w:rPr>
          <w:rFonts w:cs="Calibri" w:ascii="Titillium" w:hAnsi="Titillium"/>
          <w:sz w:val="20"/>
          <w:szCs w:val="20"/>
          <w:shd w:fill="FFFFFF" w:val="clear"/>
        </w:rPr>
        <w:t>sistemi è avvenuto nel pieno rispetto del Reg. (UE) n. 2024/1689, della L. n. 132/2025 e della vigente normativa sul trattamento e protezione dei dati (Reg. (UE) 2016/679 – GDPR; D.Lgs. 196/2003);</w:t>
      </w:r>
    </w:p>
    <w:p>
      <w:pPr>
        <w:pStyle w:val="Normal"/>
        <w:spacing w:before="60" w:after="60"/>
        <w:rPr>
          <w:rFonts w:ascii="Titillium" w:hAnsi="Titillium" w:cs="Calibri"/>
          <w:sz w:val="18"/>
          <w:szCs w:val="18"/>
        </w:rPr>
      </w:pPr>
      <w:r>
        <w:rPr>
          <w:rFonts w:cs="Calibri" w:ascii="Titillium" w:hAnsi="Titillium"/>
          <w:sz w:val="20"/>
          <w:szCs w:val="20"/>
          <w:shd w:fill="FFFFFF" w:val="clear"/>
        </w:rPr>
        <w:t>- se, in caso di aggiudicazione dell’appalto, si avvarrà di sistemi di intelligenza artificiale ai fini dell’esecuzione della prestazione impegnandosi ad assicurare il rispetto delle medesime condizioni e garantendo l’osservanza del medesimo Reg. (UE) 2024/1689, della L. 132/2025 e della normativa sul trattamento dei dati (GDPR; D.Lgs. 196/2003).</w:t>
      </w:r>
    </w:p>
    <w:p>
      <w:pPr>
        <w:pStyle w:val="Normal"/>
        <w:spacing w:before="60" w:after="60"/>
        <w:rPr>
          <w:rFonts w:ascii="Titillium" w:hAnsi="Titillium" w:cs="Calibri"/>
          <w:iCs/>
          <w:sz w:val="18"/>
          <w:szCs w:val="18"/>
        </w:rPr>
      </w:pPr>
      <w:r>
        <w:rPr>
          <w:rFonts w:cs="Calibri" w:ascii="Titillium" w:hAnsi="Titillium"/>
          <w:iCs/>
          <w:sz w:val="18"/>
          <w:szCs w:val="18"/>
        </w:rPr>
        <w:t xml:space="preserve">Le dichiarazioni in ordine all’insussistenza delle cause automatiche di esclusione di cui all’articolo 94 commi 1 e 2 del Codice sono rese dall’operatore economico in relazione a tutti i soggetti indicati al comma 3. </w:t>
      </w:r>
    </w:p>
    <w:p>
      <w:pPr>
        <w:pStyle w:val="Normal"/>
        <w:spacing w:before="60" w:after="60"/>
        <w:rPr>
          <w:rFonts w:ascii="Titillium" w:hAnsi="Titillium" w:cs="Calibri"/>
          <w:iCs/>
          <w:sz w:val="18"/>
          <w:szCs w:val="18"/>
        </w:rPr>
      </w:pPr>
      <w:r>
        <w:rPr>
          <w:rFonts w:cs="Calibri" w:ascii="Titillium" w:hAnsi="Titillium"/>
          <w:iCs/>
          <w:sz w:val="18"/>
          <w:szCs w:val="18"/>
        </w:rPr>
        <w:t>Le dichiarazioni in ordine all’insussistenza delle cause non automatiche di esclusione di cui all’articolo 98, comma 3, lettere g) ed h) del Codice sono rese dall’operatore economico in relazione ai soggetti di cui al punto precedente.</w:t>
      </w:r>
    </w:p>
    <w:p>
      <w:pPr>
        <w:pStyle w:val="Normal"/>
        <w:spacing w:before="60" w:after="60"/>
        <w:rPr>
          <w:rFonts w:ascii="Titillium" w:hAnsi="Titillium" w:cs="Calibri"/>
          <w:iCs/>
          <w:sz w:val="18"/>
          <w:szCs w:val="18"/>
        </w:rPr>
      </w:pPr>
      <w:r>
        <w:rPr>
          <w:rFonts w:cs="Calibri" w:ascii="Titillium" w:hAnsi="Titillium"/>
          <w:iCs/>
          <w:sz w:val="18"/>
          <w:szCs w:val="18"/>
        </w:rPr>
        <w:t>Le dichiarazioni in ordine all’insussistenza delle altre cause di esclusione sono rese in relazione all’operatore economico.</w:t>
      </w:r>
    </w:p>
    <w:p>
      <w:pPr>
        <w:pStyle w:val="Normal"/>
        <w:spacing w:before="60" w:after="60"/>
        <w:rPr>
          <w:rFonts w:ascii="Titillium" w:hAnsi="Titillium" w:cs="Calibri"/>
          <w:iCs/>
          <w:sz w:val="18"/>
          <w:szCs w:val="18"/>
        </w:rPr>
      </w:pPr>
      <w:r>
        <w:rPr>
          <w:rFonts w:cs="Calibri" w:ascii="Titillium" w:hAnsi="Titillium"/>
          <w:iCs/>
          <w:sz w:val="18"/>
          <w:szCs w:val="18"/>
        </w:rPr>
        <w:t>Con riferimento alle cause di esclusione di cui all’articolo 95 del Codice, il concorrente dichiara:</w:t>
      </w:r>
    </w:p>
    <w:p>
      <w:pPr>
        <w:pStyle w:val="Normal"/>
        <w:spacing w:before="60" w:after="60"/>
        <w:rPr>
          <w:rFonts w:ascii="Titillium" w:hAnsi="Titillium" w:cs="Calibri"/>
          <w:iCs/>
          <w:sz w:val="18"/>
          <w:szCs w:val="18"/>
        </w:rPr>
      </w:pPr>
      <w:r>
        <w:rPr>
          <w:rFonts w:cs="Calibri" w:ascii="Titillium" w:hAnsi="Titillium"/>
          <w:iCs/>
          <w:sz w:val="18"/>
          <w:szCs w:val="18"/>
        </w:rPr>
        <w:t>-</w:t>
        <w:tab/>
        <w:t xml:space="preserve">le gravi infrazioni di cui all’articolo 95, comma 1, lettera a) del Codice commesse nei tre anni antecedenti la data di pubblicazione del bando di gara; </w:t>
      </w:r>
    </w:p>
    <w:p>
      <w:pPr>
        <w:pStyle w:val="Normal"/>
        <w:spacing w:before="60" w:after="60"/>
        <w:rPr>
          <w:rFonts w:ascii="Titillium" w:hAnsi="Titillium" w:cs="Calibri"/>
          <w:iCs/>
          <w:sz w:val="18"/>
          <w:szCs w:val="18"/>
        </w:rPr>
      </w:pPr>
      <w:r>
        <w:rPr>
          <w:rFonts w:cs="Calibri" w:ascii="Titillium" w:hAnsi="Titillium"/>
          <w:iCs/>
          <w:sz w:val="18"/>
          <w:szCs w:val="18"/>
        </w:rPr>
        <w:t>-</w:t>
        <w:tab/>
        <w:t>gli atti e i provvedimenti indicati all’articolo 98 comma 6 del codice emessi nei tre anni antecedenti la data di pubblicazione del bando di gara</w:t>
      </w:r>
    </w:p>
    <w:p>
      <w:pPr>
        <w:pStyle w:val="Normal"/>
        <w:spacing w:before="60" w:after="60"/>
        <w:rPr>
          <w:rFonts w:ascii="Titillium" w:hAnsi="Titillium" w:cs="Calibri"/>
          <w:iCs/>
          <w:sz w:val="18"/>
          <w:szCs w:val="18"/>
        </w:rPr>
      </w:pPr>
      <w:r>
        <w:rPr>
          <w:rFonts w:cs="Calibri" w:ascii="Titillium" w:hAnsi="Titillium"/>
          <w:iCs/>
          <w:sz w:val="18"/>
          <w:szCs w:val="18"/>
        </w:rPr>
        <w:t>-</w:t>
        <w:tab/>
        <w:t>tutti gli altri comportamenti di cui all’articolo 98 del Codice, commessi nei tre anni antecedenti la data di pubblicazione del bando di gara.</w:t>
      </w:r>
    </w:p>
    <w:p>
      <w:pPr>
        <w:pStyle w:val="Normal"/>
        <w:spacing w:before="60" w:after="60"/>
        <w:rPr>
          <w:rFonts w:ascii="Titillium" w:hAnsi="Titillium" w:cs="Calibri"/>
          <w:iCs/>
          <w:sz w:val="18"/>
          <w:szCs w:val="18"/>
        </w:rPr>
      </w:pPr>
      <w:r>
        <w:rPr>
          <w:rFonts w:cs="Calibri" w:ascii="Titillium" w:hAnsi="Titillium"/>
          <w:iCs/>
          <w:sz w:val="18"/>
          <w:szCs w:val="18"/>
        </w:rPr>
        <w:t>La dichiarazione di cui sopra deve essere resa anche nel caso di impugnazione in giudizio dei relativi provvedimenti.</w:t>
      </w:r>
    </w:p>
    <w:p>
      <w:pPr>
        <w:pStyle w:val="Normal"/>
        <w:spacing w:before="60" w:after="60"/>
        <w:rPr>
          <w:rFonts w:ascii="Titillium" w:hAnsi="Titillium" w:cs="Calibri"/>
          <w:iCs/>
          <w:sz w:val="18"/>
          <w:szCs w:val="18"/>
        </w:rPr>
      </w:pPr>
      <w:r>
        <w:rPr>
          <w:rFonts w:cs="Calibri" w:ascii="Titillium" w:hAnsi="Titillium"/>
          <w:iCs/>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pPr>
        <w:pStyle w:val="Normal"/>
        <w:spacing w:before="60" w:after="60"/>
        <w:rPr>
          <w:rFonts w:ascii="Titillium" w:hAnsi="Titillium" w:cs="Calibri"/>
          <w:iCs/>
          <w:sz w:val="18"/>
          <w:szCs w:val="18"/>
        </w:rPr>
      </w:pPr>
      <w:r>
        <w:rPr>
          <w:rFonts w:cs="Calibri" w:ascii="Titillium" w:hAnsi="Titillium"/>
          <w:iCs/>
          <w:sz w:val="18"/>
          <w:szCs w:val="18"/>
        </w:rPr>
        <w:t>L’operatore economico adotta le misure di self-cleaning che è stato impossibilitato ad adottare prima della presentazione dell’offerta e quelle relative a cause di esclusione che si sono verificate dopo tale momento.</w:t>
      </w:r>
    </w:p>
    <w:p>
      <w:pPr>
        <w:pStyle w:val="Normal"/>
        <w:spacing w:before="60" w:after="60"/>
        <w:rPr>
          <w:rFonts w:ascii="Titillium" w:hAnsi="Titillium" w:cs="Calibri"/>
          <w:iCs/>
          <w:sz w:val="18"/>
          <w:szCs w:val="18"/>
        </w:rPr>
      </w:pPr>
      <w:r>
        <w:rPr>
          <w:rFonts w:cs="Calibri" w:ascii="Titillium" w:hAnsi="Titillium"/>
          <w:iCs/>
          <w:sz w:val="18"/>
          <w:szCs w:val="18"/>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pPr>
        <w:pStyle w:val="Normal"/>
        <w:spacing w:before="60" w:after="60"/>
        <w:rPr>
          <w:rFonts w:ascii="Titillium" w:hAnsi="Titillium" w:cs="Calibri"/>
          <w:iCs/>
          <w:sz w:val="18"/>
          <w:szCs w:val="18"/>
        </w:rPr>
      </w:pPr>
      <w:r>
        <w:rPr>
          <w:rFonts w:cs="Calibri" w:ascii="Titillium" w:hAnsi="Titillium"/>
          <w:iCs/>
          <w:sz w:val="18"/>
          <w:szCs w:val="18"/>
        </w:rPr>
        <w:t>In caso di raggruppamento temporaneo, consorzio ordinario, aggregazione di retisti, GEIE, il concorrente fornisce i dati identificativi (ragione sociale, codice fiscale, sede) e il ruolo di ciascun partecipante.</w:t>
      </w:r>
    </w:p>
    <w:p>
      <w:pPr>
        <w:pStyle w:val="Normal"/>
        <w:spacing w:before="60" w:after="60"/>
        <w:rPr>
          <w:rFonts w:ascii="Titillium" w:hAnsi="Titillium" w:cs="Calibri"/>
          <w:iCs/>
          <w:sz w:val="18"/>
          <w:szCs w:val="18"/>
        </w:rPr>
      </w:pPr>
      <w:r>
        <w:rPr>
          <w:rFonts w:cs="Calibri" w:ascii="Titillium" w:hAnsi="Titillium"/>
          <w:iCs/>
          <w:sz w:val="18"/>
          <w:szCs w:val="18"/>
        </w:rPr>
        <w:t>In caso di consorzio di cooperative, consorzio imprese artigiane o di consorzio stabile di cui all’articolo 65, comma 2, lettera b), c), d) del Codice, il consorzio indica il consorziato per il quale concorre alla gara.</w:t>
      </w:r>
    </w:p>
    <w:p>
      <w:pPr>
        <w:pStyle w:val="Normal"/>
        <w:spacing w:before="60" w:after="60"/>
        <w:rPr>
          <w:rFonts w:ascii="Titillium" w:hAnsi="Titillium" w:cs="Calibri"/>
          <w:iCs/>
          <w:sz w:val="18"/>
          <w:szCs w:val="18"/>
        </w:rPr>
      </w:pPr>
      <w:r>
        <w:rPr>
          <w:rFonts w:cs="Calibri" w:ascii="Titillium" w:hAnsi="Titillium"/>
          <w:iCs/>
          <w:sz w:val="18"/>
          <w:szCs w:val="18"/>
        </w:rPr>
        <w:t>Nella domanda di partecipazione il concorrente dichiara:</w:t>
      </w:r>
    </w:p>
    <w:p>
      <w:pPr>
        <w:pStyle w:val="Normal"/>
        <w:spacing w:before="60" w:after="60"/>
        <w:rPr>
          <w:rFonts w:ascii="Titillium" w:hAnsi="Titillium" w:cs="Calibri"/>
          <w:iCs/>
          <w:sz w:val="18"/>
          <w:szCs w:val="18"/>
        </w:rPr>
      </w:pPr>
      <w:r>
        <w:rPr>
          <w:rFonts w:cs="Calibri" w:ascii="Titillium" w:hAnsi="Titillium"/>
          <w:iCs/>
          <w:sz w:val="18"/>
          <w:szCs w:val="18"/>
        </w:rPr>
        <w:t>- 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pPr>
        <w:pStyle w:val="Normal"/>
        <w:spacing w:before="60" w:after="60"/>
        <w:rPr>
          <w:rFonts w:ascii="Titillium" w:hAnsi="Titillium" w:cs="Calibri"/>
          <w:iCs/>
          <w:sz w:val="18"/>
          <w:szCs w:val="18"/>
        </w:rPr>
      </w:pPr>
      <w:r>
        <w:rPr>
          <w:rFonts w:cs="Calibri" w:ascii="Titillium" w:hAnsi="Titillium"/>
          <w:iCs/>
          <w:sz w:val="18"/>
          <w:szCs w:val="18"/>
        </w:rPr>
        <w:t>-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pPr>
        <w:pStyle w:val="Normal"/>
        <w:spacing w:before="60" w:after="60"/>
        <w:rPr>
          <w:rFonts w:ascii="Titillium" w:hAnsi="Titillium" w:cs="Calibri"/>
          <w:iCs/>
          <w:sz w:val="18"/>
          <w:szCs w:val="18"/>
        </w:rPr>
      </w:pPr>
      <w:r>
        <w:rPr>
          <w:rFonts w:cs="Calibri" w:ascii="Titillium" w:hAnsi="Titillium"/>
          <w:iCs/>
          <w:sz w:val="18"/>
          <w:szCs w:val="18"/>
        </w:rPr>
        <w:t>- di accettare, senza condizione o riserva alcuna, tutte le norme e disposizioni contenute nella documentazione gara;</w:t>
      </w:r>
    </w:p>
    <w:p>
      <w:pPr>
        <w:pStyle w:val="Normal"/>
        <w:spacing w:before="60" w:after="60"/>
        <w:rPr>
          <w:rFonts w:ascii="Titillium" w:hAnsi="Titillium" w:cs="Calibri"/>
          <w:iCs/>
          <w:sz w:val="18"/>
          <w:szCs w:val="18"/>
        </w:rPr>
      </w:pPr>
      <w:r>
        <w:rPr>
          <w:rFonts w:cs="Calibri" w:ascii="Titillium" w:hAnsi="Titillium"/>
          <w:iCs/>
          <w:sz w:val="18"/>
          <w:szCs w:val="18"/>
        </w:rPr>
        <w:t>- di applicare il CCNL indicato dalla stazione appaltante o altro CCNL equivalente, con l’indicazione del relativo codice alfanumerico unico di cui all’articolo 16 quater del decreto-legge 76/20;</w:t>
      </w:r>
    </w:p>
    <w:p>
      <w:pPr>
        <w:pStyle w:val="Normal"/>
        <w:spacing w:before="60" w:after="60"/>
        <w:rPr>
          <w:rFonts w:ascii="Titillium" w:hAnsi="Titillium" w:cs="Calibri"/>
          <w:iCs/>
          <w:sz w:val="18"/>
          <w:szCs w:val="18"/>
        </w:rPr>
      </w:pPr>
      <w:r>
        <w:rPr>
          <w:rFonts w:cs="Calibri" w:ascii="Titillium" w:hAnsi="Titillium"/>
          <w:iCs/>
          <w:sz w:val="18"/>
          <w:szCs w:val="18"/>
        </w:rPr>
        <w:t>- di garantire, secondo quanto indicato all’articolo 9, la stabilità occupazionale del personale impiegato;</w:t>
      </w:r>
    </w:p>
    <w:p>
      <w:pPr>
        <w:pStyle w:val="Normal"/>
        <w:spacing w:before="60" w:after="60"/>
        <w:rPr>
          <w:rFonts w:ascii="Titillium" w:hAnsi="Titillium" w:cs="Calibri"/>
          <w:iCs/>
          <w:sz w:val="18"/>
          <w:szCs w:val="18"/>
        </w:rPr>
      </w:pPr>
      <w:r>
        <w:rPr>
          <w:rFonts w:cs="Calibri" w:ascii="Titillium" w:hAnsi="Titillium"/>
          <w:iCs/>
          <w:sz w:val="18"/>
          <w:szCs w:val="18"/>
        </w:rPr>
        <w:t>- di essere edotto degli obblighi derivanti dal Codice di comportamento adottato dalla stazione appaltante con Delibera del Direttore Generale n.40 del 25.01.2024, pubblicato nella sezione amministrazione trasparente https://www.ausl.bologna.it/amministrazione-trasparente/disposizioni-generali/atti-generali/cdcc e di impegnarsi, in caso di aggiudicazione, ad osservare e a far osservare ai propri dipendenti e collaboratori, per quanto applicabile, il suddetto codice, pena la risoluzione del contratto;</w:t>
      </w:r>
    </w:p>
    <w:p>
      <w:pPr>
        <w:pStyle w:val="Normal"/>
        <w:spacing w:before="60" w:after="60"/>
        <w:rPr>
          <w:rFonts w:ascii="Titillium" w:hAnsi="Titillium" w:cs="Calibri"/>
          <w:iCs/>
          <w:sz w:val="18"/>
          <w:szCs w:val="18"/>
        </w:rPr>
      </w:pPr>
      <w:r>
        <w:rPr>
          <w:rFonts w:cs="Calibri" w:ascii="Titillium" w:hAnsi="Titillium"/>
          <w:iCs/>
          <w:sz w:val="18"/>
          <w:szCs w:val="18"/>
        </w:rPr>
        <w:t>- di accettare il patto di integrità di cui a protocollo n.121859 del 13.11.2023 dell’Ausl di Bologna di aggiornamento del Patto di Integrità approvato di cui a delibera n.41 del 30.01.2015 dell’Azienda USL di Bologna  accessibile al seguente link https://www.ausl.bologna.it/asl-bologna/da/uoc-servizio-acquisti-metropolitano/trasparenza/atti-generali/Patto%20di%20Integrita.pdf/view :</w:t>
      </w:r>
    </w:p>
    <w:p>
      <w:pPr>
        <w:pStyle w:val="Normal"/>
        <w:spacing w:before="60" w:after="60"/>
        <w:rPr>
          <w:rFonts w:ascii="Titillium" w:hAnsi="Titillium" w:cs="Calibri"/>
          <w:iCs/>
          <w:sz w:val="18"/>
          <w:szCs w:val="18"/>
        </w:rPr>
      </w:pPr>
      <w:r>
        <w:rPr>
          <w:rFonts w:cs="Calibri" w:ascii="Titillium" w:hAnsi="Titillium"/>
          <w:iCs/>
          <w:sz w:val="18"/>
          <w:szCs w:val="18"/>
        </w:rPr>
        <w:t>- 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pPr>
        <w:pStyle w:val="Normal"/>
        <w:spacing w:before="60" w:after="60"/>
        <w:rPr>
          <w:rFonts w:ascii="Titillium" w:hAnsi="Titillium" w:cs="Calibri"/>
          <w:iCs/>
          <w:sz w:val="18"/>
          <w:szCs w:val="18"/>
        </w:rPr>
      </w:pPr>
      <w:r>
        <w:rPr>
          <w:rFonts w:cs="Calibri" w:ascii="Titillium" w:hAnsi="Titillium"/>
          <w:iCs/>
          <w:sz w:val="18"/>
          <w:szCs w:val="18"/>
        </w:rPr>
        <w:t>- per gli operatori economici non residenti e privi di stabile organizzazione in Italia, il domicilio fiscale …, il codice fiscale …, la partita IVA …, l’indirizzo di posta elettronica certificata o strumento analogo negli altri Stati Membri, ai fini delle comunicazioni di cui all’articolo 90 del Codice;</w:t>
      </w:r>
    </w:p>
    <w:p>
      <w:pPr>
        <w:pStyle w:val="Normal"/>
        <w:spacing w:before="60" w:after="60"/>
        <w:rPr>
          <w:rFonts w:ascii="Titillium" w:hAnsi="Titillium" w:cs="Calibri"/>
          <w:iCs/>
          <w:sz w:val="18"/>
          <w:szCs w:val="18"/>
        </w:rPr>
      </w:pPr>
      <w:r>
        <w:rPr>
          <w:rFonts w:cs="Calibri" w:ascii="Titillium" w:hAnsi="Titillium"/>
          <w:iCs/>
          <w:sz w:val="18"/>
          <w:szCs w:val="18"/>
        </w:rPr>
        <w:t>- di aver preso visione e di accettare il trattamento dei dati personali di cui al punto 29.</w:t>
      </w:r>
    </w:p>
    <w:p>
      <w:pPr>
        <w:pStyle w:val="Normal"/>
        <w:spacing w:before="60" w:after="60"/>
        <w:rPr>
          <w:rFonts w:ascii="Titillium" w:hAnsi="Titillium" w:cs="Calibri"/>
          <w:iCs/>
          <w:sz w:val="18"/>
          <w:szCs w:val="18"/>
        </w:rPr>
      </w:pPr>
      <w:r>
        <w:rPr>
          <w:rFonts w:cs="Calibri" w:ascii="Titillium" w:hAnsi="Titillium"/>
          <w:iCs/>
          <w:sz w:val="18"/>
          <w:szCs w:val="18"/>
        </w:rPr>
      </w:r>
    </w:p>
    <w:p>
      <w:pPr>
        <w:pStyle w:val="Normal"/>
        <w:spacing w:before="60" w:after="60"/>
        <w:rPr>
          <w:rFonts w:ascii="Titillium" w:hAnsi="Titillium"/>
          <w:sz w:val="18"/>
          <w:szCs w:val="18"/>
        </w:rPr>
      </w:pPr>
      <w:bookmarkStart w:id="1711" w:name="_Toc484688885"/>
      <w:bookmarkStart w:id="1712" w:name="_Toc485218321"/>
      <w:bookmarkStart w:id="1713" w:name="_Toc483302395"/>
      <w:bookmarkStart w:id="1714" w:name="_Toc483316016"/>
      <w:bookmarkStart w:id="1715" w:name="_Toc483316221"/>
      <w:bookmarkStart w:id="1716" w:name="_Toc483316353"/>
      <w:bookmarkStart w:id="1717" w:name="_Toc483316484"/>
      <w:bookmarkStart w:id="1718" w:name="_Toc483325787"/>
      <w:bookmarkStart w:id="1719" w:name="_Toc483401266"/>
      <w:bookmarkStart w:id="1720" w:name="_Toc483474063"/>
      <w:bookmarkStart w:id="1721" w:name="_Toc483571492"/>
      <w:bookmarkStart w:id="1722" w:name="_Toc483571613"/>
      <w:bookmarkStart w:id="1723" w:name="_Toc483906990"/>
      <w:bookmarkStart w:id="1724" w:name="_Toc484010740"/>
      <w:bookmarkStart w:id="1725" w:name="_Toc484010862"/>
      <w:bookmarkStart w:id="1726" w:name="_Toc484010986"/>
      <w:bookmarkStart w:id="1727" w:name="_Toc484011108"/>
      <w:bookmarkStart w:id="1728" w:name="_Toc484011230"/>
      <w:bookmarkStart w:id="1729" w:name="_Toc484011705"/>
      <w:bookmarkStart w:id="1730" w:name="_Toc484097779"/>
      <w:bookmarkStart w:id="1731" w:name="_Toc484428951"/>
      <w:bookmarkStart w:id="1732" w:name="_Toc484429121"/>
      <w:bookmarkStart w:id="1733" w:name="_Toc484438696"/>
      <w:bookmarkStart w:id="1734" w:name="_Toc484438820"/>
      <w:bookmarkStart w:id="1735" w:name="_Toc484438944"/>
      <w:bookmarkStart w:id="1736" w:name="_Toc484439864"/>
      <w:bookmarkStart w:id="1737" w:name="_Toc484439987"/>
      <w:bookmarkStart w:id="1738" w:name="_Toc484440111"/>
      <w:bookmarkStart w:id="1739" w:name="_Toc484440471"/>
      <w:bookmarkStart w:id="1740" w:name="_Toc484448130"/>
      <w:bookmarkStart w:id="1741" w:name="_Toc484448255"/>
      <w:bookmarkStart w:id="1742" w:name="_Toc484448379"/>
      <w:bookmarkStart w:id="1743" w:name="_Toc484448503"/>
      <w:bookmarkStart w:id="1744" w:name="_Toc484448627"/>
      <w:bookmarkStart w:id="1745" w:name="_Toc484448751"/>
      <w:bookmarkStart w:id="1746" w:name="_Toc484448874"/>
      <w:bookmarkStart w:id="1747" w:name="_Toc484448998"/>
      <w:bookmarkStart w:id="1748" w:name="_Toc484449122"/>
      <w:bookmarkStart w:id="1749" w:name="_Toc484526617"/>
      <w:bookmarkStart w:id="1750" w:name="_Toc484605337"/>
      <w:bookmarkStart w:id="1751" w:name="_Toc484605461"/>
      <w:bookmarkStart w:id="1752" w:name="_Toc484688330"/>
      <w:bookmarkStart w:id="1753" w:name="_Ref4984219821"/>
      <w:bookmarkStart w:id="1754" w:name="_Toc609251781"/>
      <w:bookmarkStart w:id="1755" w:name="_Toc3805018791"/>
      <w:bookmarkStart w:id="1756" w:name="_Toc3910359921"/>
      <w:bookmarkStart w:id="1757" w:name="_Toc3910360651"/>
      <w:bookmarkStart w:id="1758" w:name="_Toc3925775061"/>
      <w:bookmarkStart w:id="1759" w:name="_Toc3931105731"/>
      <w:bookmarkStart w:id="1760" w:name="_Toc3931121371"/>
      <w:bookmarkStart w:id="1761" w:name="_Toc3931878541"/>
      <w:bookmarkStart w:id="1762" w:name="_Toc3932726101"/>
      <w:bookmarkStart w:id="1763" w:name="_Toc3932726681"/>
      <w:bookmarkStart w:id="1764" w:name="_Toc3932831841"/>
      <w:bookmarkStart w:id="1765" w:name="_Toc3937008431"/>
      <w:bookmarkStart w:id="1766" w:name="_Toc3937069161"/>
      <w:bookmarkStart w:id="1767" w:name="_Toc3973468311"/>
      <w:bookmarkStart w:id="1768" w:name="_Toc3974228721"/>
      <w:bookmarkStart w:id="1769" w:name="_Toc4034712791"/>
      <w:bookmarkStart w:id="1770" w:name="_Toc4060583871"/>
      <w:bookmarkStart w:id="1771" w:name="_Toc4067541881"/>
      <w:bookmarkStart w:id="1772" w:name="_Toc4164233711"/>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Pr>
          <w:rFonts w:cs="Calibri" w:ascii="Titillium" w:hAnsi="Titillium"/>
          <w:sz w:val="18"/>
          <w:szCs w:val="18"/>
        </w:rPr>
        <w:t>La domanda e le relative dichiarazioni sono sottoscritte</w:t>
      </w:r>
      <w:r>
        <w:rPr>
          <w:rFonts w:ascii="Titillium" w:hAnsi="Titillium"/>
          <w:sz w:val="18"/>
          <w:szCs w:val="18"/>
        </w:rPr>
        <w:t xml:space="preserve"> </w:t>
      </w:r>
      <w:r>
        <w:rPr>
          <w:rFonts w:cs="Calibri" w:ascii="Titillium" w:hAnsi="Titillium"/>
          <w:sz w:val="18"/>
          <w:szCs w:val="18"/>
        </w:rPr>
        <w:t>ai sensi del decreto legislativo n. 82/2005:</w:t>
      </w:r>
    </w:p>
    <w:p>
      <w:pPr>
        <w:pStyle w:val="ListParagraph"/>
        <w:numPr>
          <w:ilvl w:val="0"/>
          <w:numId w:val="7"/>
        </w:numPr>
        <w:spacing w:before="60" w:after="60"/>
        <w:ind w:hanging="284" w:left="426"/>
        <w:contextualSpacing w:val="false"/>
        <w:rPr>
          <w:rFonts w:ascii="Titillium" w:hAnsi="Titillium"/>
          <w:sz w:val="18"/>
          <w:szCs w:val="18"/>
        </w:rPr>
      </w:pPr>
      <w:r>
        <w:rPr>
          <w:rFonts w:cs="Calibri" w:ascii="Titillium" w:hAnsi="Titillium"/>
          <w:sz w:val="18"/>
          <w:szCs w:val="18"/>
        </w:rPr>
        <w:t>dal concorrente che partecipa in forma singola;</w:t>
      </w:r>
    </w:p>
    <w:p>
      <w:pPr>
        <w:pStyle w:val="ListParagraph"/>
        <w:numPr>
          <w:ilvl w:val="0"/>
          <w:numId w:val="7"/>
        </w:numPr>
        <w:spacing w:before="60" w:after="60"/>
        <w:ind w:hanging="284" w:left="426"/>
        <w:contextualSpacing w:val="false"/>
        <w:rPr>
          <w:rFonts w:ascii="Titillium" w:hAnsi="Titillium"/>
          <w:sz w:val="18"/>
          <w:szCs w:val="18"/>
        </w:rPr>
      </w:pPr>
      <w:r>
        <w:rPr>
          <w:rFonts w:cs="Calibri" w:ascii="Titillium" w:hAnsi="Titillium"/>
          <w:sz w:val="18"/>
          <w:szCs w:val="18"/>
        </w:rPr>
        <w:t>nel caso di raggruppamento temporaneo o consorzio ordinario o GEIE costituiti, dalla mandataria/capofila;</w:t>
      </w:r>
    </w:p>
    <w:p>
      <w:pPr>
        <w:pStyle w:val="ListParagraph"/>
        <w:numPr>
          <w:ilvl w:val="0"/>
          <w:numId w:val="7"/>
        </w:numPr>
        <w:spacing w:before="60" w:after="60"/>
        <w:ind w:hanging="284" w:left="426"/>
        <w:contextualSpacing w:val="false"/>
        <w:rPr>
          <w:rFonts w:ascii="Titillium" w:hAnsi="Titillium"/>
          <w:sz w:val="18"/>
          <w:szCs w:val="18"/>
        </w:rPr>
      </w:pPr>
      <w:r>
        <w:rPr>
          <w:rFonts w:cs="Calibri" w:ascii="Titillium" w:hAnsi="Titillium"/>
          <w:sz w:val="18"/>
          <w:szCs w:val="18"/>
        </w:rPr>
        <w:t>nel caso di raggruppamento temporaneo o consorzio ordinario o GEIE non ancora costituiti, da tutti i soggetti che costituiranno il raggruppamento o il consorzio o il gruppo;</w:t>
      </w:r>
    </w:p>
    <w:p>
      <w:pPr>
        <w:pStyle w:val="ListParagraph"/>
        <w:numPr>
          <w:ilvl w:val="0"/>
          <w:numId w:val="7"/>
        </w:numPr>
        <w:spacing w:before="60" w:after="60"/>
        <w:ind w:hanging="284" w:left="426"/>
        <w:contextualSpacing w:val="false"/>
        <w:rPr>
          <w:rFonts w:ascii="Titillium" w:hAnsi="Titillium" w:cs="Calibri"/>
          <w:sz w:val="18"/>
          <w:szCs w:val="18"/>
        </w:rPr>
      </w:pPr>
      <w:r>
        <w:rPr>
          <w:rFonts w:cs="Calibri" w:ascii="Titillium" w:hAnsi="Titillium"/>
          <w:sz w:val="18"/>
          <w:szCs w:val="18"/>
        </w:rPr>
        <w:t>nel caso di aggregazioni di retisti:</w:t>
      </w:r>
    </w:p>
    <w:p>
      <w:pPr>
        <w:pStyle w:val="Normal"/>
        <w:numPr>
          <w:ilvl w:val="4"/>
          <w:numId w:val="1"/>
        </w:numPr>
        <w:spacing w:before="60" w:after="60"/>
        <w:ind w:hanging="283" w:left="709"/>
        <w:rPr>
          <w:rFonts w:ascii="Titillium" w:hAnsi="Titillium"/>
          <w:sz w:val="18"/>
          <w:szCs w:val="18"/>
        </w:rPr>
      </w:pPr>
      <w:r>
        <w:rPr>
          <w:rFonts w:cs="Calibri" w:ascii="Titillium" w:hAnsi="Titillium"/>
          <w:sz w:val="18"/>
          <w:szCs w:val="18"/>
        </w:rPr>
        <w:t>se la rete è dotata di un organo comune con potere di rappresentanza e con soggettività giuridica, ai sensi dell’articolo 3, comma 4-</w:t>
      </w:r>
      <w:r>
        <w:rPr>
          <w:rFonts w:cs="Calibri" w:ascii="Titillium" w:hAnsi="Titillium"/>
          <w:i/>
          <w:sz w:val="18"/>
          <w:szCs w:val="18"/>
        </w:rPr>
        <w:t>quater</w:t>
      </w:r>
      <w:r>
        <w:rPr>
          <w:rFonts w:cs="Calibri" w:ascii="Titillium" w:hAnsi="Titillium"/>
          <w:sz w:val="18"/>
          <w:szCs w:val="18"/>
        </w:rPr>
        <w:t>, del decreto-legge 10 febbraio 2009, n. 5, la domanda di partecipazione deve essere sottoscritta dal solo operatore economico che riveste la funzione di organo comune;</w:t>
      </w:r>
    </w:p>
    <w:p>
      <w:pPr>
        <w:pStyle w:val="Normal"/>
        <w:numPr>
          <w:ilvl w:val="4"/>
          <w:numId w:val="1"/>
        </w:numPr>
        <w:spacing w:before="60" w:after="60"/>
        <w:ind w:hanging="283" w:left="709"/>
        <w:rPr>
          <w:rFonts w:ascii="Titillium" w:hAnsi="Titillium"/>
          <w:sz w:val="18"/>
          <w:szCs w:val="18"/>
        </w:rPr>
      </w:pPr>
      <w:r>
        <w:rPr>
          <w:rFonts w:cs="Calibri" w:ascii="Titillium" w:hAnsi="Titillium"/>
          <w:sz w:val="18"/>
          <w:szCs w:val="18"/>
          <w:lang w:eastAsia="it-IT"/>
        </w:rPr>
        <w:t>se la rete è dotata di un organo comune con potere di rappresentanza ma è priva di soggettività giuridica, ai sensi dell’articolo 3, comma 4-</w:t>
      </w:r>
      <w:r>
        <w:rPr>
          <w:rFonts w:cs="Calibri" w:ascii="Titillium" w:hAnsi="Titillium"/>
          <w:i/>
          <w:sz w:val="18"/>
          <w:szCs w:val="18"/>
          <w:lang w:eastAsia="it-IT"/>
        </w:rPr>
        <w:t>quater</w:t>
      </w:r>
      <w:r>
        <w:rPr>
          <w:rFonts w:cs="Calibri" w:ascii="Titillium" w:hAnsi="Titillium"/>
          <w:sz w:val="18"/>
          <w:szCs w:val="18"/>
          <w:lang w:eastAsia="it-IT"/>
        </w:rPr>
        <w:t xml:space="preserve">, del decreto-legge 10 febbraio 2009, n. 5, la domanda di partecipazione deve essere sottoscritta </w:t>
      </w:r>
      <w:r>
        <w:rPr>
          <w:rFonts w:cs="Calibri" w:ascii="Titillium" w:hAnsi="Titillium"/>
          <w:sz w:val="18"/>
          <w:szCs w:val="18"/>
        </w:rPr>
        <w:t>dal</w:t>
      </w:r>
      <w:r>
        <w:rPr>
          <w:rFonts w:cs="Calibri" w:ascii="Titillium" w:hAnsi="Titillium"/>
          <w:sz w:val="18"/>
          <w:szCs w:val="18"/>
          <w:lang w:eastAsia="it-IT"/>
        </w:rPr>
        <w:t xml:space="preserve">l’impresa che riveste le funzioni di organo comune nonché da ognuno dei retisti che partecipa alla gara; </w:t>
      </w:r>
    </w:p>
    <w:p>
      <w:pPr>
        <w:pStyle w:val="Normal"/>
        <w:numPr>
          <w:ilvl w:val="4"/>
          <w:numId w:val="1"/>
        </w:numPr>
        <w:spacing w:before="60" w:after="60"/>
        <w:ind w:hanging="283" w:left="709"/>
        <w:rPr>
          <w:rFonts w:ascii="Titillium" w:hAnsi="Titillium"/>
          <w:sz w:val="18"/>
          <w:szCs w:val="18"/>
        </w:rPr>
      </w:pPr>
      <w:r>
        <w:rPr>
          <w:rFonts w:cs="Calibri" w:ascii="Titillium" w:hAnsi="Titillium"/>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pPr>
        <w:pStyle w:val="Normal"/>
        <w:spacing w:before="60" w:after="60"/>
        <w:ind w:hanging="256" w:left="426"/>
        <w:rPr>
          <w:rFonts w:ascii="Titillium" w:hAnsi="Titillium"/>
          <w:sz w:val="18"/>
          <w:szCs w:val="18"/>
        </w:rPr>
      </w:pPr>
      <w:r>
        <w:rPr>
          <w:rFonts w:cs="Arial" w:ascii="Titillium" w:hAnsi="Titillium"/>
          <w:sz w:val="18"/>
          <w:szCs w:val="18"/>
        </w:rPr>
        <w:t xml:space="preserve">- </w:t>
        <w:tab/>
        <w:t>nel</w:t>
      </w:r>
      <w:r>
        <w:rPr>
          <w:rFonts w:cs="Calibri" w:ascii="Titillium" w:hAnsi="Titillium"/>
          <w:sz w:val="18"/>
          <w:szCs w:val="18"/>
          <w:lang w:eastAsia="it-IT"/>
        </w:rPr>
        <w:t xml:space="preserve"> caso di consorzio di cooperative e imprese artigiane o di consorzio stabile di cui all’articolo 65, comma 2, lettera b), c) e d) del Codice, </w:t>
      </w:r>
      <w:r>
        <w:rPr>
          <w:rFonts w:cs="Calibri" w:ascii="Titillium" w:hAnsi="Titillium"/>
          <w:sz w:val="18"/>
          <w:szCs w:val="18"/>
        </w:rPr>
        <w:t>la domanda è sottoscritta</w:t>
      </w:r>
      <w:r>
        <w:rPr>
          <w:rFonts w:cs="Calibri" w:ascii="Titillium" w:hAnsi="Titillium"/>
          <w:sz w:val="18"/>
          <w:szCs w:val="18"/>
          <w:lang w:eastAsia="it-IT"/>
        </w:rPr>
        <w:t xml:space="preserve"> digitalmente dal consorzio medesimo.</w:t>
      </w:r>
    </w:p>
    <w:p>
      <w:pPr>
        <w:pStyle w:val="Normal"/>
        <w:rPr>
          <w:rFonts w:ascii="Titillium" w:hAnsi="Titillium"/>
          <w:iCs/>
          <w:sz w:val="18"/>
          <w:szCs w:val="18"/>
        </w:rPr>
      </w:pPr>
      <w:r>
        <w:rPr>
          <w:rFonts w:ascii="Titillium" w:hAnsi="Titillium"/>
          <w:sz w:val="18"/>
          <w:szCs w:val="18"/>
        </w:rPr>
        <w:t>La domanda e le relative dichiarazioni sono firmate dal legale rappresentante del concorrente o da un suo procuratore munito della relativa procura</w:t>
      </w:r>
      <w:r>
        <w:rPr>
          <w:rFonts w:ascii="Titillium" w:hAnsi="Titillium"/>
          <w:b/>
          <w:sz w:val="18"/>
          <w:szCs w:val="18"/>
        </w:rPr>
        <w:t xml:space="preserve">. </w:t>
      </w:r>
      <w:r>
        <w:rPr>
          <w:rFonts w:ascii="Titillium" w:hAnsi="Titillium"/>
          <w:sz w:val="18"/>
          <w:szCs w:val="18"/>
        </w:rPr>
        <w:t xml:space="preserve">In tal caso, il concorrente allega alla domanda copia conforme all’originale della procura. </w:t>
      </w:r>
      <w:r>
        <w:rPr>
          <w:rFonts w:ascii="Titillium" w:hAnsi="Titillium"/>
          <w:iCs/>
          <w:sz w:val="18"/>
          <w:szCs w:val="18"/>
        </w:rPr>
        <w:t>Non è necessario allegare la procura se dalla visura camerale del concorrente risulti l’indicazione espressa dei poteri rappresentativi conferiti al procuratore.</w:t>
      </w:r>
    </w:p>
    <w:p>
      <w:pPr>
        <w:pStyle w:val="Normal"/>
        <w:rPr>
          <w:rFonts w:ascii="Titillium" w:hAnsi="Titillium"/>
          <w:sz w:val="18"/>
          <w:szCs w:val="18"/>
        </w:rPr>
      </w:pPr>
      <w:r>
        <w:rPr>
          <w:rFonts w:ascii="Titillium" w:hAnsi="Titillium"/>
          <w:sz w:val="18"/>
          <w:szCs w:val="18"/>
        </w:rPr>
      </w:r>
    </w:p>
    <w:p>
      <w:pPr>
        <w:pStyle w:val="ListParagraph"/>
        <w:spacing w:before="60" w:after="60"/>
        <w:ind w:left="0"/>
        <w:contextualSpacing/>
        <w:rPr/>
      </w:pPr>
      <w:r>
        <w:rPr>
          <w:rFonts w:cs="Calibri" w:ascii="Titillium" w:hAnsi="Titillium"/>
          <w:sz w:val="18"/>
          <w:szCs w:val="18"/>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w:t>
      </w:r>
      <w:r>
        <w:rPr>
          <w:rFonts w:cs="Calibri" w:ascii="Calibri" w:hAnsi="Calibri"/>
          <w:sz w:val="18"/>
          <w:szCs w:val="18"/>
        </w:rPr>
        <w:t xml:space="preserve"> </w:t>
      </w:r>
      <w:r>
        <w:rPr>
          <w:rFonts w:cs="Calibri" w:ascii="Titillium" w:hAnsi="Titillium"/>
          <w:sz w:val="18"/>
          <w:szCs w:val="18"/>
        </w:rPr>
        <w:t xml:space="preserve">dell'Agenzia delle Entrate o </w:t>
      </w:r>
      <w:r>
        <w:rPr>
          <w:rFonts w:cs="Calibri" w:ascii="Titillium" w:hAnsi="Titillium"/>
          <w:iCs/>
          <w:sz w:val="18"/>
          <w:szCs w:val="18"/>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r>
        <w:rPr>
          <w:rFonts w:cs="Calibri" w:ascii="Titillium" w:hAnsi="Titillium"/>
          <w:i/>
          <w:iCs/>
          <w:sz w:val="18"/>
          <w:szCs w:val="18"/>
        </w:rPr>
        <w:t xml:space="preserve"> </w:t>
      </w:r>
    </w:p>
    <w:p>
      <w:pPr>
        <w:pStyle w:val="ListParagraph"/>
        <w:spacing w:before="60" w:after="60"/>
        <w:ind w:left="0"/>
        <w:contextualSpacing/>
        <w:rPr/>
      </w:pPr>
      <w:r>
        <w:rPr>
          <w:rFonts w:cs="Calibri" w:ascii="Titillium" w:hAnsi="Titillium"/>
          <w:sz w:val="18"/>
          <w:szCs w:val="18"/>
        </w:rPr>
        <w:t>A comprova del pagamento, il concorrente allega la ricevuta di pagamento elettronico ovvero del bonifico bancario.</w:t>
      </w:r>
    </w:p>
    <w:p>
      <w:pPr>
        <w:pStyle w:val="ListParagraph"/>
        <w:spacing w:before="60" w:after="60"/>
        <w:ind w:left="0"/>
        <w:contextualSpacing/>
        <w:rPr>
          <w:rFonts w:ascii="Titillium" w:hAnsi="Titillium" w:cs="Calibri"/>
          <w:iCs/>
          <w:sz w:val="18"/>
          <w:szCs w:val="18"/>
        </w:rPr>
      </w:pPr>
      <w:r>
        <w:rPr>
          <w:rFonts w:cs="Calibri" w:ascii="Titillium" w:hAnsi="Titillium"/>
          <w:iCs/>
          <w:sz w:val="18"/>
          <w:szCs w:val="18"/>
        </w:rP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pPr>
        <w:pStyle w:val="ListParagraph"/>
        <w:spacing w:before="60" w:after="60"/>
        <w:ind w:left="0"/>
        <w:contextualSpacing/>
        <w:rPr>
          <w:rFonts w:ascii="Titillium" w:hAnsi="Titillium" w:cs="Calibri"/>
          <w:iCs/>
          <w:sz w:val="18"/>
          <w:szCs w:val="18"/>
        </w:rPr>
      </w:pPr>
      <w:r>
        <w:rPr>
          <w:rFonts w:cs="Calibri" w:ascii="Titillium" w:hAnsi="Titillium"/>
          <w:iCs/>
          <w:sz w:val="18"/>
          <w:szCs w:val="18"/>
        </w:rPr>
      </w:r>
    </w:p>
    <w:p>
      <w:pPr>
        <w:pStyle w:val="ListParagraph"/>
        <w:spacing w:before="60" w:after="60"/>
        <w:ind w:left="0"/>
        <w:contextualSpacing/>
        <w:rPr>
          <w:rFonts w:ascii="Titillium" w:hAnsi="Titillium" w:cs="Calibri"/>
          <w:sz w:val="18"/>
          <w:szCs w:val="18"/>
        </w:rPr>
      </w:pPr>
      <w:r>
        <w:rPr>
          <w:rFonts w:cs="Calibri" w:ascii="Titillium" w:hAnsi="Titillium"/>
          <w:sz w:val="18"/>
          <w:szCs w:val="18"/>
        </w:rPr>
        <w:t>Si specifica inoltre che ai sensi del comma 10 dell’articolo 18 del codice, viste la risoluzione dell’agenzia delle entrate n.37/e del 28 giugno 2023 e la circolare n.22/e del 28 luglio 2023, il pagamento dell’imposta di bollo al momento della stipulazione del contratto ha natura sostitutiva dell’imposta di bollo dovuta per tutti gli atti e documenti riguardanti la procedura di selezione e l’esecuzione dell’appalto, fatta eccezione per le fatture, note e simili di cui all’articolo 13, punto 1, della tabella A tariffa, parte I, allegata al decreto del presidente della repubblica 26 ottobre 1972, n. 642; pertanto l’aggiudicatario al momento della stipula del contratto, assolve l’imposta da lui complessivamente dovuta, quantificandola secondo gli scaglioni stabiliti dalla tabella a di cui all’allegato I.4 al d.lgs. 36/2023, in relazione all’importo massimo previsto nel contratto medesimo.</w:t>
      </w:r>
    </w:p>
    <w:p>
      <w:pPr>
        <w:pStyle w:val="ListParagraph"/>
        <w:spacing w:before="60" w:after="60"/>
        <w:ind w:left="0"/>
        <w:contextualSpacing/>
        <w:rPr>
          <w:rFonts w:ascii="Titillium" w:hAnsi="Titillium" w:cs="Calibri"/>
          <w:iCs/>
          <w:sz w:val="18"/>
          <w:szCs w:val="18"/>
        </w:rPr>
      </w:pPr>
      <w:r>
        <w:rPr>
          <w:rFonts w:cs="Calibri" w:ascii="Titillium" w:hAnsi="Titillium"/>
          <w:iCs/>
          <w:sz w:val="18"/>
          <w:szCs w:val="18"/>
        </w:rPr>
      </w:r>
      <w:bookmarkStart w:id="1773" w:name="_Ref484611690"/>
      <w:bookmarkStart w:id="1774" w:name="_Ref484611693"/>
      <w:bookmarkStart w:id="1775" w:name="_Ref484611690"/>
      <w:bookmarkStart w:id="1776" w:name="_Ref484611693"/>
      <w:bookmarkEnd w:id="1775"/>
      <w:bookmarkEnd w:id="1776"/>
    </w:p>
    <w:p>
      <w:pPr>
        <w:pStyle w:val="Heading3"/>
        <w:numPr>
          <w:ilvl w:val="1"/>
          <w:numId w:val="3"/>
        </w:numPr>
        <w:ind w:hanging="426" w:left="426"/>
        <w:rPr/>
      </w:pPr>
      <w:bookmarkStart w:id="1777" w:name="_Toc231396683"/>
      <w:r>
        <w:rPr>
          <w:rFonts w:ascii="Titillium" w:hAnsi="Titillium"/>
          <w:sz w:val="18"/>
          <w:szCs w:val="18"/>
        </w:rPr>
        <w:t>DICHIARAZIONI DA RENDERE A CURA DEGLI OPERATORI ECONOMICI AMMESSI AL CONCORDATO PREVENTIVO CON CONTINUITÀ AZIENDALE DI CUI ALL’ARTICOLO 372 del DECRETO LEGISLATIVO 12 GENNAIO 2019, n. 14</w:t>
      </w:r>
      <w:bookmarkEnd w:id="1777"/>
    </w:p>
    <w:p>
      <w:pPr>
        <w:pStyle w:val="Normal"/>
        <w:spacing w:before="60" w:after="60"/>
        <w:rPr>
          <w:rFonts w:ascii="Titillium" w:hAnsi="Titillium" w:cs="Calibri"/>
          <w:sz w:val="18"/>
          <w:szCs w:val="18"/>
        </w:rPr>
      </w:pPr>
      <w:r>
        <w:rPr>
          <w:rFonts w:cs="Calibri" w:ascii="Titillium" w:hAnsi="Titillium"/>
          <w:sz w:val="18"/>
          <w:szCs w:val="18"/>
        </w:rPr>
        <w:t>Nella domanda di partecipazione,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pPr>
        <w:pStyle w:val="Normal"/>
        <w:spacing w:before="60" w:after="60"/>
        <w:rPr>
          <w:rFonts w:ascii="Titillium" w:hAnsi="Titillium" w:cs="Calibri"/>
          <w:sz w:val="18"/>
          <w:szCs w:val="18"/>
        </w:rPr>
      </w:pPr>
      <w:r>
        <w:rPr>
          <w:rFonts w:cs="Calibri" w:ascii="Titillium" w:hAnsi="Titillium"/>
          <w:sz w:val="18"/>
          <w:szCs w:val="18"/>
        </w:rPr>
        <w:t>Il concorrente presenta una relazione di un professionista in possesso dei requisiti di cui all'articolo 2, comma 1, lettera o) del decreto legislativo succitato che attesta la conformità al piano e la ragionevole capacità di adempimento del contratto.</w:t>
      </w:r>
    </w:p>
    <w:p>
      <w:pPr>
        <w:pStyle w:val="Normal"/>
        <w:spacing w:before="60" w:after="60"/>
        <w:rPr>
          <w:rFonts w:ascii="Titillium" w:hAnsi="Titillium" w:cs="Calibri"/>
          <w:sz w:val="18"/>
          <w:szCs w:val="18"/>
        </w:rPr>
      </w:pPr>
      <w:r>
        <w:rPr>
          <w:rFonts w:cs="Calibri" w:ascii="Titillium" w:hAnsi="Titillium"/>
          <w:sz w:val="18"/>
          <w:szCs w:val="18"/>
        </w:rPr>
      </w:r>
    </w:p>
    <w:p>
      <w:pPr>
        <w:pStyle w:val="Heading3"/>
        <w:numPr>
          <w:ilvl w:val="1"/>
          <w:numId w:val="3"/>
        </w:numPr>
        <w:ind w:hanging="426" w:left="426"/>
        <w:rPr/>
      </w:pPr>
      <w:bookmarkStart w:id="1778" w:name="_Toc231396684"/>
      <w:r>
        <w:rPr>
          <w:rFonts w:ascii="Titillium" w:hAnsi="Titillium"/>
          <w:sz w:val="18"/>
          <w:szCs w:val="18"/>
        </w:rPr>
        <w:t>DICHIARAZIONI DA RENDERE NEL DGUE</w:t>
      </w:r>
      <w:bookmarkEnd w:id="1778"/>
    </w:p>
    <w:p>
      <w:pPr>
        <w:pStyle w:val="Normal"/>
        <w:spacing w:before="60" w:after="60"/>
        <w:rPr>
          <w:rFonts w:ascii="Titillium" w:hAnsi="Titillium" w:cs="Calibri"/>
          <w:sz w:val="18"/>
          <w:szCs w:val="18"/>
        </w:rPr>
      </w:pPr>
      <w:r>
        <w:rPr>
          <w:rFonts w:cs="Calibri" w:ascii="Titillium" w:hAnsi="Titillium"/>
          <w:sz w:val="18"/>
          <w:szCs w:val="18"/>
        </w:rPr>
        <w:t>Le dichiarazioni in ordine all’insussistenza delle cause automatiche di esclusione di cui all’articolo 94, commi 1 e 2, del Codice sono rese dall’operatore economico nel DGUE, redatto digitalmente a sistema, in relazione a tutti i soggetti indicati al comma 3.</w:t>
      </w:r>
    </w:p>
    <w:p>
      <w:pPr>
        <w:pStyle w:val="Normal"/>
        <w:spacing w:before="60" w:after="60"/>
        <w:rPr>
          <w:rFonts w:ascii="Titillium" w:hAnsi="Titillium" w:cs="Calibri"/>
          <w:sz w:val="18"/>
          <w:szCs w:val="18"/>
        </w:rPr>
      </w:pPr>
      <w:r>
        <w:rPr>
          <w:rFonts w:cs="Calibri" w:ascii="Titillium" w:hAnsi="Titillium"/>
          <w:sz w:val="18"/>
          <w:szCs w:val="18"/>
        </w:rPr>
        <w:t>Le dichiarazioni in ordine all’insussistenza delle cause non automatiche di esclusione di cui all’articolo 98, comma 3, lettere g) ed h) del Codice sono rese dall’operatore economico in relazione ai soggetti di cui al punto precedente.</w:t>
      </w:r>
    </w:p>
    <w:p>
      <w:pPr>
        <w:pStyle w:val="Normal"/>
        <w:spacing w:before="60" w:after="60"/>
        <w:rPr>
          <w:rFonts w:ascii="Titillium" w:hAnsi="Titillium" w:cs="Calibri"/>
          <w:sz w:val="18"/>
          <w:szCs w:val="18"/>
        </w:rPr>
      </w:pPr>
      <w:r>
        <w:rPr>
          <w:rFonts w:cs="Calibri" w:ascii="Titillium" w:hAnsi="Titillium"/>
          <w:sz w:val="18"/>
          <w:szCs w:val="18"/>
        </w:rPr>
        <w:t>Le dichiarazioni in ordine all’insussistenza delle altre cause di esclusione sono rese in relazione all’operatore economico.</w:t>
      </w:r>
    </w:p>
    <w:p>
      <w:pPr>
        <w:pStyle w:val="Normal"/>
        <w:spacing w:before="60" w:after="60"/>
        <w:rPr>
          <w:rFonts w:ascii="Titillium" w:hAnsi="Titillium" w:cs="Calibri"/>
          <w:sz w:val="18"/>
          <w:szCs w:val="18"/>
        </w:rPr>
      </w:pPr>
      <w:r>
        <w:rPr>
          <w:rFonts w:cs="Calibri" w:ascii="Titillium" w:hAnsi="Titillium"/>
          <w:sz w:val="18"/>
          <w:szCs w:val="18"/>
        </w:rPr>
        <w:t>Con riferimento alle cause di esclusione di cui all’articolo 95 del Codice, il concorrente dichiara:</w:t>
      </w:r>
    </w:p>
    <w:p>
      <w:pPr>
        <w:pStyle w:val="ListParagraph"/>
        <w:numPr>
          <w:ilvl w:val="0"/>
          <w:numId w:val="6"/>
        </w:numPr>
        <w:spacing w:before="60" w:after="60"/>
        <w:ind w:hanging="360" w:left="426"/>
        <w:contextualSpacing w:val="false"/>
        <w:rPr>
          <w:rFonts w:ascii="Titillium" w:hAnsi="Titillium" w:cs="Calibri"/>
          <w:sz w:val="18"/>
          <w:szCs w:val="18"/>
        </w:rPr>
      </w:pPr>
      <w:r>
        <w:rPr>
          <w:rFonts w:cs="Calibri" w:ascii="Titillium" w:hAnsi="Titillium"/>
          <w:sz w:val="18"/>
          <w:szCs w:val="18"/>
        </w:rPr>
        <w:t xml:space="preserve">le gravi infrazioni di cui all’articolo 95, comma 1, lettera a) del Codice commesse nei tre anni antecedenti la data di pubblicazione del bando di gara; </w:t>
      </w:r>
    </w:p>
    <w:p>
      <w:pPr>
        <w:pStyle w:val="ListParagraph"/>
        <w:numPr>
          <w:ilvl w:val="0"/>
          <w:numId w:val="6"/>
        </w:numPr>
        <w:spacing w:before="60" w:after="60"/>
        <w:ind w:hanging="360" w:left="426"/>
        <w:contextualSpacing w:val="false"/>
        <w:rPr>
          <w:rFonts w:ascii="Titillium" w:hAnsi="Titillium" w:cs="Calibri"/>
          <w:sz w:val="18"/>
          <w:szCs w:val="18"/>
        </w:rPr>
      </w:pPr>
      <w:r>
        <w:rPr>
          <w:rFonts w:cs="Calibri" w:ascii="Titillium" w:hAnsi="Titillium"/>
          <w:sz w:val="18"/>
          <w:szCs w:val="18"/>
        </w:rPr>
        <w:t>gli atti e i provvedimenti indicati all’articolo 98 comma 6 del codice emessi nei tre anni antecedenti la data di pubblicazione del bando di gara;</w:t>
      </w:r>
    </w:p>
    <w:p>
      <w:pPr>
        <w:pStyle w:val="ListParagraph"/>
        <w:numPr>
          <w:ilvl w:val="0"/>
          <w:numId w:val="6"/>
        </w:numPr>
        <w:spacing w:before="60" w:after="60"/>
        <w:ind w:hanging="360" w:left="426"/>
        <w:contextualSpacing w:val="false"/>
        <w:rPr>
          <w:rFonts w:ascii="Titillium" w:hAnsi="Titillium" w:cs="Calibri"/>
          <w:sz w:val="18"/>
          <w:szCs w:val="18"/>
        </w:rPr>
      </w:pPr>
      <w:r>
        <w:rPr>
          <w:rFonts w:cs="Calibri" w:ascii="Titillium" w:hAnsi="Titillium"/>
          <w:sz w:val="18"/>
          <w:szCs w:val="18"/>
        </w:rPr>
        <w:t>tutti gli altri comportamenti di cui all’articolo 98 del Codice, commessi nei tre anni antecedenti la data di pubblicazione del bando di gara.</w:t>
      </w:r>
    </w:p>
    <w:p>
      <w:pPr>
        <w:pStyle w:val="Normal"/>
        <w:spacing w:before="60" w:after="60"/>
        <w:rPr>
          <w:rFonts w:ascii="Titillium" w:hAnsi="Titillium" w:cs="Calibri"/>
          <w:sz w:val="18"/>
          <w:szCs w:val="18"/>
        </w:rPr>
      </w:pPr>
      <w:r>
        <w:rPr>
          <w:rFonts w:cs="Calibri" w:ascii="Titillium" w:hAnsi="Titillium"/>
          <w:sz w:val="18"/>
          <w:szCs w:val="18"/>
        </w:rPr>
        <w:t>La dichiarazione di cui sopra deve essere resa anche nel caso di impugnazione in giudizio dei relativi provvedimenti, fatta eccezione per la fattispecie di cui all’ articolo 98, comma 3, lett. e), per la quale va resa soltanto in caso di accertamento definitivo della violazione.</w:t>
      </w:r>
    </w:p>
    <w:p>
      <w:pPr>
        <w:pStyle w:val="Normal"/>
        <w:spacing w:before="60" w:after="60"/>
        <w:rPr>
          <w:rFonts w:ascii="Titillium" w:hAnsi="Titillium" w:cs="Calibri"/>
          <w:sz w:val="18"/>
          <w:szCs w:val="18"/>
        </w:rPr>
      </w:pPr>
      <w:r>
        <w:rPr>
          <w:rFonts w:cs="Calibri" w:ascii="Titillium" w:hAnsi="Titillium"/>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pPr>
        <w:pStyle w:val="Normal"/>
        <w:spacing w:before="60" w:after="60"/>
        <w:rPr>
          <w:rFonts w:ascii="Titillium" w:hAnsi="Titillium" w:cs="Calibri"/>
          <w:sz w:val="18"/>
          <w:szCs w:val="18"/>
        </w:rPr>
      </w:pPr>
      <w:r>
        <w:rPr>
          <w:rFonts w:cs="Calibri" w:ascii="Titillium" w:hAnsi="Titillium"/>
          <w:sz w:val="18"/>
          <w:szCs w:val="18"/>
        </w:rPr>
        <w:t>L’operatore economico adotta le misure di self-cleaning che è stato impossibilitato ad adottare prima della presentazione dell’offerta e quelle relative a cause di esclusione che si sono verificate dopo tale momento.</w:t>
      </w:r>
    </w:p>
    <w:p>
      <w:pPr>
        <w:pStyle w:val="Normal"/>
        <w:spacing w:before="60" w:after="60"/>
        <w:rPr>
          <w:rFonts w:ascii="Titillium" w:hAnsi="Titillium" w:cs="Calibri"/>
          <w:sz w:val="18"/>
          <w:szCs w:val="18"/>
        </w:rPr>
      </w:pPr>
      <w:r>
        <w:rPr>
          <w:rFonts w:cs="Calibri" w:ascii="Titillium" w:hAnsi="Titillium"/>
          <w:sz w:val="18"/>
          <w:szCs w:val="18"/>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pPr>
        <w:pStyle w:val="Normal"/>
        <w:rPr/>
      </w:pPr>
      <w:r>
        <w:rPr/>
      </w:r>
    </w:p>
    <w:p>
      <w:pPr>
        <w:pStyle w:val="Heading3"/>
        <w:numPr>
          <w:ilvl w:val="1"/>
          <w:numId w:val="3"/>
        </w:numPr>
        <w:ind w:hanging="426" w:left="426"/>
        <w:rPr>
          <w:rFonts w:ascii="Titillium" w:hAnsi="Titillium"/>
          <w:sz w:val="18"/>
          <w:szCs w:val="18"/>
        </w:rPr>
      </w:pPr>
      <w:bookmarkStart w:id="1779" w:name="_Toc231396685"/>
      <w:bookmarkStart w:id="1780" w:name="_Ref132054207"/>
      <w:r>
        <w:rPr>
          <w:rFonts w:ascii="Titillium" w:hAnsi="Titillium"/>
          <w:sz w:val="18"/>
          <w:szCs w:val="18"/>
        </w:rPr>
        <w:t>DOCUMENTAZIONE IN CASO DI AVVALIMENTO</w:t>
      </w:r>
      <w:bookmarkEnd w:id="1779"/>
      <w:bookmarkEnd w:id="1780"/>
    </w:p>
    <w:p>
      <w:pPr>
        <w:pStyle w:val="Normal"/>
        <w:spacing w:before="60" w:after="60"/>
        <w:rPr>
          <w:rFonts w:ascii="Titillium" w:hAnsi="Titillium" w:cs="Calibri"/>
          <w:sz w:val="18"/>
          <w:szCs w:val="18"/>
        </w:rPr>
      </w:pPr>
      <w:r>
        <w:rPr>
          <w:rFonts w:cs="Calibri" w:ascii="Titillium" w:hAnsi="Titillium"/>
          <w:sz w:val="18"/>
          <w:szCs w:val="18"/>
        </w:rPr>
        <w:t>L’impresa ausiliaria rende le dichiarazioni sul possesso dei requisiti di ordine generale mediante compilazione dell’apposita sezione del DGUE.</w:t>
      </w:r>
    </w:p>
    <w:p>
      <w:pPr>
        <w:pStyle w:val="Normal"/>
        <w:spacing w:before="60" w:after="60"/>
        <w:rPr>
          <w:rFonts w:ascii="Titillium" w:hAnsi="Titillium" w:cs="Calibri"/>
          <w:sz w:val="18"/>
          <w:szCs w:val="18"/>
        </w:rPr>
      </w:pPr>
      <w:r>
        <w:rPr>
          <w:rFonts w:cs="Calibri" w:ascii="Titillium" w:hAnsi="Titillium"/>
          <w:sz w:val="18"/>
          <w:szCs w:val="18"/>
        </w:rPr>
        <w:t>Il concorrente, per ciascuna impresa ausiliaria, allega:</w:t>
      </w:r>
    </w:p>
    <w:p>
      <w:pPr>
        <w:pStyle w:val="ListParagraph"/>
        <w:numPr>
          <w:ilvl w:val="2"/>
          <w:numId w:val="12"/>
        </w:numPr>
        <w:spacing w:before="60" w:after="60"/>
        <w:ind w:hanging="567" w:left="567"/>
        <w:contextualSpacing w:val="false"/>
        <w:rPr>
          <w:rFonts w:ascii="Titillium" w:hAnsi="Titillium" w:cs="Calibri"/>
          <w:sz w:val="18"/>
          <w:szCs w:val="18"/>
        </w:rPr>
      </w:pPr>
      <w:r>
        <w:rPr>
          <w:rFonts w:cs="Calibri" w:ascii="Titillium" w:hAnsi="Titillium"/>
          <w:sz w:val="18"/>
          <w:szCs w:val="18"/>
        </w:rPr>
        <w:t xml:space="preserve">il consenso al trattamento dei dati tramite il fascicolo virtuale, nel rispetto di quanto previsto dal codice in materia di protezione dei dati personali, di cui al decreto legislativo 30 giugno 2003, n. 196, ai fini della verifica del possesso dei requisiti dichiarati;   </w:t>
      </w:r>
    </w:p>
    <w:p>
      <w:pPr>
        <w:pStyle w:val="ListParagraph"/>
        <w:numPr>
          <w:ilvl w:val="2"/>
          <w:numId w:val="12"/>
        </w:numPr>
        <w:spacing w:before="60" w:after="60"/>
        <w:ind w:hanging="567" w:left="567"/>
        <w:contextualSpacing w:val="false"/>
        <w:rPr>
          <w:rFonts w:ascii="Titillium" w:hAnsi="Titillium" w:cs="Calibri"/>
          <w:sz w:val="18"/>
          <w:szCs w:val="18"/>
        </w:rPr>
      </w:pPr>
      <w:r>
        <w:rPr>
          <w:rFonts w:cs="Calibri" w:ascii="Titillium" w:hAnsi="Titillium"/>
          <w:sz w:val="18"/>
          <w:szCs w:val="18"/>
        </w:rPr>
        <w:t>la dichiarazione di avvalimento;</w:t>
      </w:r>
    </w:p>
    <w:p>
      <w:pPr>
        <w:pStyle w:val="ListParagraph"/>
        <w:numPr>
          <w:ilvl w:val="2"/>
          <w:numId w:val="12"/>
        </w:numPr>
        <w:spacing w:before="60" w:after="60"/>
        <w:ind w:hanging="567" w:left="567"/>
        <w:contextualSpacing w:val="false"/>
        <w:rPr>
          <w:shd w:fill="FFFFFF" w:val="clear"/>
        </w:rPr>
      </w:pPr>
      <w:r>
        <w:rPr>
          <w:rFonts w:cs="Calibri" w:ascii="Titillium" w:hAnsi="Titillium"/>
          <w:sz w:val="18"/>
          <w:szCs w:val="18"/>
          <w:shd w:fill="FFFFFF" w:val="clear"/>
        </w:rPr>
        <w:t>il contratto di avvalimento (non  premiale).</w:t>
      </w:r>
    </w:p>
    <w:p>
      <w:pPr>
        <w:pStyle w:val="Heading3"/>
        <w:numPr>
          <w:ilvl w:val="1"/>
          <w:numId w:val="3"/>
        </w:numPr>
        <w:ind w:hanging="426" w:left="426"/>
        <w:rPr>
          <w:rFonts w:ascii="Titillium" w:hAnsi="Titillium"/>
          <w:sz w:val="18"/>
          <w:szCs w:val="18"/>
        </w:rPr>
      </w:pPr>
      <w:bookmarkStart w:id="1781" w:name="_Toc231396686"/>
      <w:bookmarkStart w:id="1782" w:name="_Ref498427979"/>
      <w:r>
        <w:rPr>
          <w:rFonts w:ascii="Titillium" w:hAnsi="Titillium"/>
          <w:sz w:val="18"/>
          <w:szCs w:val="18"/>
        </w:rPr>
        <w:t>DOCUMENTAZIONE ULTERIORE PER I SOGGETTI ASSOCIATI</w:t>
      </w:r>
      <w:bookmarkEnd w:id="1781"/>
      <w:bookmarkEnd w:id="1782"/>
    </w:p>
    <w:p>
      <w:pPr>
        <w:pStyle w:val="Normal"/>
        <w:spacing w:before="60" w:after="60"/>
        <w:rPr>
          <w:rFonts w:ascii="Titillium" w:hAnsi="Titillium"/>
          <w:b/>
          <w:sz w:val="18"/>
          <w:szCs w:val="18"/>
        </w:rPr>
      </w:pPr>
      <w:r>
        <w:rPr>
          <w:rFonts w:ascii="Titillium" w:hAnsi="Titillium"/>
          <w:b/>
          <w:sz w:val="18"/>
          <w:szCs w:val="18"/>
        </w:rPr>
        <w:t>Per i raggruppamenti temporanei già costituiti</w:t>
      </w:r>
    </w:p>
    <w:p>
      <w:pPr>
        <w:pStyle w:val="ListParagraph"/>
        <w:numPr>
          <w:ilvl w:val="0"/>
          <w:numId w:val="18"/>
        </w:numPr>
        <w:spacing w:before="60" w:after="60"/>
        <w:ind w:hanging="284" w:left="284"/>
        <w:contextualSpacing w:val="false"/>
        <w:rPr>
          <w:rFonts w:ascii="Titillium" w:hAnsi="Titillium" w:cs="Calibri"/>
          <w:sz w:val="18"/>
          <w:szCs w:val="18"/>
        </w:rPr>
      </w:pPr>
      <w:r>
        <w:rPr>
          <w:rFonts w:cs="Calibri" w:ascii="Titillium" w:hAnsi="Titillium"/>
          <w:sz w:val="18"/>
          <w:szCs w:val="18"/>
        </w:rPr>
        <w:t>copia del mandato collettivo irrevocabile con rappresentanza conferito alla mandataria per atto pubblico o scrittura privata autenticata;</w:t>
      </w:r>
    </w:p>
    <w:p>
      <w:pPr>
        <w:pStyle w:val="ListParagraph"/>
        <w:numPr>
          <w:ilvl w:val="0"/>
          <w:numId w:val="18"/>
        </w:numPr>
        <w:spacing w:before="60" w:after="60"/>
        <w:ind w:hanging="284" w:left="284"/>
        <w:contextualSpacing w:val="false"/>
        <w:rPr>
          <w:rFonts w:ascii="Titillium" w:hAnsi="Titillium"/>
          <w:b/>
          <w:sz w:val="18"/>
          <w:szCs w:val="18"/>
        </w:rPr>
      </w:pPr>
      <w:r>
        <w:rPr>
          <w:rFonts w:cs="Calibri" w:ascii="Titillium" w:hAnsi="Titillium"/>
          <w:sz w:val="18"/>
          <w:szCs w:val="18"/>
        </w:rPr>
        <w:t xml:space="preserve">dichiarazione delle parti del servizio/fornitura, ovvero della percentuale in caso di servizio/forniture indivisibili, che saranno eseguite dai singoli operatori economici riuniti. </w:t>
      </w:r>
    </w:p>
    <w:p>
      <w:pPr>
        <w:pStyle w:val="Normal"/>
        <w:spacing w:before="60" w:after="60"/>
        <w:rPr>
          <w:rFonts w:ascii="Titillium" w:hAnsi="Titillium"/>
          <w:b/>
          <w:sz w:val="18"/>
          <w:szCs w:val="18"/>
        </w:rPr>
      </w:pPr>
      <w:r>
        <w:rPr>
          <w:rFonts w:ascii="Titillium" w:hAnsi="Titillium"/>
          <w:b/>
          <w:sz w:val="18"/>
          <w:szCs w:val="18"/>
        </w:rPr>
        <w:t>Per i consorzi ordinari o GEIE già costituiti</w:t>
      </w:r>
    </w:p>
    <w:p>
      <w:pPr>
        <w:pStyle w:val="ListParagraph"/>
        <w:numPr>
          <w:ilvl w:val="0"/>
          <w:numId w:val="18"/>
        </w:numPr>
        <w:spacing w:before="60" w:after="60"/>
        <w:ind w:hanging="284" w:left="284"/>
        <w:contextualSpacing w:val="false"/>
        <w:rPr>
          <w:rFonts w:ascii="Titillium" w:hAnsi="Titillium" w:cs="Calibri"/>
          <w:sz w:val="18"/>
          <w:szCs w:val="18"/>
        </w:rPr>
      </w:pPr>
      <w:r>
        <w:rPr>
          <w:rFonts w:cs="Calibri" w:ascii="Titillium" w:hAnsi="Titillium"/>
          <w:sz w:val="18"/>
          <w:szCs w:val="18"/>
        </w:rPr>
        <w:t xml:space="preserve">copia dell’atto costitutivo e dello statuto del consorzio o GEIE, con indicazione del soggetto designato quale capofila; </w:t>
      </w:r>
    </w:p>
    <w:p>
      <w:pPr>
        <w:pStyle w:val="ListParagraph"/>
        <w:numPr>
          <w:ilvl w:val="0"/>
          <w:numId w:val="18"/>
        </w:numPr>
        <w:spacing w:before="60" w:after="60"/>
        <w:ind w:hanging="284" w:left="284"/>
        <w:contextualSpacing w:val="false"/>
        <w:rPr>
          <w:rFonts w:ascii="Titillium" w:hAnsi="Titillium" w:cs="Calibri"/>
          <w:sz w:val="18"/>
          <w:szCs w:val="18"/>
        </w:rPr>
      </w:pPr>
      <w:r>
        <w:rPr>
          <w:rFonts w:cs="Calibri" w:ascii="Titillium" w:hAnsi="Titillium"/>
          <w:sz w:val="18"/>
          <w:szCs w:val="18"/>
        </w:rPr>
        <w:t xml:space="preserve">dichiarazione sottoscritta delle parti del servizio/fornitura, ovvero la percentuale in caso di servizi/forniture indivisibili, che saranno eseguite dai singoli operatori economici consorziati. </w:t>
      </w:r>
    </w:p>
    <w:p>
      <w:pPr>
        <w:pStyle w:val="Normal"/>
        <w:spacing w:before="60" w:after="60"/>
        <w:rPr>
          <w:rFonts w:ascii="Titillium" w:hAnsi="Titillium"/>
          <w:b/>
          <w:sz w:val="18"/>
          <w:szCs w:val="18"/>
        </w:rPr>
      </w:pPr>
      <w:r>
        <w:rPr>
          <w:rFonts w:ascii="Titillium" w:hAnsi="Titillium"/>
          <w:b/>
          <w:sz w:val="18"/>
          <w:szCs w:val="18"/>
        </w:rPr>
        <w:t>Per i raggruppamenti temporanei o consorzi ordinari o GEIE non ancora costituiti</w:t>
      </w:r>
    </w:p>
    <w:p>
      <w:pPr>
        <w:pStyle w:val="ListParagraph"/>
        <w:numPr>
          <w:ilvl w:val="0"/>
          <w:numId w:val="18"/>
        </w:numPr>
        <w:spacing w:before="60" w:after="60"/>
        <w:ind w:hanging="284" w:left="284"/>
        <w:contextualSpacing w:val="false"/>
        <w:rPr>
          <w:rFonts w:ascii="Titillium" w:hAnsi="Titillium" w:cs="Calibri"/>
          <w:sz w:val="18"/>
          <w:szCs w:val="18"/>
        </w:rPr>
      </w:pPr>
      <w:r>
        <w:rPr>
          <w:rFonts w:cs="Calibri" w:ascii="Titillium" w:hAnsi="Titillium"/>
          <w:sz w:val="18"/>
          <w:szCs w:val="18"/>
        </w:rPr>
        <w:t xml:space="preserve"> </w:t>
      </w:r>
      <w:r>
        <w:rPr>
          <w:rFonts w:cs="Calibri" w:ascii="Titillium" w:hAnsi="Titillium"/>
          <w:sz w:val="18"/>
          <w:szCs w:val="18"/>
        </w:rPr>
        <w:t>dichiarazione resa da ciascun concorrente, attestante:</w:t>
      </w:r>
    </w:p>
    <w:p>
      <w:pPr>
        <w:pStyle w:val="Normal"/>
        <w:numPr>
          <w:ilvl w:val="0"/>
          <w:numId w:val="8"/>
        </w:numPr>
        <w:spacing w:before="60" w:after="60"/>
        <w:ind w:hanging="284" w:left="567"/>
        <w:rPr>
          <w:rFonts w:ascii="Titillium" w:hAnsi="Titillium" w:cs="Calibri"/>
          <w:sz w:val="18"/>
          <w:szCs w:val="18"/>
        </w:rPr>
      </w:pPr>
      <w:r>
        <w:rPr>
          <w:rFonts w:cs="Calibri" w:ascii="Titillium" w:hAnsi="Titillium"/>
          <w:sz w:val="18"/>
          <w:szCs w:val="18"/>
        </w:rPr>
        <w:t>a quale operatore economico, in caso di aggiudicazione, sarà conferito mandato speciale con rappresentanza o funzioni di capogruppo;</w:t>
      </w:r>
    </w:p>
    <w:p>
      <w:pPr>
        <w:pStyle w:val="Normal"/>
        <w:numPr>
          <w:ilvl w:val="0"/>
          <w:numId w:val="8"/>
        </w:numPr>
        <w:spacing w:before="60" w:after="60"/>
        <w:ind w:hanging="284" w:left="567"/>
        <w:rPr/>
      </w:pPr>
      <w:r>
        <w:rPr>
          <w:rFonts w:cs="Calibri" w:ascii="Titillium" w:hAnsi="Titillium"/>
          <w:sz w:val="18"/>
          <w:szCs w:val="18"/>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numPr>
          <w:ilvl w:val="0"/>
          <w:numId w:val="8"/>
        </w:numPr>
        <w:spacing w:before="60" w:after="60"/>
        <w:ind w:hanging="284" w:left="567"/>
        <w:rPr/>
      </w:pPr>
      <w:r>
        <w:rPr>
          <w:rFonts w:cs="Calibri" w:ascii="Titillium" w:hAnsi="Titillium"/>
          <w:sz w:val="18"/>
          <w:szCs w:val="18"/>
        </w:rPr>
        <w:t xml:space="preserve">le parti del servizio/fornitura, ovvero la percentuale in caso di servizio/forniture indivisibili, che saranno eseguite dai singoli operatori economici riuniti o consorziati. </w:t>
      </w:r>
    </w:p>
    <w:p>
      <w:pPr>
        <w:pStyle w:val="Normal"/>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e soggettività giuridica</w:t>
      </w:r>
    </w:p>
    <w:p>
      <w:pPr>
        <w:pStyle w:val="ListParagraph"/>
        <w:numPr>
          <w:ilvl w:val="0"/>
          <w:numId w:val="9"/>
        </w:numPr>
        <w:spacing w:before="60" w:after="60"/>
        <w:ind w:hanging="360" w:left="426"/>
        <w:contextualSpacing w:val="false"/>
        <w:rPr>
          <w:rFonts w:ascii="Titillium" w:hAnsi="Titillium" w:cs="Calibri"/>
          <w:sz w:val="18"/>
          <w:szCs w:val="18"/>
        </w:rPr>
      </w:pPr>
      <w:r>
        <w:rPr>
          <w:rFonts w:cs="Calibri" w:ascii="Titillium" w:hAnsi="Titillium"/>
          <w:sz w:val="18"/>
          <w:szCs w:val="18"/>
        </w:rPr>
        <w:t>copia del contratto di rete, con indicazione dell’organo comune che agisce in rappresentanza della rete;</w:t>
      </w:r>
    </w:p>
    <w:p>
      <w:pPr>
        <w:pStyle w:val="ListParagraph"/>
        <w:numPr>
          <w:ilvl w:val="0"/>
          <w:numId w:val="9"/>
        </w:numPr>
        <w:spacing w:before="60" w:after="60"/>
        <w:ind w:hanging="360" w:left="426"/>
        <w:contextualSpacing w:val="false"/>
        <w:rPr>
          <w:rFonts w:ascii="Titillium" w:hAnsi="Titillium" w:cs="Calibri"/>
          <w:sz w:val="18"/>
          <w:szCs w:val="18"/>
        </w:rPr>
      </w:pPr>
      <w:r>
        <w:rPr>
          <w:rFonts w:cs="Calibri" w:ascii="Titillium" w:hAnsi="Titillium"/>
          <w:sz w:val="18"/>
          <w:szCs w:val="18"/>
        </w:rPr>
        <w:t xml:space="preserve">dichiarazione che indichi per quali imprese la rete concorre; </w:t>
      </w:r>
    </w:p>
    <w:p>
      <w:pPr>
        <w:pStyle w:val="ListParagraph"/>
        <w:numPr>
          <w:ilvl w:val="0"/>
          <w:numId w:val="9"/>
        </w:numPr>
        <w:spacing w:before="60" w:after="60"/>
        <w:ind w:hanging="360" w:left="426"/>
        <w:contextualSpacing w:val="false"/>
        <w:rPr>
          <w:rFonts w:ascii="Titillium" w:hAnsi="Titillium" w:cs="Calibri"/>
          <w:sz w:val="18"/>
          <w:szCs w:val="18"/>
        </w:rPr>
      </w:pPr>
      <w:r>
        <w:rPr>
          <w:rFonts w:cs="Calibri" w:ascii="Titillium" w:hAnsi="Titillium"/>
          <w:sz w:val="18"/>
          <w:szCs w:val="18"/>
        </w:rPr>
        <w:t xml:space="preserve">dichiarazione sottoscritta con firma digitale delle parti del servizio o della fornitura, ovvero la percentuale in caso di servizio/forniture indivisibili, eseguite dai singoli operatori economici aggregati in rete. </w:t>
      </w:r>
    </w:p>
    <w:p>
      <w:pPr>
        <w:pStyle w:val="Normal"/>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ma è priva di soggettività giuridica</w:t>
      </w:r>
    </w:p>
    <w:p>
      <w:pPr>
        <w:pStyle w:val="ListParagraph"/>
        <w:numPr>
          <w:ilvl w:val="0"/>
          <w:numId w:val="9"/>
        </w:numPr>
        <w:spacing w:before="60" w:after="60"/>
        <w:ind w:hanging="425" w:left="426"/>
        <w:contextualSpacing w:val="false"/>
        <w:rPr>
          <w:rFonts w:ascii="Titillium" w:hAnsi="Titillium" w:cs="Calibri"/>
          <w:sz w:val="18"/>
          <w:szCs w:val="18"/>
        </w:rPr>
      </w:pPr>
      <w:r>
        <w:rPr>
          <w:rFonts w:cs="Calibri" w:ascii="Titillium" w:hAnsi="Titillium"/>
          <w:sz w:val="18"/>
          <w:szCs w:val="18"/>
        </w:rPr>
        <w:t>copia del contratto di rete;</w:t>
      </w:r>
    </w:p>
    <w:p>
      <w:pPr>
        <w:pStyle w:val="ListParagraph"/>
        <w:numPr>
          <w:ilvl w:val="0"/>
          <w:numId w:val="9"/>
        </w:numPr>
        <w:spacing w:before="60" w:after="60"/>
        <w:ind w:hanging="425" w:left="426"/>
        <w:contextualSpacing w:val="false"/>
        <w:rPr>
          <w:rFonts w:ascii="Titillium" w:hAnsi="Titillium" w:cs="Calibri"/>
          <w:sz w:val="18"/>
          <w:szCs w:val="18"/>
        </w:rPr>
      </w:pPr>
      <w:r>
        <w:rPr>
          <w:rFonts w:cs="Calibri" w:ascii="Titillium" w:hAnsi="Titillium"/>
          <w:sz w:val="18"/>
          <w:szCs w:val="18"/>
        </w:rPr>
        <w:t xml:space="preserve">copia del mandato collettivo irrevocabile con rappresentanza conferito all’organo comune; </w:t>
      </w:r>
    </w:p>
    <w:p>
      <w:pPr>
        <w:pStyle w:val="ListParagraph"/>
        <w:numPr>
          <w:ilvl w:val="0"/>
          <w:numId w:val="9"/>
        </w:numPr>
        <w:spacing w:before="60" w:after="60"/>
        <w:ind w:hanging="425" w:left="426"/>
        <w:contextualSpacing w:val="false"/>
        <w:rPr>
          <w:rFonts w:ascii="Titillium" w:hAnsi="Titillium" w:cs="Calibri"/>
          <w:sz w:val="18"/>
          <w:szCs w:val="18"/>
        </w:rPr>
      </w:pPr>
      <w:r>
        <w:rPr>
          <w:rFonts w:cs="Calibri" w:ascii="Titillium" w:hAnsi="Titillium"/>
          <w:sz w:val="18"/>
          <w:szCs w:val="18"/>
        </w:rPr>
        <w:t>dichiarazione delle parti del servizio o della fornitura, ovvero la percentuale in caso di servizio/forniture indivisibili, eseguite dai singoli operatori economici aggregati in rete.</w:t>
      </w:r>
    </w:p>
    <w:p>
      <w:pPr>
        <w:pStyle w:val="Normal"/>
        <w:spacing w:before="60" w:after="60"/>
        <w:rPr>
          <w:rFonts w:ascii="Titillium" w:hAnsi="Titillium"/>
          <w:b/>
          <w:sz w:val="18"/>
          <w:szCs w:val="18"/>
        </w:rPr>
      </w:pPr>
      <w:r>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ListParagraph"/>
        <w:numPr>
          <w:ilvl w:val="0"/>
          <w:numId w:val="9"/>
        </w:numPr>
        <w:spacing w:before="60" w:after="60"/>
        <w:ind w:hanging="360" w:left="426"/>
        <w:contextualSpacing w:val="false"/>
        <w:rPr/>
      </w:pPr>
      <w:r>
        <w:rPr>
          <w:rFonts w:cs="Calibri" w:ascii="Titillium" w:hAnsi="Titillium"/>
          <w:b/>
          <w:sz w:val="18"/>
          <w:szCs w:val="18"/>
        </w:rPr>
        <w:t>in caso di raggruppamento temporaneo di imprese costituito</w:t>
      </w:r>
      <w:r>
        <w:rPr>
          <w:rFonts w:cs="Calibri" w:ascii="Titillium" w:hAnsi="Titillium"/>
          <w:sz w:val="18"/>
          <w:szCs w:val="18"/>
        </w:rPr>
        <w:t xml:space="preserve">: </w:t>
      </w:r>
    </w:p>
    <w:p>
      <w:pPr>
        <w:pStyle w:val="ListParagraph"/>
        <w:numPr>
          <w:ilvl w:val="0"/>
          <w:numId w:val="9"/>
        </w:numPr>
        <w:spacing w:before="60" w:after="60"/>
        <w:ind w:hanging="142" w:left="426"/>
        <w:contextualSpacing w:val="false"/>
        <w:rPr>
          <w:rFonts w:ascii="Titillium" w:hAnsi="Titillium" w:cs="Calibri"/>
          <w:sz w:val="18"/>
          <w:szCs w:val="18"/>
        </w:rPr>
      </w:pPr>
      <w:r>
        <w:rPr>
          <w:rFonts w:cs="Calibri" w:ascii="Titillium" w:hAnsi="Titillium"/>
          <w:sz w:val="18"/>
          <w:szCs w:val="18"/>
        </w:rPr>
        <w:t>copia del contratto di rete;</w:t>
      </w:r>
    </w:p>
    <w:p>
      <w:pPr>
        <w:pStyle w:val="ListParagraph"/>
        <w:numPr>
          <w:ilvl w:val="0"/>
          <w:numId w:val="9"/>
        </w:numPr>
        <w:spacing w:before="60" w:after="60"/>
        <w:ind w:hanging="142" w:left="426"/>
        <w:contextualSpacing w:val="false"/>
        <w:rPr>
          <w:rFonts w:ascii="Titillium" w:hAnsi="Titillium" w:cs="Calibri"/>
          <w:sz w:val="18"/>
          <w:szCs w:val="18"/>
        </w:rPr>
      </w:pPr>
      <w:r>
        <w:rPr>
          <w:rFonts w:cs="Calibri" w:ascii="Titillium" w:hAnsi="Titillium"/>
          <w:sz w:val="18"/>
          <w:szCs w:val="18"/>
        </w:rPr>
        <w:t>copia del mandato collettivo irrevocabile con rappresentanza conferito alla mandataria;</w:t>
      </w:r>
    </w:p>
    <w:p>
      <w:pPr>
        <w:pStyle w:val="ListParagraph"/>
        <w:numPr>
          <w:ilvl w:val="0"/>
          <w:numId w:val="9"/>
        </w:numPr>
        <w:spacing w:before="60" w:after="60"/>
        <w:ind w:hanging="142" w:left="426"/>
        <w:contextualSpacing w:val="false"/>
        <w:rPr>
          <w:rFonts w:ascii="Titillium" w:hAnsi="Titillium" w:cs="Calibri"/>
          <w:sz w:val="18"/>
          <w:szCs w:val="18"/>
        </w:rPr>
      </w:pPr>
      <w:r>
        <w:rPr>
          <w:rFonts w:cs="Calibri" w:ascii="Titillium" w:hAnsi="Titillium"/>
          <w:sz w:val="18"/>
          <w:szCs w:val="18"/>
        </w:rPr>
        <w:t>dichiarazione delle parti del servizio o della fornitura, ovvero la percentuale in caso di servizio/forniture indivisibili, eseguite dai singoli operatori economici aggregati in rete.</w:t>
      </w:r>
    </w:p>
    <w:p>
      <w:pPr>
        <w:pStyle w:val="ListParagraph"/>
        <w:numPr>
          <w:ilvl w:val="0"/>
          <w:numId w:val="9"/>
        </w:numPr>
        <w:spacing w:before="60" w:after="60"/>
        <w:ind w:hanging="360" w:left="426"/>
        <w:contextualSpacing w:val="false"/>
        <w:rPr/>
      </w:pPr>
      <w:r>
        <w:rPr>
          <w:rFonts w:cs="Calibri" w:ascii="Titillium" w:hAnsi="Titillium"/>
          <w:b/>
          <w:sz w:val="18"/>
          <w:szCs w:val="18"/>
        </w:rPr>
        <w:t>in caso di raggruppamento temporaneo di imprese costituendo</w:t>
      </w:r>
      <w:r>
        <w:rPr>
          <w:rFonts w:cs="Calibri" w:ascii="Titillium" w:hAnsi="Titillium"/>
          <w:sz w:val="18"/>
          <w:szCs w:val="18"/>
        </w:rPr>
        <w:t xml:space="preserve">: </w:t>
      </w:r>
    </w:p>
    <w:p>
      <w:pPr>
        <w:pStyle w:val="ListParagraph"/>
        <w:numPr>
          <w:ilvl w:val="0"/>
          <w:numId w:val="9"/>
        </w:numPr>
        <w:spacing w:before="60" w:after="60"/>
        <w:ind w:hanging="142" w:left="426"/>
        <w:contextualSpacing w:val="false"/>
        <w:rPr>
          <w:rFonts w:ascii="Titillium" w:hAnsi="Titillium" w:cs="Calibri"/>
          <w:sz w:val="18"/>
          <w:szCs w:val="18"/>
        </w:rPr>
      </w:pPr>
      <w:r>
        <w:rPr>
          <w:rFonts w:cs="Calibri" w:ascii="Titillium" w:hAnsi="Titillium"/>
          <w:sz w:val="18"/>
          <w:szCs w:val="18"/>
        </w:rPr>
        <w:t>copia del contratto di rete;</w:t>
      </w:r>
    </w:p>
    <w:p>
      <w:pPr>
        <w:pStyle w:val="ListParagraph"/>
        <w:numPr>
          <w:ilvl w:val="0"/>
          <w:numId w:val="9"/>
        </w:numPr>
        <w:spacing w:before="60" w:after="60"/>
        <w:ind w:hanging="142" w:left="426"/>
        <w:contextualSpacing w:val="false"/>
        <w:rPr>
          <w:rFonts w:ascii="Titillium" w:hAnsi="Titillium" w:cs="Calibri"/>
          <w:sz w:val="18"/>
          <w:szCs w:val="18"/>
        </w:rPr>
      </w:pPr>
      <w:r>
        <w:rPr>
          <w:rFonts w:cs="Calibri" w:ascii="Titillium" w:hAnsi="Titillium"/>
          <w:sz w:val="18"/>
          <w:szCs w:val="18"/>
        </w:rPr>
        <w:t>dichiarazioni, rese da ciascun concorrente aderente all’aggregazione di rete, attestanti:</w:t>
      </w:r>
    </w:p>
    <w:p>
      <w:pPr>
        <w:pStyle w:val="Normal"/>
        <w:numPr>
          <w:ilvl w:val="3"/>
          <w:numId w:val="10"/>
        </w:numPr>
        <w:spacing w:before="60" w:after="60"/>
        <w:ind w:hanging="284" w:left="709"/>
        <w:rPr>
          <w:rFonts w:ascii="Titillium" w:hAnsi="Titillium" w:cs="Calibri"/>
          <w:sz w:val="18"/>
          <w:szCs w:val="18"/>
        </w:rPr>
      </w:pPr>
      <w:r>
        <w:rPr>
          <w:rFonts w:cs="Calibri" w:ascii="Titillium" w:hAnsi="Titillium"/>
          <w:sz w:val="18"/>
          <w:szCs w:val="18"/>
        </w:rPr>
        <w:t>a quale concorrente, in caso di aggiudicazione, sarà conferito mandato speciale con rappresentanza o funzioni di capogruppo;</w:t>
      </w:r>
    </w:p>
    <w:p>
      <w:pPr>
        <w:pStyle w:val="Normal"/>
        <w:numPr>
          <w:ilvl w:val="3"/>
          <w:numId w:val="10"/>
        </w:numPr>
        <w:spacing w:before="60" w:after="60"/>
        <w:ind w:hanging="284" w:left="709"/>
        <w:rPr>
          <w:rFonts w:ascii="Titillium" w:hAnsi="Titillium" w:cs="Calibri"/>
          <w:sz w:val="18"/>
          <w:szCs w:val="18"/>
        </w:rPr>
      </w:pPr>
      <w:r>
        <w:rPr>
          <w:rFonts w:cs="Calibri" w:ascii="Titillium" w:hAnsi="Titillium"/>
          <w:sz w:val="18"/>
          <w:szCs w:val="18"/>
        </w:rPr>
        <w:t>l’impegno, in caso di aggiudicazione, ad uniformarsi alla disciplina vigente in materia di raggruppamenti temporanei;</w:t>
      </w:r>
    </w:p>
    <w:p>
      <w:pPr>
        <w:pStyle w:val="Normal"/>
        <w:numPr>
          <w:ilvl w:val="3"/>
          <w:numId w:val="10"/>
        </w:numPr>
        <w:spacing w:before="60" w:after="60"/>
        <w:ind w:hanging="284" w:left="709"/>
        <w:rPr>
          <w:rFonts w:ascii="Titillium" w:hAnsi="Titillium" w:cs="Calibri"/>
          <w:sz w:val="18"/>
          <w:szCs w:val="18"/>
        </w:rPr>
      </w:pPr>
      <w:r>
        <w:rPr>
          <w:rFonts w:cs="Calibri" w:ascii="Titillium" w:hAnsi="Titillium"/>
          <w:sz w:val="18"/>
          <w:szCs w:val="18"/>
        </w:rPr>
        <w:t>le parti del servizio o della fornitura, ovvero la percentuale in caso di servizio/forniture indivisibili, eseguite dai singoli operatori economici aggregati in rete.</w:t>
      </w:r>
    </w:p>
    <w:p>
      <w:pPr>
        <w:pStyle w:val="Normal"/>
        <w:spacing w:before="60" w:after="60"/>
        <w:rPr>
          <w:rFonts w:ascii="Titillium" w:hAnsi="Titillium" w:cs="Calibri"/>
          <w:b/>
          <w:bCs/>
          <w:sz w:val="18"/>
          <w:szCs w:val="18"/>
        </w:rPr>
      </w:pPr>
      <w:r>
        <w:rPr>
          <w:rFonts w:cs="Calibri" w:ascii="Titillium" w:hAnsi="Titillium"/>
          <w:b/>
          <w:bCs/>
          <w:sz w:val="18"/>
          <w:szCs w:val="18"/>
        </w:rPr>
        <w:t>Per i consorzi di cui all’art. 65, comma 2, lett. b), c) e d) del Codice</w:t>
      </w:r>
    </w:p>
    <w:p>
      <w:pPr>
        <w:pStyle w:val="ListParagraph"/>
        <w:numPr>
          <w:ilvl w:val="0"/>
          <w:numId w:val="9"/>
        </w:numPr>
        <w:spacing w:before="60" w:after="60"/>
        <w:ind w:hanging="360" w:left="426"/>
        <w:contextualSpacing/>
        <w:rPr>
          <w:rFonts w:ascii="Titillium" w:hAnsi="Titillium" w:cs="Calibri"/>
          <w:sz w:val="18"/>
          <w:szCs w:val="18"/>
        </w:rPr>
      </w:pPr>
      <w:r>
        <w:rPr>
          <w:rFonts w:cs="Calibri" w:ascii="Titillium" w:hAnsi="Titillium"/>
          <w:sz w:val="18"/>
          <w:szCs w:val="18"/>
        </w:rPr>
        <w:t>DGUE compilato e sottoscritto da ciascuna consorziata esecutrice e da ciascuna consorziata che presta i requisiti;</w:t>
      </w:r>
    </w:p>
    <w:p>
      <w:pPr>
        <w:pStyle w:val="ListParagraph"/>
        <w:numPr>
          <w:ilvl w:val="0"/>
          <w:numId w:val="9"/>
        </w:numPr>
        <w:spacing w:before="60" w:after="60"/>
        <w:ind w:hanging="360" w:left="426"/>
        <w:contextualSpacing/>
        <w:rPr>
          <w:rFonts w:ascii="Titillium" w:hAnsi="Titillium" w:cs="Calibri"/>
          <w:sz w:val="18"/>
          <w:szCs w:val="18"/>
        </w:rPr>
      </w:pPr>
      <w:r>
        <w:rPr>
          <w:rFonts w:cs="Calibri" w:ascii="Titillium" w:hAnsi="Titillium"/>
          <w:sz w:val="18"/>
          <w:szCs w:val="18"/>
        </w:rPr>
        <w:t xml:space="preserve">dichiarazione resa da ciascuna consorziata esecutrice e da ciascuna consorziata che presta i requisiti, attestante: </w:t>
      </w:r>
    </w:p>
    <w:p>
      <w:pPr>
        <w:pStyle w:val="ListParagraph"/>
        <w:numPr>
          <w:ilvl w:val="1"/>
          <w:numId w:val="8"/>
        </w:numPr>
        <w:spacing w:before="60" w:after="60"/>
        <w:ind w:hanging="360" w:left="709"/>
        <w:contextualSpacing/>
        <w:rPr>
          <w:rFonts w:ascii="Titillium" w:hAnsi="Titillium" w:cs="Calibri"/>
          <w:sz w:val="18"/>
          <w:szCs w:val="18"/>
        </w:rPr>
      </w:pPr>
      <w:r>
        <w:rPr>
          <w:rFonts w:cs="Calibri" w:ascii="Titillium" w:hAnsi="Titillium"/>
          <w:i/>
          <w:iCs/>
          <w:sz w:val="18"/>
          <w:szCs w:val="18"/>
        </w:rPr>
        <w:t>[Eventuale, in caso di servizi o forniture rientranti in una delle attività a maggior rischio di infiltrazione mafiosa di cui al comma 53, dell’art. 1, della legge 6 novembre 2012, n. 190]</w:t>
      </w:r>
      <w:r>
        <w:rPr>
          <w:rFonts w:cs="Calibri" w:ascii="Titillium" w:hAnsi="Titillium"/>
          <w:sz w:val="18"/>
          <w:szCs w:val="18"/>
        </w:rPr>
        <w:t>:</w:t>
      </w:r>
    </w:p>
    <w:p>
      <w:pPr>
        <w:pStyle w:val="ListParagraph"/>
        <w:numPr>
          <w:ilvl w:val="4"/>
          <w:numId w:val="8"/>
        </w:numPr>
        <w:spacing w:before="60" w:after="60"/>
        <w:ind w:hanging="142" w:left="851"/>
        <w:contextualSpacing/>
        <w:rPr>
          <w:rFonts w:ascii="Titillium" w:hAnsi="Titillium" w:cs="Calibri"/>
          <w:sz w:val="18"/>
          <w:szCs w:val="18"/>
        </w:rPr>
      </w:pPr>
      <w:r>
        <w:rPr>
          <w:rFonts w:cs="Calibri" w:ascii="Titillium" w:hAnsi="Titillium"/>
          <w:sz w:val="18"/>
          <w:szCs w:val="18"/>
        </w:rPr>
        <w:t>1 di essere iscritto nell’elenco dei fornitori, prestatori di servizi non soggetti a tentativo di infiltrazione mafiosa (c.d. White List), indicando la Prefettura presso cui l’elenco è istituito</w:t>
      </w:r>
      <w:bookmarkStart w:id="1783" w:name="_Hlk203730467"/>
      <w:r>
        <w:rPr>
          <w:rFonts w:cs="Calibri" w:ascii="Titillium" w:hAnsi="Titillium"/>
          <w:sz w:val="18"/>
          <w:szCs w:val="18"/>
        </w:rPr>
        <w:t>;</w:t>
      </w:r>
    </w:p>
    <w:p>
      <w:pPr>
        <w:pStyle w:val="ListParagraph"/>
        <w:spacing w:before="60" w:after="60"/>
        <w:ind w:firstLine="695" w:left="-284"/>
        <w:contextualSpacing/>
        <w:rPr>
          <w:rFonts w:ascii="Titillium" w:hAnsi="Titillium" w:eastAsia="Calibri" w:cs="Courier New"/>
          <w:b/>
          <w:i/>
          <w:iCs/>
          <w:sz w:val="18"/>
          <w:szCs w:val="18"/>
          <w:lang w:eastAsia="it-IT"/>
        </w:rPr>
      </w:pPr>
      <w:r>
        <w:rPr>
          <w:rFonts w:eastAsia="Calibri" w:cs="Courier New" w:ascii="Titillium" w:hAnsi="Titillium"/>
          <w:b/>
          <w:i/>
          <w:iCs/>
          <w:sz w:val="18"/>
          <w:szCs w:val="18"/>
          <w:lang w:eastAsia="it-IT"/>
        </w:rPr>
        <w:t xml:space="preserve">(o, in alternativa,) </w:t>
      </w:r>
      <w:bookmarkEnd w:id="1783"/>
    </w:p>
    <w:p>
      <w:pPr>
        <w:pStyle w:val="Title"/>
        <w:spacing w:lineRule="auto" w:line="276" w:before="60" w:after="60"/>
        <w:ind w:left="709"/>
        <w:contextualSpacing/>
        <w:rPr>
          <w:rFonts w:ascii="Titillium" w:hAnsi="Titillium" w:cs="Calibri"/>
          <w:sz w:val="18"/>
          <w:szCs w:val="18"/>
        </w:rPr>
      </w:pPr>
      <w:r>
        <w:rPr>
          <w:rFonts w:cs="Calibri" w:ascii="Titillium" w:hAnsi="Titillium"/>
          <w:sz w:val="18"/>
          <w:szCs w:val="18"/>
        </w:rPr>
        <w:t>a..2 di aver presentato la domanda di iscrizione o di rinnovo nell’elenco dei fornitori, prestatori di servizi non soggetti a tentativo di infiltrazione mafiosa, indicando la Prefettura presso cui l’elenco è istituito;</w:t>
      </w:r>
    </w:p>
    <w:p>
      <w:pPr>
        <w:pStyle w:val="ListParagraph"/>
        <w:numPr>
          <w:ilvl w:val="1"/>
          <w:numId w:val="8"/>
        </w:numPr>
        <w:spacing w:before="60" w:after="60"/>
        <w:ind w:hanging="360" w:left="851"/>
        <w:contextualSpacing/>
        <w:rPr>
          <w:rFonts w:ascii="Titillium" w:hAnsi="Titillium" w:cs="Calibri"/>
          <w:i/>
          <w:iCs/>
          <w:sz w:val="18"/>
          <w:szCs w:val="18"/>
        </w:rPr>
      </w:pPr>
      <w:r>
        <w:rPr>
          <w:rFonts w:cs="Calibri" w:ascii="Titillium" w:hAnsi="Titillium"/>
          <w:i/>
          <w:iCs/>
          <w:sz w:val="18"/>
          <w:szCs w:val="18"/>
        </w:rPr>
        <w:t>[Eventuale in caso di adozione di misure di self-cleaning]:</w:t>
      </w:r>
    </w:p>
    <w:p>
      <w:pPr>
        <w:pStyle w:val="Normal"/>
        <w:ind w:left="709"/>
        <w:rPr>
          <w:rFonts w:ascii="Titillium" w:hAnsi="Titillium" w:cs="Calibri"/>
          <w:sz w:val="18"/>
          <w:szCs w:val="18"/>
        </w:rPr>
      </w:pPr>
      <w:r>
        <w:rPr>
          <w:rFonts w:cs="Calibri" w:ascii="Titillium" w:hAnsi="Titillium"/>
          <w:sz w:val="18"/>
          <w:szCs w:val="18"/>
        </w:rPr>
        <w:t>b.1 di avere inserito nel FVOE la relazione che illustra le misure di self cleaning adottate in relazione alle cause di esclusione verificate prima della presentazione della presente domanda e di aver indicato nel DGUE, il riferimento al documento caricato nel FVOE;</w:t>
      </w:r>
    </w:p>
    <w:p>
      <w:pPr>
        <w:pStyle w:val="ListParagraph"/>
        <w:spacing w:before="60" w:after="60"/>
        <w:ind w:firstLine="695" w:left="-284"/>
        <w:contextualSpacing/>
        <w:rPr>
          <w:rFonts w:ascii="Titillium" w:hAnsi="Titillium" w:eastAsia="Calibri" w:cs="Courier New"/>
          <w:b/>
          <w:i/>
          <w:iCs/>
          <w:sz w:val="18"/>
          <w:szCs w:val="18"/>
          <w:lang w:eastAsia="it-IT"/>
        </w:rPr>
      </w:pPr>
      <w:r>
        <w:rPr>
          <w:rFonts w:eastAsia="Calibri" w:cs="Courier New" w:ascii="Titillium" w:hAnsi="Titillium"/>
          <w:b/>
          <w:i/>
          <w:iCs/>
          <w:sz w:val="18"/>
          <w:szCs w:val="18"/>
          <w:lang w:eastAsia="it-IT"/>
        </w:rPr>
        <w:t xml:space="preserve">(o, in alternativa) </w:t>
      </w:r>
    </w:p>
    <w:p>
      <w:pPr>
        <w:pStyle w:val="ListParagraph"/>
        <w:ind w:left="709"/>
        <w:rPr>
          <w:rFonts w:ascii="Titillium" w:hAnsi="Titillium" w:cs="Calibri"/>
          <w:sz w:val="18"/>
          <w:szCs w:val="18"/>
        </w:rPr>
      </w:pPr>
      <w:r>
        <w:rPr>
          <w:rFonts w:cs="Calibri" w:ascii="Titillium" w:hAnsi="Titillium"/>
          <w:sz w:val="18"/>
          <w:szCs w:val="18"/>
        </w:rPr>
        <w:t>b.2 di essere stato impossibilitato ad adottare misure di self cleaning per i seguenti motivi ……………………………. [indicare le motivazioni] e si impegna ad adottare misure idonee e a comunicare le stesse tempestivamente e comunque prima dell’aggiudicazione;</w:t>
      </w:r>
    </w:p>
    <w:p>
      <w:pPr>
        <w:pStyle w:val="ListParagraph"/>
        <w:numPr>
          <w:ilvl w:val="1"/>
          <w:numId w:val="8"/>
        </w:numPr>
        <w:spacing w:before="60" w:after="60"/>
        <w:ind w:hanging="283" w:left="709"/>
        <w:contextualSpacing/>
        <w:rPr>
          <w:rFonts w:ascii="Titillium" w:hAnsi="Titillium" w:cs="Calibri"/>
          <w:sz w:val="18"/>
          <w:szCs w:val="18"/>
        </w:rPr>
      </w:pPr>
      <w:r>
        <w:rPr>
          <w:rFonts w:cs="Calibri" w:ascii="Titillium" w:hAnsi="Titillium"/>
          <w:i/>
          <w:iCs/>
          <w:sz w:val="18"/>
          <w:szCs w:val="18"/>
        </w:rPr>
        <w:t>[Eventuale, in caso di sottoposizione a concordato preventivo con continuità aziendale]:</w:t>
      </w:r>
    </w:p>
    <w:p>
      <w:pPr>
        <w:pStyle w:val="Title"/>
        <w:numPr>
          <w:ilvl w:val="0"/>
          <w:numId w:val="32"/>
        </w:numPr>
        <w:spacing w:lineRule="auto" w:line="276" w:before="0" w:after="0"/>
        <w:ind w:hanging="283" w:left="709"/>
        <w:contextualSpacing/>
        <w:rPr>
          <w:rFonts w:ascii="Titillium" w:hAnsi="Titillium" w:cs="Calibri"/>
          <w:sz w:val="18"/>
          <w:szCs w:val="18"/>
        </w:rPr>
      </w:pPr>
      <w:r>
        <w:rPr>
          <w:rFonts w:eastAsia="Times New Roman" w:cs="Calibri" w:ascii="Titillium" w:hAnsi="Titillium"/>
          <w:spacing w:val="0"/>
          <w:kern w:val="0"/>
          <w:sz w:val="18"/>
          <w:szCs w:val="18"/>
        </w:rPr>
        <w:t>che il provvedimento di ammissione al concordato è stato emesso il ……………. da …………………</w:t>
      </w:r>
    </w:p>
    <w:p>
      <w:pPr>
        <w:pStyle w:val="ListParagraph"/>
        <w:numPr>
          <w:ilvl w:val="0"/>
          <w:numId w:val="32"/>
        </w:numPr>
        <w:spacing w:before="60" w:after="60"/>
        <w:ind w:hanging="283" w:left="709"/>
        <w:contextualSpacing/>
        <w:rPr>
          <w:rFonts w:ascii="Titillium" w:hAnsi="Titillium" w:cs="Calibri"/>
          <w:sz w:val="18"/>
          <w:szCs w:val="18"/>
        </w:rPr>
      </w:pPr>
      <w:r>
        <w:rPr>
          <w:rFonts w:cs="Calibri" w:ascii="Titillium" w:hAnsi="Titillium"/>
          <w:sz w:val="18"/>
          <w:szCs w:val="18"/>
        </w:rPr>
        <w:t>che il provvedimento di autorizzazione a partecipare alle gare è stato emesso il ……………. da …….;</w:t>
      </w:r>
    </w:p>
    <w:p>
      <w:pPr>
        <w:pStyle w:val="ListParagraph"/>
        <w:numPr>
          <w:ilvl w:val="1"/>
          <w:numId w:val="8"/>
        </w:numPr>
        <w:spacing w:before="60" w:after="60"/>
        <w:ind w:hanging="283" w:left="709"/>
        <w:contextualSpacing/>
        <w:rPr>
          <w:rFonts w:ascii="Titillium" w:hAnsi="Titillium" w:cs="Calibri"/>
          <w:sz w:val="18"/>
          <w:szCs w:val="18"/>
        </w:rPr>
      </w:pPr>
      <w:r>
        <w:rPr>
          <w:rFonts w:cs="Calibri" w:ascii="Titillium" w:hAnsi="Titillium"/>
          <w:i/>
          <w:iCs/>
          <w:sz w:val="18"/>
          <w:szCs w:val="18"/>
        </w:rPr>
        <w:t>[Eventuale, 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Title"/>
        <w:numPr>
          <w:ilvl w:val="0"/>
          <w:numId w:val="32"/>
        </w:numPr>
        <w:spacing w:lineRule="auto" w:line="276" w:before="0" w:after="0"/>
        <w:ind w:hanging="283" w:left="709"/>
        <w:contextualSpacing/>
        <w:rPr>
          <w:rFonts w:ascii="Titillium" w:hAnsi="Titillium" w:cs="Calibri"/>
          <w:sz w:val="18"/>
          <w:szCs w:val="18"/>
        </w:rPr>
      </w:pPr>
      <w:r>
        <w:rPr>
          <w:rFonts w:eastAsia="Times New Roman" w:cs="Calibri" w:ascii="Titillium" w:hAnsi="Titillium"/>
          <w:spacing w:val="0"/>
          <w:kern w:val="0"/>
          <w:sz w:val="18"/>
          <w:szCs w:val="18"/>
        </w:rPr>
        <w:t xml:space="preserve"> </w:t>
      </w:r>
      <w:r>
        <w:rPr>
          <w:rFonts w:eastAsia="Times New Roman" w:cs="Calibri" w:ascii="Titillium" w:hAnsi="Titillium"/>
          <w:spacing w:val="0"/>
          <w:kern w:val="0"/>
          <w:sz w:val="18"/>
          <w:szCs w:val="18"/>
        </w:rPr>
        <w:t>che è stato emesso il provvedimento …. (indicare il tipo di provvedimento: sottoposizione a sequestro o confisca ai sensi dell'articolo 240-bis del codice penale o degli articoli 20 e 24 del decreto legislativo 6 settembre 2011, n. 159, e affidamento a custode o amministratore giudiziario o finanziario) in data … da parte di ….;</w:t>
      </w:r>
    </w:p>
    <w:p>
      <w:pPr>
        <w:pStyle w:val="ListParagraph"/>
        <w:numPr>
          <w:ilvl w:val="1"/>
          <w:numId w:val="8"/>
        </w:numPr>
        <w:spacing w:before="60" w:after="60"/>
        <w:ind w:hanging="283" w:left="709"/>
        <w:contextualSpacing/>
        <w:rPr>
          <w:rFonts w:ascii="Titillium" w:hAnsi="Titillium" w:cs="Calibri"/>
          <w:sz w:val="18"/>
          <w:szCs w:val="18"/>
        </w:rPr>
      </w:pPr>
      <w:r>
        <w:rPr>
          <w:rFonts w:cs="Calibri" w:ascii="Titillium" w:hAnsi="Titillium"/>
          <w:i/>
          <w:iCs/>
          <w:sz w:val="18"/>
          <w:szCs w:val="18"/>
        </w:rPr>
        <w:t>[</w:t>
      </w:r>
      <w:r>
        <w:rPr>
          <w:rFonts w:cs="Calibri" w:ascii="Titillium" w:hAnsi="Titillium"/>
          <w:b/>
          <w:bCs/>
          <w:i/>
          <w:iCs/>
          <w:sz w:val="18"/>
          <w:szCs w:val="18"/>
        </w:rPr>
        <w:t>solo per i consorzi stabili</w:t>
      </w:r>
      <w:r>
        <w:rPr>
          <w:rFonts w:cs="Calibri" w:ascii="Titillium" w:hAnsi="Titillium"/>
          <w:i/>
          <w:iCs/>
          <w:sz w:val="18"/>
          <w:szCs w:val="18"/>
        </w:rPr>
        <w:t>]</w:t>
      </w:r>
      <w:r>
        <w:rPr>
          <w:rFonts w:cs="Calibri" w:ascii="Titillium" w:hAnsi="Titillium"/>
          <w:sz w:val="18"/>
          <w:szCs w:val="18"/>
        </w:rPr>
        <w:t xml:space="preserve"> di non partecipare a più di un consorzio stabile;</w:t>
      </w:r>
    </w:p>
    <w:p>
      <w:pPr>
        <w:pStyle w:val="ListParagraph"/>
        <w:numPr>
          <w:ilvl w:val="1"/>
          <w:numId w:val="8"/>
        </w:numPr>
        <w:spacing w:before="60" w:after="60"/>
        <w:ind w:hanging="283" w:left="709"/>
        <w:contextualSpacing/>
        <w:rPr>
          <w:rFonts w:ascii="Titillium" w:hAnsi="Titillium"/>
          <w:sz w:val="18"/>
          <w:szCs w:val="18"/>
        </w:rPr>
      </w:pPr>
      <w:r>
        <w:rPr>
          <w:rFonts w:ascii="Titillium" w:hAnsi="Titillium"/>
          <w:sz w:val="18"/>
          <w:szCs w:val="18"/>
        </w:rPr>
        <w:t>di non partecipare alla medesima gara contemporaneamente in forme diverse (singola/associata, in più forme associate, in forma singola e quale consorziato esecutore di un consorzio) e come impresa ausiliaria di altro concorrente che sia ricorso all’avvalimento per migliorare la propria offerta;</w:t>
      </w:r>
    </w:p>
    <w:p>
      <w:pPr>
        <w:pStyle w:val="ListParagraph"/>
        <w:spacing w:before="60" w:after="60"/>
        <w:ind w:firstLine="695" w:left="-284"/>
        <w:contextualSpacing/>
        <w:rPr>
          <w:rFonts w:ascii="Titillium" w:hAnsi="Titillium" w:eastAsia="Calibri" w:cs="Courier New"/>
          <w:b/>
          <w:i/>
          <w:iCs/>
          <w:sz w:val="18"/>
          <w:szCs w:val="18"/>
          <w:lang w:eastAsia="it-IT"/>
        </w:rPr>
      </w:pPr>
      <w:r>
        <w:rPr>
          <w:rFonts w:eastAsia="Calibri" w:cs="Courier New" w:ascii="Titillium" w:hAnsi="Titillium"/>
          <w:b/>
          <w:i/>
          <w:iCs/>
          <w:sz w:val="18"/>
          <w:szCs w:val="18"/>
          <w:lang w:eastAsia="it-IT"/>
        </w:rPr>
        <w:t xml:space="preserve">(o, in alternativa) </w:t>
      </w:r>
    </w:p>
    <w:p>
      <w:pPr>
        <w:pStyle w:val="ListParagraph"/>
        <w:numPr>
          <w:ilvl w:val="1"/>
          <w:numId w:val="8"/>
        </w:numPr>
        <w:ind w:hanging="283" w:left="709"/>
        <w:rPr>
          <w:rFonts w:ascii="Titillium" w:hAnsi="Titillium" w:cs="Calibri"/>
          <w:sz w:val="18"/>
          <w:szCs w:val="18"/>
        </w:rPr>
      </w:pPr>
      <w:r>
        <w:rPr>
          <w:rFonts w:cs="Calibri" w:ascii="Titillium" w:hAnsi="Titillium"/>
          <w:sz w:val="18"/>
          <w:szCs w:val="18"/>
        </w:rPr>
        <w:t xml:space="preserve">di partecipare in più di una forma, ………………… </w:t>
      </w:r>
      <w:r>
        <w:rPr>
          <w:rFonts w:cs="Calibri" w:ascii="Titillium" w:hAnsi="Titillium"/>
          <w:i/>
          <w:iCs/>
          <w:sz w:val="18"/>
          <w:szCs w:val="18"/>
        </w:rPr>
        <w:t xml:space="preserve">[indicare quali] </w:t>
      </w:r>
      <w:r>
        <w:rPr>
          <w:rFonts w:cs="Calibri" w:ascii="Titillium" w:hAnsi="Titillium"/>
          <w:sz w:val="18"/>
          <w:szCs w:val="18"/>
        </w:rPr>
        <w:t>e inserisce nel FVOE idonea documentazione atta a dimostrare che la circostanza non ha influito sulla gara, né è idonea a incidere sulla capacità di rispettare gli obblighi contrattuali;</w:t>
      </w:r>
    </w:p>
    <w:p>
      <w:pPr>
        <w:pStyle w:val="ListParagraph"/>
        <w:spacing w:before="60" w:after="60"/>
        <w:ind w:firstLine="695" w:left="-284"/>
        <w:contextualSpacing/>
        <w:rPr>
          <w:rFonts w:ascii="Titillium" w:hAnsi="Titillium" w:eastAsia="Calibri" w:cs="Courier New"/>
          <w:b/>
          <w:i/>
          <w:iCs/>
          <w:sz w:val="18"/>
          <w:szCs w:val="18"/>
          <w:lang w:eastAsia="it-IT"/>
        </w:rPr>
      </w:pPr>
      <w:r>
        <w:rPr>
          <w:rFonts w:eastAsia="Calibri" w:cs="Courier New" w:ascii="Titillium" w:hAnsi="Titillium"/>
          <w:b/>
          <w:i/>
          <w:iCs/>
          <w:sz w:val="18"/>
          <w:szCs w:val="18"/>
          <w:lang w:eastAsia="it-IT"/>
        </w:rPr>
        <w:t xml:space="preserve">(o, in alternativa) </w:t>
      </w:r>
    </w:p>
    <w:p>
      <w:pPr>
        <w:pStyle w:val="ListParagraph"/>
        <w:numPr>
          <w:ilvl w:val="1"/>
          <w:numId w:val="8"/>
        </w:numPr>
        <w:ind w:hanging="283" w:left="709"/>
        <w:rPr>
          <w:rFonts w:ascii="Titillium" w:hAnsi="Titillium" w:cs="Calibri"/>
          <w:sz w:val="18"/>
          <w:szCs w:val="18"/>
        </w:rPr>
      </w:pPr>
      <w:r>
        <w:rPr>
          <w:rFonts w:cs="Calibri" w:ascii="Titillium" w:hAnsi="Titillium"/>
          <w:sz w:val="18"/>
          <w:szCs w:val="18"/>
        </w:rPr>
        <w:t xml:space="preserve">di avere prestato risorse, in qualità di impresa ausiliaria, al concorrente …. </w:t>
      </w:r>
      <w:r>
        <w:rPr>
          <w:rFonts w:cs="Calibri" w:ascii="Titillium" w:hAnsi="Titillium"/>
          <w:i/>
          <w:iCs/>
          <w:sz w:val="18"/>
          <w:szCs w:val="18"/>
        </w:rPr>
        <w:t>[indicare il nominativo]</w:t>
      </w:r>
      <w:r>
        <w:rPr>
          <w:rFonts w:cs="Calibri" w:ascii="Titillium" w:hAnsi="Titillium"/>
          <w:sz w:val="18"/>
          <w:szCs w:val="18"/>
        </w:rPr>
        <w:t>, che se ne è avvalso ai fini del miglioramento dell’offerta, e inserisce nel FVOE idonea documentazione atta a dimostrare che non sussistono collegamenti tali da ricondurre entrambe le imprese allo stesso centro decisionale;</w:t>
      </w:r>
    </w:p>
    <w:p>
      <w:pPr>
        <w:pStyle w:val="ListParagraph"/>
        <w:numPr>
          <w:ilvl w:val="1"/>
          <w:numId w:val="8"/>
        </w:numPr>
        <w:ind w:hanging="283" w:left="709"/>
        <w:rPr>
          <w:rFonts w:ascii="Titillium" w:hAnsi="Titillium" w:cs="Calibri"/>
          <w:sz w:val="18"/>
          <w:szCs w:val="18"/>
        </w:rPr>
      </w:pPr>
      <w:r>
        <w:rPr>
          <w:rFonts w:cs="Calibri" w:ascii="Titillium" w:hAnsi="Titillium"/>
          <w:sz w:val="18"/>
          <w:szCs w:val="18"/>
        </w:rPr>
        <w:t>di prestare il consenso al trattamento dei dati tramite il FVOE, nel rispetto di quanto previsto dal D.lgs. 196 del 30 giugno 2003, ai fini della verifica da parte della stazione appaltante del possesso dei requisiti dichiarati.</w:t>
      </w:r>
    </w:p>
    <w:p>
      <w:pPr>
        <w:pStyle w:val="Normal"/>
        <w:ind w:left="774"/>
        <w:rPr>
          <w:rFonts w:ascii="Titillium" w:hAnsi="Titillium" w:cs="Calibri"/>
          <w:sz w:val="18"/>
          <w:szCs w:val="18"/>
        </w:rPr>
      </w:pPr>
      <w:r>
        <w:rPr>
          <w:rFonts w:cs="Calibri" w:ascii="Titillium" w:hAnsi="Titillium"/>
          <w:sz w:val="18"/>
          <w:szCs w:val="18"/>
        </w:rPr>
      </w:r>
    </w:p>
    <w:p>
      <w:pPr>
        <w:pStyle w:val="Heading2"/>
        <w:numPr>
          <w:ilvl w:val="0"/>
          <w:numId w:val="3"/>
        </w:numPr>
        <w:rPr/>
      </w:pPr>
      <w:r>
        <w:rPr/>
        <w:t xml:space="preserve"> </w:t>
      </w:r>
      <w:bookmarkStart w:id="1784" w:name="_Toc231396687"/>
      <w:r>
        <w:rPr/>
        <w:t>OFFERTA TECNICA</w:t>
      </w:r>
      <w:bookmarkEnd w:id="1784"/>
    </w:p>
    <w:p>
      <w:pPr>
        <w:pStyle w:val="Normal"/>
        <w:spacing w:before="60" w:after="60"/>
        <w:rPr/>
      </w:pPr>
      <w:bookmarkStart w:id="1785" w:name="_Toc406754183"/>
      <w:bookmarkStart w:id="1786" w:name="_Toc407013507"/>
      <w:bookmarkStart w:id="1787" w:name="_Toc406058382"/>
      <w:bookmarkEnd w:id="1785"/>
      <w:bookmarkEnd w:id="1786"/>
      <w:bookmarkEnd w:id="1787"/>
      <w:r>
        <w:rPr>
          <w:rFonts w:cs="Calibri" w:ascii="Titillium" w:hAnsi="Titillium"/>
          <w:sz w:val="18"/>
          <w:szCs w:val="18"/>
        </w:rPr>
        <w:t>L’operatore economico inserisce la documentazione relativa all’offerta tecnica nella PAD secondo le seguenti modalità</w:t>
      </w:r>
      <w:r>
        <w:rPr>
          <w:rFonts w:cs="Calibri" w:ascii="Titillium" w:hAnsi="Titillium"/>
          <w:i/>
          <w:sz w:val="18"/>
          <w:szCs w:val="18"/>
        </w:rPr>
        <w:t xml:space="preserve">, </w:t>
      </w:r>
      <w:r>
        <w:rPr>
          <w:rFonts w:cs="Calibri" w:ascii="Titillium" w:hAnsi="Titillium"/>
          <w:iCs/>
          <w:sz w:val="18"/>
          <w:szCs w:val="18"/>
        </w:rPr>
        <w:t>a pena di inammissibilità dell’offerta. L’offerta è fi</w:t>
      </w:r>
      <w:r>
        <w:rPr>
          <w:rFonts w:cs="Calibri" w:ascii="Titillium" w:hAnsi="Titillium"/>
          <w:sz w:val="18"/>
          <w:szCs w:val="18"/>
        </w:rPr>
        <w:t>rmata secondo le modalità previste al precedente paragrafo 13 e deve contenere i seguenti documenti:</w:t>
      </w:r>
    </w:p>
    <w:p>
      <w:pPr>
        <w:pStyle w:val="ListParagraph"/>
        <w:numPr>
          <w:ilvl w:val="0"/>
          <w:numId w:val="19"/>
        </w:numPr>
        <w:spacing w:before="60" w:after="60"/>
        <w:ind w:hanging="360" w:left="709"/>
        <w:contextualSpacing w:val="false"/>
        <w:rPr>
          <w:rFonts w:ascii="Titillium" w:hAnsi="Titillium"/>
          <w:bCs/>
          <w:sz w:val="18"/>
          <w:szCs w:val="18"/>
        </w:rPr>
      </w:pPr>
      <w:r>
        <w:rPr>
          <w:rFonts w:ascii="Titillium" w:hAnsi="Titillium"/>
          <w:bCs/>
          <w:sz w:val="18"/>
          <w:szCs w:val="18"/>
        </w:rPr>
        <w:t>relazione tecnica dei servizi offerti, contenente una proposta tecnico-organizzativa che illustri, con riferimento ai criteri di valutazione indicati nella tabella di cui al successivo paragrafo 18.1, i seguenti elementi:</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piano operativo proposto per l’esecuzione del complessivo servizio di trasporto</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tempo di attivazione servizio trasporto salme, feti e parti anatomiche verso camera mortuaria per l’Ausl di Bologna e IRCCS IOR (entrambe le sedi),</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tempo di attivazione servizio trasporto salme, feti e parti anatomiche verso camera mortuaria per l’IRCCS Aou di Bologna,</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conformità del parco macchine, compresi i mezzi di back up, ai criteri minimi ambientali valutato sulla base della classe ambientale di appartenenza;</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dotazione strumenti informatici (software) per la gestione del complessivo servizio di trasporto;</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Dotazione/qualificazione del personale impiegato per l’esecuzione del servizio e indicazione delle relative esperienze professionali;</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Piano di formazione e aggiornamento del personale impiegato per l’esecuzione del servizio;</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Piano per la manutenzione ordinaria e straordinaria dei mezzi con indicazione della frequenza degli interventi e descrizione delle attività;</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Descrizione della modalità, tempistiche e tipologie di prodotti atti a garantire la pulizia e sanificazione dei mezzi;</w:t>
      </w:r>
    </w:p>
    <w:p>
      <w:pPr>
        <w:pStyle w:val="ListParagraph"/>
        <w:numPr>
          <w:ilvl w:val="0"/>
          <w:numId w:val="40"/>
        </w:numPr>
        <w:spacing w:before="60" w:after="60"/>
        <w:contextualSpacing/>
        <w:rPr>
          <w:rFonts w:ascii="Titillium" w:hAnsi="Titillium"/>
          <w:bCs/>
          <w:sz w:val="18"/>
          <w:szCs w:val="18"/>
        </w:rPr>
      </w:pPr>
      <w:r>
        <w:rPr>
          <w:rFonts w:ascii="Titillium" w:hAnsi="Titillium"/>
          <w:bCs/>
          <w:sz w:val="18"/>
          <w:szCs w:val="18"/>
        </w:rPr>
        <w:t>Certificazione parità di genere UNI/PdR 125:2022 o equivalente. La Ditta dovrà presentare copia della certificazione.</w:t>
      </w:r>
    </w:p>
    <w:p>
      <w:pPr>
        <w:pStyle w:val="Normal"/>
        <w:spacing w:before="60" w:after="60"/>
        <w:ind w:left="1069"/>
        <w:rPr>
          <w:rFonts w:ascii="Titillium" w:hAnsi="Titillium"/>
          <w:bCs/>
          <w:sz w:val="18"/>
          <w:szCs w:val="18"/>
        </w:rPr>
      </w:pPr>
      <w:r>
        <w:rPr>
          <w:rFonts w:ascii="Titillium" w:hAnsi="Titillium"/>
          <w:bCs/>
          <w:sz w:val="18"/>
          <w:szCs w:val="18"/>
        </w:rPr>
        <w:t>Con riferimento al criterio valutativo circa la Certificazione parità di genere UNI/PdR 125:2022 sarà assegnato un punteggio ai concorrenti in possesso, al momento della presentazione dell'offerta, della certificazione in materia di parità di genere di cui all'art. 46-bis del codice delle pari opportunità tra uomo e donna, di cui al decreto legislativo 11 aprile 2006, n. 198, in conformità alla norma UNI/PdR 125:2022 . La certificazione dovrà essere valida alla data di scadenza del termine delle offerte e posseduta, in caso di aggiudicazione, per tutto il tempo di durata del contratto.</w:t>
      </w:r>
    </w:p>
    <w:p>
      <w:pPr>
        <w:pStyle w:val="ListParagraph"/>
        <w:numPr>
          <w:ilvl w:val="0"/>
          <w:numId w:val="19"/>
        </w:numPr>
        <w:spacing w:before="60" w:after="60"/>
        <w:ind w:hanging="360" w:left="709"/>
        <w:contextualSpacing w:val="false"/>
        <w:rPr>
          <w:rFonts w:ascii="Titillium" w:hAnsi="Titillium"/>
          <w:bCs/>
          <w:sz w:val="18"/>
          <w:szCs w:val="18"/>
        </w:rPr>
      </w:pPr>
      <w:r>
        <w:rPr>
          <w:rFonts w:ascii="Titillium" w:hAnsi="Titillium"/>
          <w:bCs/>
          <w:sz w:val="18"/>
          <w:szCs w:val="18"/>
        </w:rPr>
        <w:t>eventuale contratto di avvalimento premiale;</w:t>
      </w:r>
    </w:p>
    <w:p>
      <w:pPr>
        <w:pStyle w:val="ListParagraph"/>
        <w:numPr>
          <w:ilvl w:val="0"/>
          <w:numId w:val="19"/>
        </w:numPr>
        <w:spacing w:before="60" w:after="60"/>
        <w:ind w:hanging="360" w:left="709"/>
        <w:contextualSpacing w:val="false"/>
        <w:rPr>
          <w:rFonts w:ascii="Titillium" w:hAnsi="Titillium"/>
          <w:bCs/>
          <w:sz w:val="18"/>
          <w:szCs w:val="18"/>
        </w:rPr>
      </w:pPr>
      <w:r>
        <w:rPr>
          <w:rFonts w:ascii="Titillium" w:hAnsi="Titillium"/>
          <w:sz w:val="18"/>
          <w:szCs w:val="18"/>
        </w:rPr>
        <w:t>un progetto di assorbimento atto ad illustrare le concrete modalit</w:t>
      </w:r>
      <w:r>
        <w:rPr>
          <w:rFonts w:hint="eastAsia" w:ascii="Titillium" w:hAnsi="Titillium"/>
          <w:sz w:val="18"/>
          <w:szCs w:val="18"/>
        </w:rPr>
        <w:t>à</w:t>
      </w:r>
      <w:r>
        <w:rPr>
          <w:rFonts w:ascii="Titillium" w:hAnsi="Titillium"/>
          <w:sz w:val="18"/>
          <w:szCs w:val="18"/>
        </w:rPr>
        <w:t xml:space="preserve"> di applicazione della clausola sociale</w:t>
      </w:r>
    </w:p>
    <w:p>
      <w:pPr>
        <w:pStyle w:val="Normal"/>
        <w:spacing w:before="60" w:after="60"/>
        <w:ind w:left="568"/>
        <w:rPr>
          <w:rFonts w:ascii="Titillium" w:hAnsi="Titillium"/>
          <w:bCs/>
          <w:sz w:val="18"/>
          <w:szCs w:val="18"/>
          <w:highlight w:val="yellow"/>
        </w:rPr>
      </w:pPr>
      <w:r>
        <w:rPr>
          <w:rFonts w:ascii="Titillium" w:hAnsi="Titillium"/>
          <w:bCs/>
          <w:sz w:val="18"/>
          <w:szCs w:val="18"/>
          <w:highlight w:val="yellow"/>
        </w:rPr>
      </w:r>
    </w:p>
    <w:p>
      <w:pPr>
        <w:pStyle w:val="Normal"/>
        <w:spacing w:before="60" w:after="60"/>
        <w:rPr/>
      </w:pPr>
      <w:r>
        <w:rPr>
          <w:rFonts w:cs="Calibri" w:ascii="Titillium" w:hAnsi="Titillium"/>
          <w:sz w:val="18"/>
          <w:szCs w:val="18"/>
        </w:rPr>
        <w:t>L’offerta tecnica deve rispettare, pena l’esclusione dalla procedura di gara, le caratteristiche minime stabilite nei documenti di gara, nel rispetto del principio di equivalenza.</w:t>
      </w:r>
    </w:p>
    <w:p>
      <w:pPr>
        <w:pStyle w:val="Normal"/>
        <w:spacing w:before="60" w:after="60"/>
        <w:rPr>
          <w:rFonts w:ascii="Titillium" w:hAnsi="Titillium"/>
          <w:i/>
          <w:iCs/>
          <w:sz w:val="18"/>
          <w:szCs w:val="18"/>
        </w:rPr>
      </w:pPr>
      <w:r>
        <w:rPr>
          <w:rFonts w:ascii="Titillium" w:hAnsi="Titillium"/>
          <w:sz w:val="18"/>
          <w:szCs w:val="18"/>
        </w:rPr>
        <w:t xml:space="preserve">Ai fini del rispetto della clausola sociale sulla stabilità occupazionale di cui al paragrafo </w:t>
      </w:r>
      <w:r>
        <w:rPr>
          <w:rFonts w:ascii="Titillium" w:hAnsi="Titillium"/>
          <w:sz w:val="18"/>
          <w:szCs w:val="18"/>
        </w:rPr>
        <w:fldChar w:fldCharType="begin"/>
      </w:r>
      <w:r>
        <w:rPr>
          <w:rFonts w:ascii="Titillium" w:hAnsi="Titillium"/>
          <w:sz w:val="18"/>
          <w:szCs w:val="18"/>
        </w:rPr>
        <w:instrText xml:space="preserve"> REF _Ref132050689 \r \r \h </w:instrText>
      </w:r>
      <w:r>
        <w:rPr>
          <w:rFonts w:ascii="Titillium" w:hAnsi="Titillium"/>
          <w:sz w:val="18"/>
          <w:szCs w:val="18"/>
        </w:rPr>
        <w:fldChar w:fldCharType="separate"/>
      </w:r>
      <w:r>
        <w:rPr>
          <w:rFonts w:ascii="Titillium" w:hAnsi="Titillium"/>
          <w:sz w:val="18"/>
          <w:szCs w:val="18"/>
        </w:rPr>
        <w:t>9</w:t>
      </w:r>
      <w:r>
        <w:rPr>
          <w:rFonts w:ascii="Titillium" w:hAnsi="Titillium"/>
          <w:sz w:val="18"/>
          <w:szCs w:val="18"/>
        </w:rPr>
        <w:fldChar w:fldCharType="end"/>
      </w:r>
      <w:r>
        <w:rPr>
          <w:rFonts w:ascii="Titillium" w:hAnsi="Titillium"/>
          <w:sz w:val="18"/>
          <w:szCs w:val="18"/>
        </w:rPr>
        <w:t>, il concorrente allega all</w:t>
      </w:r>
      <w:r>
        <w:rPr>
          <w:rFonts w:hint="eastAsia" w:ascii="Titillium" w:hAnsi="Titillium"/>
          <w:sz w:val="18"/>
          <w:szCs w:val="18"/>
        </w:rPr>
        <w:t>’</w:t>
      </w:r>
      <w:r>
        <w:rPr>
          <w:rFonts w:ascii="Titillium" w:hAnsi="Titillium"/>
          <w:sz w:val="18"/>
          <w:szCs w:val="18"/>
        </w:rPr>
        <w:t>offerta tecnica un progetto di assorbimento atto ad illustrare le concrete modalit</w:t>
      </w:r>
      <w:r>
        <w:rPr>
          <w:rFonts w:hint="eastAsia" w:ascii="Titillium" w:hAnsi="Titillium"/>
          <w:sz w:val="18"/>
          <w:szCs w:val="18"/>
        </w:rPr>
        <w:t>à</w:t>
      </w:r>
      <w:r>
        <w:rPr>
          <w:rFonts w:ascii="Titillium" w:hAnsi="Titillium"/>
          <w:sz w:val="18"/>
          <w:szCs w:val="18"/>
        </w:rPr>
        <w:t xml:space="preserve"> di applicazione della clausola sociale</w:t>
      </w:r>
      <w:r>
        <w:rPr>
          <w:rFonts w:ascii="Titillium" w:hAnsi="Titillium"/>
          <w:i/>
          <w:iCs/>
          <w:sz w:val="18"/>
          <w:szCs w:val="18"/>
        </w:rPr>
        <w:t>.</w:t>
      </w:r>
    </w:p>
    <w:p>
      <w:pPr>
        <w:pStyle w:val="Normal"/>
        <w:spacing w:before="60" w:after="60"/>
        <w:rPr>
          <w:rFonts w:ascii="Titillium" w:hAnsi="Titillium" w:eastAsia="Calibri"/>
          <w:color w:themeColor="text1" w:val="000000"/>
          <w:kern w:val="2"/>
          <w:sz w:val="18"/>
          <w:szCs w:val="18"/>
          <w:lang w:eastAsia="it-IT"/>
        </w:rPr>
      </w:pPr>
      <w:r>
        <w:rPr>
          <w:rFonts w:eastAsia="Calibri" w:ascii="Titillium" w:hAnsi="Titillium"/>
          <w:color w:themeColor="text1" w:val="000000"/>
          <w:kern w:val="2"/>
          <w:sz w:val="18"/>
          <w:szCs w:val="18"/>
          <w:lang w:eastAsia="it-IT"/>
        </w:rPr>
        <w:t xml:space="preserve">L’operatore economico che intende avanzare richiesta di oscuramento di parte dell’offerta tecnica </w:t>
      </w:r>
      <w:r>
        <w:rPr>
          <w:rFonts w:eastAsia="Calibri" w:ascii="Titillium" w:hAnsi="Titillium"/>
          <w:b/>
          <w:bCs/>
          <w:color w:themeColor="text1" w:val="000000"/>
          <w:kern w:val="2"/>
          <w:sz w:val="18"/>
          <w:szCs w:val="18"/>
          <w:lang w:eastAsia="it-IT"/>
        </w:rPr>
        <w:t xml:space="preserve">allega, oltre all’offerta in chiaro, una versione della stessa con oscuramento </w:t>
      </w:r>
      <w:r>
        <w:rPr>
          <w:rFonts w:eastAsia="Calibri" w:ascii="Titillium" w:hAnsi="Titillium"/>
          <w:color w:themeColor="text1" w:val="000000"/>
          <w:kern w:val="2"/>
          <w:sz w:val="18"/>
          <w:szCs w:val="18"/>
          <w:lang w:eastAsia="it-IT"/>
        </w:rPr>
        <w:t xml:space="preserve">delle parti che ritiene riservate in quanto costituenti segreti tecnici o commerciali, anche risultanti da scoperte, innovazioni, progetti tutelati da titoli di proprietà industriale, nonché di contenuto altamente tecnologico, unitamente a una dichiarazione firmata contenente le ragioni della richiesta.  </w:t>
      </w:r>
    </w:p>
    <w:p>
      <w:pPr>
        <w:pStyle w:val="Normal"/>
        <w:widowControl w:val="false"/>
        <w:spacing w:before="60" w:after="60"/>
        <w:rPr>
          <w:rFonts w:ascii="Titillium" w:hAnsi="Titillium" w:cs="Arial"/>
          <w:sz w:val="18"/>
          <w:szCs w:val="18"/>
        </w:rPr>
      </w:pPr>
      <w:r>
        <w:rPr>
          <w:rFonts w:cs="Arial" w:ascii="Titillium" w:hAnsi="Titillium"/>
          <w:sz w:val="18"/>
          <w:szCs w:val="18"/>
        </w:rPr>
      </w:r>
    </w:p>
    <w:p>
      <w:pPr>
        <w:pStyle w:val="Heading2"/>
        <w:numPr>
          <w:ilvl w:val="0"/>
          <w:numId w:val="3"/>
        </w:numPr>
        <w:rPr/>
      </w:pPr>
      <w:bookmarkStart w:id="1788" w:name="_Toc231396688"/>
      <w:r>
        <w:rPr/>
        <w:t>OFFERTA ECONOMICA</w:t>
      </w:r>
      <w:bookmarkEnd w:id="1788"/>
    </w:p>
    <w:p>
      <w:pPr>
        <w:pStyle w:val="Normal"/>
        <w:spacing w:before="60" w:after="60"/>
        <w:ind w:hanging="11"/>
        <w:rPr/>
      </w:pPr>
      <w:bookmarkStart w:id="1789" w:name="_Toc483325793"/>
      <w:bookmarkStart w:id="1790" w:name="_Toc483401270"/>
      <w:bookmarkStart w:id="1791" w:name="_Toc482025749"/>
      <w:bookmarkStart w:id="1792" w:name="_Toc482097573"/>
      <w:bookmarkStart w:id="1793" w:name="_Toc482097662"/>
      <w:bookmarkStart w:id="1794" w:name="_Toc482097751"/>
      <w:bookmarkStart w:id="1795" w:name="_Toc482097943"/>
      <w:bookmarkStart w:id="1796" w:name="_Toc482099045"/>
      <w:bookmarkStart w:id="1797" w:name="_Toc482100762"/>
      <w:bookmarkStart w:id="1798" w:name="_Toc482100919"/>
      <w:bookmarkStart w:id="1799" w:name="_Toc482101345"/>
      <w:bookmarkStart w:id="1800" w:name="_Toc482101482"/>
      <w:bookmarkStart w:id="1801" w:name="_Toc482101597"/>
      <w:bookmarkStart w:id="1802" w:name="_Toc482101772"/>
      <w:bookmarkStart w:id="1803" w:name="_Toc482101865"/>
      <w:bookmarkStart w:id="1804" w:name="_Toc482101960"/>
      <w:bookmarkStart w:id="1805" w:name="_Toc482102055"/>
      <w:bookmarkStart w:id="1806" w:name="_Toc482102149"/>
      <w:bookmarkStart w:id="1807" w:name="_Toc482352013"/>
      <w:bookmarkStart w:id="1808" w:name="_Toc482352103"/>
      <w:bookmarkStart w:id="1809" w:name="_Toc482352193"/>
      <w:bookmarkStart w:id="1810" w:name="_Toc482352283"/>
      <w:bookmarkStart w:id="1811" w:name="_Toc482633124"/>
      <w:bookmarkStart w:id="1812" w:name="_Toc482641301"/>
      <w:bookmarkStart w:id="1813" w:name="_Toc482712747"/>
      <w:bookmarkStart w:id="1814" w:name="_Toc482959535"/>
      <w:bookmarkStart w:id="1815" w:name="_Toc482959645"/>
      <w:bookmarkStart w:id="1816" w:name="_Toc482959755"/>
      <w:bookmarkStart w:id="1817" w:name="_Toc482978874"/>
      <w:bookmarkStart w:id="1818" w:name="_Toc482978983"/>
      <w:bookmarkStart w:id="1819" w:name="_Toc482979091"/>
      <w:bookmarkStart w:id="1820" w:name="_Toc482979202"/>
      <w:bookmarkStart w:id="1821" w:name="_Toc482979311"/>
      <w:bookmarkStart w:id="1822" w:name="_Toc482979420"/>
      <w:bookmarkStart w:id="1823" w:name="_Toc482979528"/>
      <w:bookmarkStart w:id="1824" w:name="_Toc482979626"/>
      <w:bookmarkStart w:id="1825" w:name="_Toc482979724"/>
      <w:bookmarkStart w:id="1826" w:name="_Toc483233684"/>
      <w:bookmarkStart w:id="1827" w:name="_Toc483302401"/>
      <w:bookmarkStart w:id="1828" w:name="_Toc483316022"/>
      <w:bookmarkStart w:id="1829" w:name="_Toc483316227"/>
      <w:bookmarkStart w:id="1830" w:name="_Toc483316359"/>
      <w:bookmarkStart w:id="1831" w:name="_Toc483316490"/>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Pr>
          <w:rFonts w:cs="Calibri" w:ascii="Titillium" w:hAnsi="Titillium"/>
          <w:sz w:val="18"/>
          <w:szCs w:val="18"/>
        </w:rPr>
        <w:t>L’operatore economico inserisce la documentazione economica, nella PAD secondo le seguenti modalità</w:t>
      </w:r>
      <w:r>
        <w:rPr>
          <w:rFonts w:cs="Calibri" w:ascii="Titillium" w:hAnsi="Titillium"/>
          <w:i/>
          <w:sz w:val="18"/>
          <w:szCs w:val="18"/>
        </w:rPr>
        <w:t>.</w:t>
      </w:r>
      <w:r>
        <w:rPr>
          <w:rFonts w:cs="Calibri" w:ascii="Titillium" w:hAnsi="Titillium"/>
          <w:sz w:val="18"/>
          <w:szCs w:val="18"/>
        </w:rPr>
        <w:t xml:space="preserve"> L’offerta economica firmata secondo le modalità di cui al precedente paragrafo 13, deve indicare, a pena di esclusione, i seguenti elementi:</w:t>
      </w:r>
    </w:p>
    <w:p>
      <w:pPr>
        <w:pStyle w:val="Normal"/>
        <w:numPr>
          <w:ilvl w:val="2"/>
          <w:numId w:val="2"/>
        </w:numPr>
        <w:spacing w:before="60" w:after="60"/>
        <w:ind w:hanging="284" w:left="284"/>
        <w:rPr/>
      </w:pPr>
      <w:r>
        <w:rPr>
          <w:rFonts w:cs="Arial" w:ascii="Titillium" w:hAnsi="Titillium"/>
          <w:iCs/>
          <w:sz w:val="18"/>
          <w:szCs w:val="18"/>
        </w:rPr>
        <w:t>Allegato E - Scheda offerta economica</w:t>
      </w:r>
      <w:r>
        <w:rPr>
          <w:rFonts w:cs="Arial" w:ascii="Titillium" w:hAnsi="Titillium"/>
          <w:i/>
          <w:sz w:val="18"/>
          <w:szCs w:val="18"/>
        </w:rPr>
        <w:t xml:space="preserve"> </w:t>
      </w:r>
      <w:r>
        <w:rPr>
          <w:rFonts w:cs="Calibri" w:ascii="Titillium" w:hAnsi="Titillium"/>
          <w:sz w:val="18"/>
          <w:szCs w:val="18"/>
        </w:rPr>
        <w:t>al netto di</w:t>
      </w:r>
      <w:r>
        <w:rPr>
          <w:rFonts w:cs="Calibri" w:ascii="Titillium" w:hAnsi="Titillium"/>
          <w:i/>
          <w:sz w:val="18"/>
          <w:szCs w:val="18"/>
        </w:rPr>
        <w:t xml:space="preserve"> </w:t>
      </w:r>
      <w:r>
        <w:rPr>
          <w:rFonts w:cs="Calibri" w:ascii="Titillium" w:hAnsi="Titillium"/>
          <w:sz w:val="18"/>
          <w:szCs w:val="18"/>
        </w:rPr>
        <w:t>Iva, con l’indicazione del prezzo per singolo trasporto/fornitura, il totale annuo per ogni singolo trasporto/fornitura, il totale complessivo annuo e il totale complessivo triennale;</w:t>
      </w:r>
    </w:p>
    <w:p>
      <w:pPr>
        <w:pStyle w:val="Normal"/>
        <w:spacing w:before="60" w:after="60"/>
        <w:ind w:left="284"/>
        <w:rPr>
          <w:rFonts w:ascii="Titillium" w:hAnsi="Titillium" w:cs="Calibri"/>
          <w:sz w:val="18"/>
          <w:szCs w:val="18"/>
        </w:rPr>
      </w:pPr>
      <w:r>
        <w:rPr>
          <w:rFonts w:cs="Calibri" w:ascii="Titillium" w:hAnsi="Titillium"/>
          <w:sz w:val="18"/>
          <w:szCs w:val="18"/>
        </w:rPr>
        <w:t>Verranno prese in considerazione fino a 2 c</w:t>
      </w:r>
      <w:r>
        <w:rPr>
          <w:rFonts w:cs="Calibri" w:ascii="Titillium" w:hAnsi="Titillium"/>
          <w:iCs/>
          <w:sz w:val="18"/>
          <w:szCs w:val="18"/>
        </w:rPr>
        <w:t>ifre decimali</w:t>
      </w:r>
      <w:r>
        <w:rPr>
          <w:rFonts w:cs="Calibri" w:ascii="Titillium" w:hAnsi="Titillium"/>
          <w:sz w:val="18"/>
          <w:szCs w:val="18"/>
        </w:rPr>
        <w:t>.</w:t>
      </w:r>
    </w:p>
    <w:p>
      <w:pPr>
        <w:pStyle w:val="Normal"/>
        <w:numPr>
          <w:ilvl w:val="2"/>
          <w:numId w:val="2"/>
        </w:numPr>
        <w:spacing w:before="60" w:after="60"/>
        <w:ind w:hanging="284" w:left="284"/>
        <w:rPr/>
      </w:pPr>
      <w:r>
        <w:rPr>
          <w:rFonts w:cs="Calibri" w:ascii="Titillium" w:hAnsi="Titillium"/>
          <w:sz w:val="18"/>
          <w:szCs w:val="18"/>
        </w:rPr>
        <w:t xml:space="preserve">Oneri aziendali relativi alla salute ed alla sicurezza sui luoghi di lavoro; </w:t>
      </w:r>
    </w:p>
    <w:p>
      <w:pPr>
        <w:pStyle w:val="Normal"/>
        <w:numPr>
          <w:ilvl w:val="2"/>
          <w:numId w:val="2"/>
        </w:numPr>
        <w:spacing w:before="60" w:after="60"/>
        <w:ind w:hanging="284" w:left="284"/>
        <w:rPr/>
      </w:pPr>
      <w:r>
        <w:rPr>
          <w:rFonts w:cs="Calibri" w:ascii="Titillium" w:hAnsi="Titillium"/>
          <w:sz w:val="18"/>
          <w:szCs w:val="18"/>
        </w:rPr>
        <w:t>Costi della manodopera. Nel caso di costi della manodopera inferiori a quelli stimati dalla stazione appaltante, l’operatore economico può anticipare nell’offerta economica le motivazioni del ribasso derivanti da una più efficiente organizzazione aziendale o da sgravi contributivi che non comportano penalizzazioni per la manodopera, allegando i relativi giustificativi. La mancata anticipazione di motivazioni e/o giustificativi non costituisce causa di esclusione;</w:t>
      </w:r>
    </w:p>
    <w:p>
      <w:pPr>
        <w:pStyle w:val="Normal"/>
        <w:numPr>
          <w:ilvl w:val="2"/>
          <w:numId w:val="2"/>
        </w:numPr>
        <w:spacing w:before="60" w:after="60"/>
        <w:ind w:hanging="284" w:left="284"/>
        <w:rPr>
          <w:rFonts w:ascii="Titillium" w:hAnsi="Titillium"/>
          <w:bCs/>
          <w:iCs/>
          <w:sz w:val="18"/>
          <w:szCs w:val="18"/>
        </w:rPr>
      </w:pPr>
      <w:r>
        <w:rPr>
          <w:rFonts w:cs="Calibri" w:ascii="Titillium" w:hAnsi="Titillium"/>
          <w:sz w:val="18"/>
          <w:szCs w:val="18"/>
        </w:rPr>
        <w:t>la dichiarazione di equivalenza delle tutele di cui all’art.11, comma 4, del Codice. La mancata anticipazione della dichiarazione di equivalenza delle tutele non costituisce causa di esclusione;</w:t>
      </w:r>
    </w:p>
    <w:p>
      <w:pPr>
        <w:pStyle w:val="Normal"/>
        <w:numPr>
          <w:ilvl w:val="2"/>
          <w:numId w:val="2"/>
        </w:numPr>
        <w:spacing w:before="60" w:after="60"/>
        <w:ind w:hanging="284" w:left="284"/>
        <w:rPr>
          <w:rFonts w:ascii="Titillium" w:hAnsi="Titillium"/>
          <w:bCs/>
          <w:iCs/>
          <w:sz w:val="18"/>
          <w:szCs w:val="18"/>
        </w:rPr>
      </w:pPr>
      <w:r>
        <w:rPr>
          <w:rFonts w:cs="Calibri" w:ascii="Titillium" w:hAnsi="Titillium"/>
          <w:bCs/>
          <w:iCs/>
          <w:sz w:val="18"/>
          <w:szCs w:val="18"/>
        </w:rPr>
        <w:t>per consentire una rapida conclusione della procedura di gara, l’OE deve presentare le giustificazioni relative all’offerta ai sensi dell’articolo 110 del Codice degli Appalti. Si procederà alla verifica delle giustificazioni solamente per quanto concerne l’OE aggiudicatario.</w:t>
      </w:r>
    </w:p>
    <w:p>
      <w:pPr>
        <w:pStyle w:val="Normal"/>
        <w:spacing w:before="60" w:after="60"/>
        <w:rPr>
          <w:rFonts w:ascii="Titillium" w:hAnsi="Titillium"/>
          <w:sz w:val="18"/>
          <w:szCs w:val="18"/>
        </w:rPr>
      </w:pPr>
      <w:r>
        <w:rPr>
          <w:rFonts w:ascii="Titillium" w:hAnsi="Titillium"/>
          <w:sz w:val="18"/>
          <w:szCs w:val="18"/>
        </w:rPr>
        <w:t>Sono inammissibili le offerte economiche che superano l’importo a base d’asta.</w:t>
      </w:r>
    </w:p>
    <w:p>
      <w:pPr>
        <w:pStyle w:val="Normal"/>
        <w:tabs>
          <w:tab w:val="clear" w:pos="708"/>
          <w:tab w:val="left" w:pos="928" w:leader="none"/>
          <w:tab w:val="left" w:pos="9639" w:leader="none"/>
        </w:tabs>
        <w:ind w:right="226"/>
        <w:rPr>
          <w:rFonts w:ascii="Titillium" w:hAnsi="Titillium"/>
          <w:i/>
          <w:sz w:val="18"/>
          <w:szCs w:val="18"/>
        </w:rPr>
      </w:pPr>
      <w:r>
        <w:rPr>
          <w:rFonts w:ascii="Titillium" w:hAnsi="Titillium"/>
          <w:i/>
          <w:sz w:val="18"/>
          <w:szCs w:val="18"/>
        </w:rPr>
      </w:r>
    </w:p>
    <w:p>
      <w:pPr>
        <w:pStyle w:val="Heading2"/>
        <w:numPr>
          <w:ilvl w:val="0"/>
          <w:numId w:val="3"/>
        </w:numPr>
        <w:rPr/>
      </w:pPr>
      <w:bookmarkStart w:id="1832" w:name="_Toc231396689"/>
      <w:bookmarkStart w:id="1833" w:name="_Toc380501879"/>
      <w:bookmarkStart w:id="1834" w:name="_Toc391035992"/>
      <w:bookmarkStart w:id="1835" w:name="_Toc391036065"/>
      <w:bookmarkStart w:id="1836" w:name="_Toc392577506"/>
      <w:bookmarkStart w:id="1837" w:name="_Toc393110573"/>
      <w:bookmarkStart w:id="1838" w:name="_Toc393112137"/>
      <w:bookmarkStart w:id="1839" w:name="_Toc393187854"/>
      <w:bookmarkStart w:id="1840" w:name="_Toc393272610"/>
      <w:bookmarkStart w:id="1841" w:name="_Toc393272668"/>
      <w:bookmarkStart w:id="1842" w:name="_Toc393283184"/>
      <w:bookmarkStart w:id="1843" w:name="_Toc393700843"/>
      <w:bookmarkStart w:id="1844" w:name="_Toc393706916"/>
      <w:bookmarkStart w:id="1845" w:name="_Toc397346831"/>
      <w:bookmarkStart w:id="1846" w:name="_Toc397422872"/>
      <w:bookmarkStart w:id="1847" w:name="_Toc403471279"/>
      <w:bookmarkStart w:id="1848" w:name="_Toc406058387"/>
      <w:bookmarkStart w:id="1849" w:name="_Toc406754188"/>
      <w:bookmarkStart w:id="1850" w:name="_Toc416423371"/>
      <w:bookmarkStart w:id="1851" w:name="_Ref498421982"/>
      <w:r>
        <w:rPr/>
        <w:t>CRITERIO DI AGGIUDICAZIONE</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pPr>
        <w:pStyle w:val="Normal"/>
        <w:spacing w:before="60" w:after="60"/>
        <w:rPr>
          <w:rFonts w:ascii="Titillium" w:hAnsi="Titillium" w:cs="Calibri"/>
          <w:sz w:val="18"/>
          <w:szCs w:val="18"/>
          <w:lang w:eastAsia="it-IT"/>
        </w:rPr>
      </w:pPr>
      <w:r>
        <w:rPr>
          <w:rFonts w:cs="Calibri" w:ascii="Titillium" w:hAnsi="Titillium"/>
          <w:sz w:val="18"/>
          <w:szCs w:val="18"/>
          <w:lang w:eastAsia="it-IT"/>
        </w:rPr>
        <w:t>L’appalto è aggiudicato in base al criterio dell’offerta economicamente più vantaggiosa individuata sulla base del miglior rapporto qualità/prezzo.</w:t>
      </w:r>
    </w:p>
    <w:p>
      <w:pPr>
        <w:pStyle w:val="Normal"/>
        <w:spacing w:before="60" w:after="60"/>
        <w:rPr>
          <w:rFonts w:ascii="Titillium" w:hAnsi="Titillium" w:cs="Calibri"/>
          <w:i/>
          <w:sz w:val="18"/>
          <w:szCs w:val="18"/>
          <w:lang w:eastAsia="it-IT"/>
        </w:rPr>
      </w:pPr>
      <w:r>
        <w:rPr>
          <w:rFonts w:cs="Calibri" w:ascii="Titillium" w:hAnsi="Titillium"/>
          <w:sz w:val="18"/>
          <w:szCs w:val="18"/>
          <w:lang w:eastAsia="it-IT"/>
        </w:rPr>
        <w:t>La valutazione dell’offerta tecnica e dell’offerta economica è effettuata in base ai seguenti punteggi:</w:t>
      </w:r>
    </w:p>
    <w:tbl>
      <w:tblPr>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4611"/>
        <w:gridCol w:w="4613"/>
      </w:tblGrid>
      <w:tr>
        <w:trPr/>
        <w:tc>
          <w:tcPr>
            <w:tcW w:w="4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rPr>
                <w:rFonts w:ascii="Titillium" w:hAnsi="Titillium" w:cs="Calibri"/>
                <w:i/>
                <w:sz w:val="18"/>
                <w:szCs w:val="18"/>
                <w:lang w:eastAsia="it-IT"/>
              </w:rPr>
            </w:pPr>
            <w:r>
              <w:rPr>
                <w:rFonts w:cs="Calibri" w:ascii="Titillium" w:hAnsi="Titillium"/>
                <w:i/>
                <w:sz w:val="18"/>
                <w:szCs w:val="18"/>
                <w:lang w:eastAsia="it-IT"/>
              </w:rPr>
            </w:r>
          </w:p>
        </w:tc>
        <w:tc>
          <w:tcPr>
            <w:tcW w:w="46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cs="Calibri"/>
                <w:b/>
                <w:sz w:val="18"/>
                <w:szCs w:val="18"/>
                <w:lang w:eastAsia="it-IT"/>
              </w:rPr>
            </w:pPr>
            <w:r>
              <w:rPr>
                <w:rFonts w:cs="Calibri" w:ascii="Titillium" w:hAnsi="Titillium"/>
                <w:b/>
                <w:sz w:val="18"/>
                <w:szCs w:val="18"/>
                <w:lang w:eastAsia="it-IT"/>
              </w:rPr>
              <w:t>PUNTEGGIO MASSIMO</w:t>
            </w:r>
          </w:p>
        </w:tc>
      </w:tr>
      <w:tr>
        <w:trPr/>
        <w:tc>
          <w:tcPr>
            <w:tcW w:w="461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4613"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i/>
                <w:sz w:val="18"/>
                <w:szCs w:val="18"/>
                <w:lang w:eastAsia="it-IT"/>
              </w:rPr>
            </w:pPr>
            <w:r>
              <w:rPr>
                <w:rFonts w:ascii="Titillium" w:hAnsi="Titillium"/>
                <w:i/>
                <w:sz w:val="18"/>
                <w:szCs w:val="18"/>
                <w:lang w:eastAsia="it-IT"/>
              </w:rPr>
              <w:t>70</w:t>
            </w:r>
          </w:p>
        </w:tc>
      </w:tr>
      <w:tr>
        <w:trPr/>
        <w:tc>
          <w:tcPr>
            <w:tcW w:w="461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sz w:val="18"/>
                <w:szCs w:val="18"/>
                <w:lang w:eastAsia="it-IT"/>
              </w:rPr>
            </w:pPr>
            <w:r>
              <w:rPr>
                <w:rFonts w:ascii="Titillium" w:hAnsi="Titillium"/>
                <w:sz w:val="18"/>
                <w:szCs w:val="18"/>
                <w:lang w:eastAsia="it-IT"/>
              </w:rPr>
              <w:t>Offerta economica</w:t>
            </w:r>
          </w:p>
        </w:tc>
        <w:tc>
          <w:tcPr>
            <w:tcW w:w="4613"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Titillium" w:hAnsi="Titillium"/>
                <w:i/>
                <w:sz w:val="18"/>
                <w:szCs w:val="18"/>
                <w:lang w:eastAsia="it-IT"/>
              </w:rPr>
            </w:pPr>
            <w:r>
              <w:rPr>
                <w:rFonts w:ascii="Titillium" w:hAnsi="Titillium"/>
                <w:i/>
                <w:sz w:val="18"/>
                <w:szCs w:val="18"/>
                <w:lang w:eastAsia="it-IT"/>
              </w:rPr>
              <w:t>30</w:t>
            </w:r>
          </w:p>
        </w:tc>
      </w:tr>
      <w:tr>
        <w:trPr/>
        <w:tc>
          <w:tcPr>
            <w:tcW w:w="4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cs="Calibri"/>
                <w:sz w:val="18"/>
                <w:szCs w:val="18"/>
                <w:lang w:eastAsia="it-IT"/>
              </w:rPr>
            </w:pPr>
            <w:r>
              <w:rPr>
                <w:rFonts w:cs="Calibri" w:ascii="Titillium" w:hAnsi="Titillium"/>
                <w:sz w:val="18"/>
                <w:szCs w:val="18"/>
                <w:lang w:eastAsia="it-IT"/>
              </w:rPr>
              <w:t>TOTALE</w:t>
            </w:r>
          </w:p>
        </w:tc>
        <w:tc>
          <w:tcPr>
            <w:tcW w:w="46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cs="Calibri"/>
                <w:sz w:val="18"/>
                <w:szCs w:val="18"/>
                <w:lang w:eastAsia="it-IT"/>
              </w:rPr>
            </w:pPr>
            <w:r>
              <w:rPr>
                <w:rFonts w:cs="Calibri" w:ascii="Titillium" w:hAnsi="Titillium"/>
                <w:sz w:val="18"/>
                <w:szCs w:val="18"/>
                <w:lang w:eastAsia="it-IT"/>
              </w:rPr>
              <w:t>100</w:t>
            </w:r>
          </w:p>
        </w:tc>
      </w:tr>
      <w:tr>
        <w:trPr/>
        <w:tc>
          <w:tcPr>
            <w:tcW w:w="4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cs="Calibri"/>
                <w:sz w:val="18"/>
                <w:szCs w:val="18"/>
                <w:highlight w:val="cyan"/>
                <w:lang w:eastAsia="it-IT"/>
              </w:rPr>
            </w:pPr>
            <w:r>
              <w:rPr>
                <w:rFonts w:cs="Calibri" w:ascii="Titillium" w:hAnsi="Titillium"/>
                <w:sz w:val="18"/>
                <w:szCs w:val="18"/>
                <w:highlight w:val="cyan"/>
                <w:lang w:eastAsia="it-IT"/>
              </w:rPr>
            </w:r>
          </w:p>
        </w:tc>
        <w:tc>
          <w:tcPr>
            <w:tcW w:w="46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jc w:val="center"/>
              <w:rPr>
                <w:rFonts w:ascii="Titillium" w:hAnsi="Titillium" w:cs="Calibri"/>
                <w:sz w:val="18"/>
                <w:szCs w:val="18"/>
                <w:highlight w:val="cyan"/>
                <w:lang w:eastAsia="it-IT"/>
              </w:rPr>
            </w:pPr>
            <w:r>
              <w:rPr>
                <w:rFonts w:cs="Calibri" w:ascii="Titillium" w:hAnsi="Titillium"/>
                <w:sz w:val="18"/>
                <w:szCs w:val="18"/>
                <w:highlight w:val="cyan"/>
                <w:lang w:eastAsia="it-IT"/>
              </w:rPr>
            </w:r>
          </w:p>
        </w:tc>
      </w:tr>
    </w:tbl>
    <w:p>
      <w:pPr>
        <w:pStyle w:val="Normal"/>
        <w:rPr>
          <w:highlight w:val="cyan"/>
        </w:rPr>
      </w:pPr>
      <w:r>
        <w:rPr>
          <w:highlight w:val="cyan"/>
        </w:rPr>
      </w:r>
    </w:p>
    <w:p>
      <w:pPr>
        <w:pStyle w:val="Heading3"/>
        <w:numPr>
          <w:ilvl w:val="1"/>
          <w:numId w:val="3"/>
        </w:numPr>
        <w:ind w:hanging="426" w:left="426"/>
        <w:rPr/>
      </w:pPr>
      <w:bookmarkStart w:id="1852" w:name="_Toc231396690"/>
      <w:r>
        <w:rPr>
          <w:rFonts w:ascii="Titillium" w:hAnsi="Titillium"/>
          <w:iCs/>
          <w:sz w:val="18"/>
          <w:szCs w:val="18"/>
        </w:rPr>
        <w:t>CRITERI DI VALUTAZIONE DELL’OFFERTA TECNICA</w:t>
      </w:r>
      <w:bookmarkEnd w:id="1852"/>
    </w:p>
    <w:p>
      <w:pPr>
        <w:pStyle w:val="Normal"/>
        <w:spacing w:before="60" w:after="60"/>
        <w:rPr>
          <w:rFonts w:ascii="Titillium" w:hAnsi="Titillium" w:cs="Calibri"/>
          <w:sz w:val="18"/>
          <w:szCs w:val="18"/>
          <w:lang w:eastAsia="it-IT"/>
        </w:rPr>
      </w:pPr>
      <w:r>
        <w:rPr>
          <w:rFonts w:cs="Calibri" w:ascii="Titillium" w:hAnsi="Titillium"/>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cs="Calibri" w:ascii="Titillium" w:hAnsi="Titillium"/>
          <w:sz w:val="18"/>
          <w:szCs w:val="18"/>
          <w:lang w:eastAsia="it-IT"/>
        </w:rPr>
        <w:t xml:space="preserve"> la relativa ripartizione dei punteggi.</w:t>
      </w:r>
    </w:p>
    <w:p>
      <w:pPr>
        <w:pStyle w:val="Normal"/>
        <w:spacing w:before="60" w:after="60"/>
        <w:rPr>
          <w:rFonts w:ascii="Titillium" w:hAnsi="Titillium" w:cs="Calibri"/>
          <w:sz w:val="18"/>
          <w:szCs w:val="18"/>
          <w:lang w:eastAsia="it-IT"/>
        </w:rPr>
      </w:pPr>
      <w:r>
        <w:rPr>
          <w:rFonts w:cs="Calibri" w:ascii="Titillium" w:hAnsi="Titillium"/>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pPr>
        <w:pStyle w:val="Normal"/>
        <w:spacing w:before="60" w:after="60"/>
        <w:rPr>
          <w:rFonts w:ascii="Titillium" w:hAnsi="Titillium" w:cs="Calibri"/>
          <w:sz w:val="18"/>
          <w:szCs w:val="18"/>
          <w:lang w:eastAsia="it-IT"/>
        </w:rPr>
      </w:pPr>
      <w:r>
        <w:rPr>
          <w:rFonts w:cs="Calibri" w:ascii="Titillium" w:hAnsi="Titillium"/>
          <w:sz w:val="18"/>
          <w:szCs w:val="18"/>
          <w:lang w:eastAsia="it-IT"/>
        </w:rPr>
        <w:t>Nella colonna identificata con la lettera Q vengono indicati i “Punteggi quantitativi”, vale a dire i punteggi il cui coefficiente è attribuito mediante applicazione di una formula matematica.</w:t>
      </w:r>
    </w:p>
    <w:p>
      <w:pPr>
        <w:pStyle w:val="Normal"/>
        <w:spacing w:before="60" w:after="60"/>
        <w:rPr>
          <w:rFonts w:ascii="Titillium" w:hAnsi="Titillium" w:cs="Calibri"/>
          <w:sz w:val="18"/>
          <w:szCs w:val="18"/>
          <w:lang w:eastAsia="it-IT"/>
        </w:rPr>
      </w:pPr>
      <w:r>
        <w:rPr>
          <w:rFonts w:cs="Calibri" w:ascii="Titillium" w:hAnsi="Titillium"/>
          <w:sz w:val="18"/>
          <w:szCs w:val="18"/>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pPr>
        <w:pStyle w:val="Normal"/>
        <w:spacing w:before="120" w:after="60"/>
        <w:rPr>
          <w:rFonts w:ascii="Titillium" w:hAnsi="Titillium"/>
          <w:b/>
          <w:i/>
          <w:sz w:val="18"/>
          <w:szCs w:val="18"/>
          <w:highlight w:val="cyan"/>
          <w:lang w:eastAsia="it-IT"/>
        </w:rPr>
      </w:pPr>
      <w:r>
        <w:rPr>
          <w:rFonts w:ascii="Titillium" w:hAnsi="Titillium"/>
          <w:b/>
          <w:i/>
          <w:sz w:val="18"/>
          <w:szCs w:val="18"/>
          <w:lang w:eastAsia="it-IT"/>
        </w:rPr>
        <w:t>Tabella dei criteri discrezionali (D), quantitativi (Q) e tabellari (T) di valutazione dell’offerta tecnica</w:t>
      </w:r>
    </w:p>
    <w:tbl>
      <w:tblPr>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415"/>
        <w:gridCol w:w="2150"/>
        <w:gridCol w:w="810"/>
        <w:gridCol w:w="4670"/>
        <w:gridCol w:w="1179"/>
      </w:tblGrid>
      <w:tr>
        <w:trPr/>
        <w:tc>
          <w:tcPr>
            <w:tcW w:w="4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bCs/>
                <w:smallCaps/>
                <w:color w:val="000000"/>
                <w:sz w:val="18"/>
                <w:szCs w:val="18"/>
              </w:rPr>
            </w:pPr>
            <w:r>
              <w:rPr>
                <w:rFonts w:ascii="Titillium" w:hAnsi="Titillium"/>
                <w:bCs/>
                <w:smallCaps/>
                <w:color w:val="000000"/>
                <w:sz w:val="18"/>
                <w:szCs w:val="18"/>
              </w:rPr>
              <w:t>n°</w:t>
            </w:r>
          </w:p>
        </w:tc>
        <w:tc>
          <w:tcPr>
            <w:tcW w:w="215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cs="Calibri"/>
                <w:bCs/>
                <w:smallCaps/>
                <w:sz w:val="18"/>
                <w:szCs w:val="18"/>
                <w:lang w:eastAsia="it-IT"/>
              </w:rPr>
            </w:pPr>
            <w:r>
              <w:rPr>
                <w:rFonts w:cs="Calibri" w:ascii="Titillium" w:hAnsi="Titillium"/>
                <w:bCs/>
                <w:smallCaps/>
                <w:sz w:val="18"/>
                <w:szCs w:val="18"/>
                <w:lang w:eastAsia="it-IT"/>
              </w:rPr>
              <w:t>criteri di valutazione</w:t>
            </w:r>
          </w:p>
        </w:tc>
        <w:tc>
          <w:tcPr>
            <w:tcW w:w="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bCs/>
                <w:smallCaps/>
                <w:color w:val="000000"/>
                <w:sz w:val="18"/>
                <w:szCs w:val="18"/>
              </w:rPr>
            </w:pPr>
            <w:r>
              <w:rPr>
                <w:rFonts w:ascii="Titillium" w:hAnsi="Titillium"/>
                <w:bCs/>
                <w:smallCaps/>
                <w:color w:val="000000"/>
                <w:sz w:val="18"/>
                <w:szCs w:val="18"/>
              </w:rPr>
              <w:t>punti max</w:t>
            </w:r>
          </w:p>
        </w:tc>
        <w:tc>
          <w:tcPr>
            <w:tcW w:w="467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rPr>
                <w:rFonts w:ascii="Titillium" w:hAnsi="Titillium"/>
                <w:bCs/>
                <w:smallCaps/>
                <w:color w:val="000000"/>
                <w:sz w:val="18"/>
                <w:szCs w:val="18"/>
              </w:rPr>
            </w:pPr>
            <w:r>
              <w:rPr>
                <w:rFonts w:ascii="Titillium" w:hAnsi="Titillium"/>
                <w:bCs/>
                <w:smallCaps/>
                <w:color w:val="000000"/>
                <w:sz w:val="18"/>
                <w:szCs w:val="18"/>
              </w:rPr>
            </w:r>
          </w:p>
        </w:tc>
        <w:tc>
          <w:tcPr>
            <w:tcW w:w="117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bCs/>
                <w:smallCaps/>
                <w:color w:val="000000"/>
                <w:sz w:val="18"/>
                <w:szCs w:val="18"/>
              </w:rPr>
            </w:pPr>
            <w:r>
              <w:rPr>
                <w:rFonts w:ascii="Titillium" w:hAnsi="Titillium"/>
                <w:bCs/>
                <w:smallCaps/>
                <w:color w:val="000000"/>
                <w:sz w:val="18"/>
                <w:szCs w:val="18"/>
              </w:rPr>
              <w:t>Valutazione</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Piano operativo proposto per</w:t>
            </w:r>
          </w:p>
          <w:p>
            <w:pPr>
              <w:pStyle w:val="Normal"/>
              <w:spacing w:lineRule="auto" w:line="240" w:before="60" w:after="60"/>
              <w:jc w:val="center"/>
              <w:rPr>
                <w:rFonts w:ascii="Titillium" w:hAnsi="Titillium"/>
                <w:bCs/>
                <w:sz w:val="18"/>
                <w:szCs w:val="18"/>
              </w:rPr>
            </w:pPr>
            <w:r>
              <w:rPr>
                <w:rFonts w:ascii="Titillium" w:hAnsi="Titillium"/>
                <w:bCs/>
                <w:sz w:val="18"/>
                <w:szCs w:val="18"/>
              </w:rPr>
              <w:t>l’esecuzione del complessivo servizio</w:t>
            </w:r>
          </w:p>
          <w:p>
            <w:pPr>
              <w:pStyle w:val="Normal"/>
              <w:spacing w:lineRule="auto" w:line="240" w:before="60" w:after="60"/>
              <w:jc w:val="center"/>
              <w:rPr/>
            </w:pPr>
            <w:r>
              <w:rPr>
                <w:rFonts w:ascii="Titillium" w:hAnsi="Titillium"/>
                <w:bCs/>
                <w:sz w:val="18"/>
                <w:szCs w:val="18"/>
              </w:rPr>
              <w:t>di trasporto.</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24</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alle offerte che</w:t>
            </w:r>
          </w:p>
          <w:p>
            <w:pPr>
              <w:pStyle w:val="Normal"/>
              <w:spacing w:lineRule="auto" w:line="240" w:before="60" w:after="60"/>
              <w:jc w:val="center"/>
              <w:rPr>
                <w:rFonts w:ascii="Titillium" w:hAnsi="Titillium"/>
                <w:bCs/>
                <w:sz w:val="18"/>
                <w:szCs w:val="18"/>
              </w:rPr>
            </w:pPr>
            <w:r>
              <w:rPr>
                <w:rFonts w:ascii="Titillium" w:hAnsi="Titillium"/>
                <w:bCs/>
                <w:sz w:val="18"/>
                <w:szCs w:val="18"/>
              </w:rPr>
              <w:t>evidenzieranno il più completo e strutturato assetto</w:t>
            </w:r>
          </w:p>
          <w:p>
            <w:pPr>
              <w:pStyle w:val="Normal"/>
              <w:spacing w:lineRule="auto" w:line="240" w:before="60" w:after="60"/>
              <w:jc w:val="center"/>
              <w:rPr>
                <w:rFonts w:ascii="Titillium" w:hAnsi="Titillium"/>
                <w:bCs/>
                <w:sz w:val="18"/>
                <w:szCs w:val="18"/>
              </w:rPr>
            </w:pPr>
            <w:r>
              <w:rPr>
                <w:rFonts w:ascii="Titillium" w:hAnsi="Titillium"/>
                <w:bCs/>
                <w:sz w:val="18"/>
                <w:szCs w:val="18"/>
              </w:rPr>
              <w:t>organizzativo e il più razionale processo di</w:t>
            </w:r>
          </w:p>
          <w:p>
            <w:pPr>
              <w:pStyle w:val="Normal"/>
              <w:spacing w:lineRule="auto" w:line="240" w:before="60" w:after="60"/>
              <w:jc w:val="center"/>
              <w:rPr>
                <w:rFonts w:ascii="Titillium" w:hAnsi="Titillium"/>
                <w:bCs/>
                <w:sz w:val="18"/>
                <w:szCs w:val="18"/>
              </w:rPr>
            </w:pPr>
            <w:r>
              <w:rPr>
                <w:rFonts w:ascii="Titillium" w:hAnsi="Titillium"/>
                <w:bCs/>
                <w:sz w:val="18"/>
                <w:szCs w:val="18"/>
              </w:rPr>
              <w:t>erogazione del servizio, anche mediante descrizione</w:t>
            </w:r>
          </w:p>
          <w:p>
            <w:pPr>
              <w:pStyle w:val="Normal"/>
              <w:spacing w:lineRule="auto" w:line="240" w:before="60" w:after="60"/>
              <w:jc w:val="center"/>
              <w:rPr>
                <w:rFonts w:ascii="Titillium" w:hAnsi="Titillium"/>
                <w:bCs/>
                <w:sz w:val="18"/>
                <w:szCs w:val="18"/>
              </w:rPr>
            </w:pPr>
            <w:r>
              <w:rPr>
                <w:rFonts w:ascii="Titillium" w:hAnsi="Titillium"/>
                <w:bCs/>
                <w:sz w:val="18"/>
                <w:szCs w:val="18"/>
              </w:rPr>
              <w:t>ed elenco delle attrezzature e dotazioni utilizzate per</w:t>
            </w:r>
          </w:p>
          <w:p>
            <w:pPr>
              <w:pStyle w:val="Normal"/>
              <w:spacing w:lineRule="auto" w:line="240" w:before="60" w:after="60"/>
              <w:jc w:val="center"/>
              <w:rPr/>
            </w:pPr>
            <w:r>
              <w:rPr>
                <w:rFonts w:ascii="Titillium" w:hAnsi="Titillium"/>
                <w:bCs/>
                <w:sz w:val="18"/>
                <w:szCs w:val="18"/>
              </w:rPr>
              <w:t>l’esecuzione del servizio stesso.</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2</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Tempo di attivazione servizio</w:t>
            </w:r>
          </w:p>
          <w:p>
            <w:pPr>
              <w:pStyle w:val="Normal"/>
              <w:spacing w:lineRule="auto" w:line="240" w:before="60" w:after="60"/>
              <w:jc w:val="center"/>
              <w:rPr/>
            </w:pPr>
            <w:r>
              <w:rPr>
                <w:rFonts w:ascii="Titillium" w:hAnsi="Titillium"/>
                <w:bCs/>
                <w:sz w:val="18"/>
                <w:szCs w:val="18"/>
              </w:rPr>
              <w:t>trasporto salme/cadaveri, feti verso camera mortuaria per Azienda USL di Bologna e IRCCS IOR (entrambe le sedi)</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1,5</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all’offerta che prevede il minor tempo di attivazione del servizio dalla chiamata, come previsto all’art. 3 del capitolato speciale</w:t>
            </w:r>
          </w:p>
          <w:p>
            <w:pPr>
              <w:pStyle w:val="Normal"/>
              <w:spacing w:lineRule="auto" w:line="240" w:before="60" w:after="60"/>
              <w:jc w:val="center"/>
              <w:rPr>
                <w:rFonts w:ascii="Titillium" w:hAnsi="Titillium"/>
                <w:bCs/>
                <w:i/>
                <w:sz w:val="18"/>
                <w:szCs w:val="18"/>
              </w:rPr>
            </w:pPr>
            <w:r>
              <w:rPr>
                <w:rFonts w:ascii="Titillium" w:hAnsi="Titillium"/>
                <w:bCs/>
                <w:i/>
                <w:sz w:val="18"/>
                <w:szCs w:val="18"/>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3</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Tempo di attivazione servizio</w:t>
            </w:r>
          </w:p>
          <w:p>
            <w:pPr>
              <w:pStyle w:val="Normal"/>
              <w:spacing w:lineRule="auto" w:line="240" w:before="60" w:after="60"/>
              <w:jc w:val="center"/>
              <w:rPr>
                <w:rFonts w:ascii="Titillium" w:hAnsi="Titillium"/>
                <w:bCs/>
                <w:sz w:val="18"/>
                <w:szCs w:val="18"/>
              </w:rPr>
            </w:pPr>
            <w:r>
              <w:rPr>
                <w:rFonts w:ascii="Titillium" w:hAnsi="Titillium"/>
                <w:bCs/>
                <w:sz w:val="18"/>
                <w:szCs w:val="18"/>
              </w:rPr>
              <w:t>trasporto salme/cadaveri, feti, parti anatomiche verso camera mortuaria per IRCCS AOU di Bologna</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1,5</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all’offerta che prevede il minor tempo di attivazione del servizio dalla chiamata, come previsto all’art. 3 del capitolato speciale</w:t>
            </w:r>
          </w:p>
          <w:p>
            <w:pPr>
              <w:pStyle w:val="Normal"/>
              <w:spacing w:lineRule="auto" w:line="240" w:before="60" w:after="60"/>
              <w:jc w:val="center"/>
              <w:rPr>
                <w:rFonts w:ascii="Titillium" w:hAnsi="Titillium"/>
                <w:bCs/>
                <w:i/>
                <w:sz w:val="18"/>
                <w:szCs w:val="18"/>
              </w:rPr>
            </w:pPr>
            <w:r>
              <w:rPr>
                <w:rFonts w:ascii="Titillium" w:hAnsi="Titillium"/>
                <w:bCs/>
                <w:i/>
                <w:sz w:val="18"/>
                <w:szCs w:val="18"/>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4</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Conformità del parco macchine,</w:t>
            </w:r>
          </w:p>
          <w:p>
            <w:pPr>
              <w:pStyle w:val="Normal"/>
              <w:spacing w:lineRule="auto" w:line="240" w:before="60" w:after="60"/>
              <w:jc w:val="center"/>
              <w:rPr>
                <w:rFonts w:ascii="Titillium" w:hAnsi="Titillium"/>
                <w:bCs/>
                <w:sz w:val="18"/>
                <w:szCs w:val="18"/>
              </w:rPr>
            </w:pPr>
            <w:r>
              <w:rPr>
                <w:rFonts w:ascii="Titillium" w:hAnsi="Titillium"/>
                <w:bCs/>
                <w:sz w:val="18"/>
                <w:szCs w:val="18"/>
              </w:rPr>
              <w:t>ai criteri</w:t>
            </w:r>
          </w:p>
          <w:p>
            <w:pPr>
              <w:pStyle w:val="Normal"/>
              <w:spacing w:lineRule="auto" w:line="240" w:before="60" w:after="60"/>
              <w:jc w:val="center"/>
              <w:rPr>
                <w:rFonts w:ascii="Titillium" w:hAnsi="Titillium"/>
                <w:bCs/>
                <w:sz w:val="18"/>
                <w:szCs w:val="18"/>
              </w:rPr>
            </w:pPr>
            <w:r>
              <w:rPr>
                <w:rFonts w:ascii="Titillium" w:hAnsi="Titillium"/>
                <w:bCs/>
                <w:sz w:val="18"/>
                <w:szCs w:val="18"/>
              </w:rPr>
              <w:t>minimi ambientali valutato sulla base</w:t>
            </w:r>
          </w:p>
          <w:p>
            <w:pPr>
              <w:pStyle w:val="Normal"/>
              <w:spacing w:lineRule="auto" w:line="240" w:before="60" w:after="60"/>
              <w:jc w:val="center"/>
              <w:rPr>
                <w:rFonts w:ascii="Titillium" w:hAnsi="Titillium"/>
                <w:bCs/>
                <w:sz w:val="18"/>
                <w:szCs w:val="18"/>
              </w:rPr>
            </w:pPr>
            <w:r>
              <w:rPr>
                <w:rFonts w:ascii="Titillium" w:hAnsi="Titillium"/>
                <w:bCs/>
                <w:sz w:val="18"/>
                <w:szCs w:val="18"/>
              </w:rPr>
              <w:t>della classe ambientale di</w:t>
            </w:r>
          </w:p>
          <w:p>
            <w:pPr>
              <w:pStyle w:val="Normal"/>
              <w:spacing w:lineRule="auto" w:line="240" w:before="60" w:after="60"/>
              <w:jc w:val="center"/>
              <w:rPr>
                <w:rFonts w:ascii="Titillium" w:hAnsi="Titillium"/>
                <w:bCs/>
                <w:sz w:val="18"/>
                <w:szCs w:val="18"/>
              </w:rPr>
            </w:pPr>
            <w:r>
              <w:rPr>
                <w:rFonts w:ascii="Titillium" w:hAnsi="Titillium"/>
                <w:bCs/>
                <w:sz w:val="18"/>
                <w:szCs w:val="18"/>
              </w:rPr>
              <w:t>appartenenza.</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15</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Tutti veicoli impiegati per l’erogazione del servizio</w:t>
            </w:r>
          </w:p>
          <w:p>
            <w:pPr>
              <w:pStyle w:val="Normal"/>
              <w:spacing w:lineRule="auto" w:line="240" w:before="60" w:after="60"/>
              <w:jc w:val="center"/>
              <w:rPr>
                <w:rFonts w:ascii="Titillium" w:hAnsi="Titillium"/>
                <w:bCs/>
                <w:sz w:val="18"/>
                <w:szCs w:val="18"/>
              </w:rPr>
            </w:pPr>
            <w:r>
              <w:rPr>
                <w:rFonts w:ascii="Titillium" w:hAnsi="Titillium"/>
                <w:bCs/>
                <w:sz w:val="18"/>
                <w:szCs w:val="18"/>
              </w:rPr>
              <w:t>con classe Euro 6: Coefficiente 1;</w:t>
            </w:r>
          </w:p>
          <w:p>
            <w:pPr>
              <w:pStyle w:val="Normal"/>
              <w:spacing w:lineRule="auto" w:line="240" w:before="60" w:after="60"/>
              <w:jc w:val="center"/>
              <w:rPr>
                <w:rFonts w:ascii="Titillium" w:hAnsi="Titillium"/>
                <w:bCs/>
                <w:sz w:val="18"/>
                <w:szCs w:val="18"/>
              </w:rPr>
            </w:pPr>
            <w:r>
              <w:rPr>
                <w:rFonts w:ascii="Titillium" w:hAnsi="Titillium"/>
                <w:bCs/>
                <w:sz w:val="18"/>
                <w:szCs w:val="18"/>
              </w:rPr>
              <w:t>Da 50% a 99% dei veicoli impiegati per l’erogazione del servizio</w:t>
            </w:r>
          </w:p>
          <w:p>
            <w:pPr>
              <w:pStyle w:val="Normal"/>
              <w:spacing w:lineRule="auto" w:line="240" w:before="60" w:after="60"/>
              <w:jc w:val="center"/>
              <w:rPr>
                <w:rFonts w:ascii="Titillium" w:hAnsi="Titillium"/>
                <w:bCs/>
                <w:sz w:val="18"/>
                <w:szCs w:val="18"/>
              </w:rPr>
            </w:pPr>
            <w:r>
              <w:rPr>
                <w:rFonts w:ascii="Titillium" w:hAnsi="Titillium"/>
                <w:bCs/>
                <w:sz w:val="18"/>
                <w:szCs w:val="18"/>
              </w:rPr>
              <w:t>con classe Euro 6: Coefficiente 0,5;</w:t>
            </w:r>
          </w:p>
          <w:p>
            <w:pPr>
              <w:pStyle w:val="Normal"/>
              <w:spacing w:lineRule="auto" w:line="240" w:before="60" w:after="60"/>
              <w:jc w:val="center"/>
              <w:rPr>
                <w:rFonts w:ascii="Titillium" w:hAnsi="Titillium"/>
                <w:bCs/>
                <w:sz w:val="18"/>
                <w:szCs w:val="18"/>
              </w:rPr>
            </w:pPr>
            <w:r>
              <w:rPr>
                <w:rFonts w:ascii="Titillium" w:hAnsi="Titillium"/>
                <w:bCs/>
                <w:sz w:val="18"/>
                <w:szCs w:val="18"/>
              </w:rPr>
              <w:t>Da 0 a 49% dei veicoli impiegati per l’erogazione del</w:t>
            </w:r>
          </w:p>
          <w:p>
            <w:pPr>
              <w:pStyle w:val="Normal"/>
              <w:spacing w:lineRule="auto" w:line="240" w:before="60" w:after="60"/>
              <w:jc w:val="center"/>
              <w:rPr>
                <w:rFonts w:ascii="Titillium" w:hAnsi="Titillium"/>
                <w:bCs/>
                <w:i/>
                <w:sz w:val="18"/>
                <w:szCs w:val="18"/>
              </w:rPr>
            </w:pPr>
            <w:r>
              <w:rPr>
                <w:rFonts w:ascii="Titillium" w:hAnsi="Titillium"/>
                <w:bCs/>
                <w:sz w:val="18"/>
                <w:szCs w:val="18"/>
              </w:rPr>
              <w:t>servizio con classe Euro 6: Coefficiente 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T</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5</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Dotazioni, strumenti informatici</w:t>
            </w:r>
          </w:p>
          <w:p>
            <w:pPr>
              <w:pStyle w:val="Normal"/>
              <w:spacing w:lineRule="auto" w:line="240" w:before="60" w:after="60"/>
              <w:jc w:val="center"/>
              <w:rPr>
                <w:rFonts w:ascii="Titillium" w:hAnsi="Titillium"/>
                <w:bCs/>
                <w:sz w:val="18"/>
                <w:szCs w:val="18"/>
              </w:rPr>
            </w:pPr>
            <w:r>
              <w:rPr>
                <w:rFonts w:ascii="Titillium" w:hAnsi="Titillium"/>
                <w:bCs/>
                <w:sz w:val="18"/>
                <w:szCs w:val="18"/>
              </w:rPr>
              <w:t>per la gestione del</w:t>
            </w:r>
          </w:p>
          <w:p>
            <w:pPr>
              <w:pStyle w:val="Normal"/>
              <w:spacing w:lineRule="auto" w:line="240" w:before="60" w:after="60"/>
              <w:jc w:val="center"/>
              <w:rPr>
                <w:rFonts w:ascii="Titillium" w:hAnsi="Titillium"/>
                <w:bCs/>
                <w:sz w:val="18"/>
                <w:szCs w:val="18"/>
              </w:rPr>
            </w:pPr>
            <w:r>
              <w:rPr>
                <w:rFonts w:ascii="Titillium" w:hAnsi="Titillium"/>
                <w:bCs/>
                <w:sz w:val="18"/>
                <w:szCs w:val="18"/>
              </w:rPr>
              <w:t>complessivo servizio di trasporto</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3</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Possibilità di gestione attraverso piattaforme</w:t>
            </w:r>
          </w:p>
          <w:p>
            <w:pPr>
              <w:pStyle w:val="Normal"/>
              <w:spacing w:lineRule="auto" w:line="240" w:before="60" w:after="60"/>
              <w:jc w:val="center"/>
              <w:rPr>
                <w:rFonts w:ascii="Titillium" w:hAnsi="Titillium"/>
                <w:bCs/>
                <w:sz w:val="18"/>
                <w:szCs w:val="18"/>
              </w:rPr>
            </w:pPr>
            <w:r>
              <w:rPr>
                <w:rFonts w:ascii="Titillium" w:hAnsi="Titillium"/>
                <w:bCs/>
                <w:sz w:val="18"/>
                <w:szCs w:val="18"/>
              </w:rPr>
              <w:t>telematiche e sistemi di tracciabilità per la gestione</w:t>
            </w:r>
          </w:p>
          <w:p>
            <w:pPr>
              <w:pStyle w:val="Normal"/>
              <w:spacing w:lineRule="auto" w:line="240" w:before="60" w:after="60"/>
              <w:jc w:val="center"/>
              <w:rPr>
                <w:rFonts w:ascii="Titillium" w:hAnsi="Titillium"/>
                <w:bCs/>
                <w:sz w:val="18"/>
                <w:szCs w:val="18"/>
              </w:rPr>
            </w:pPr>
            <w:r>
              <w:rPr>
                <w:rFonts w:ascii="Titillium" w:hAnsi="Titillium"/>
                <w:bCs/>
                <w:sz w:val="18"/>
                <w:szCs w:val="18"/>
              </w:rPr>
              <w:t>del servizio compresa compilazione automatica della</w:t>
            </w:r>
          </w:p>
          <w:p>
            <w:pPr>
              <w:pStyle w:val="Normal"/>
              <w:spacing w:lineRule="auto" w:line="240" w:before="60" w:after="60"/>
              <w:jc w:val="center"/>
              <w:rPr>
                <w:rFonts w:ascii="Titillium" w:hAnsi="Titillium"/>
                <w:bCs/>
                <w:sz w:val="18"/>
                <w:szCs w:val="18"/>
              </w:rPr>
            </w:pPr>
            <w:r>
              <w:rPr>
                <w:rFonts w:ascii="Titillium" w:hAnsi="Titillium"/>
                <w:bCs/>
                <w:sz w:val="18"/>
                <w:szCs w:val="18"/>
              </w:rPr>
              <w:t>reportistica ai fini dell’elaborazione dei dati di attività</w:t>
            </w:r>
          </w:p>
          <w:p>
            <w:pPr>
              <w:pStyle w:val="Normal"/>
              <w:spacing w:lineRule="auto" w:line="240" w:before="60" w:after="60"/>
              <w:jc w:val="center"/>
              <w:rPr>
                <w:rFonts w:ascii="Titillium" w:hAnsi="Titillium"/>
                <w:bCs/>
                <w:sz w:val="18"/>
                <w:szCs w:val="18"/>
              </w:rPr>
            </w:pPr>
            <w:r>
              <w:rPr>
                <w:rFonts w:ascii="Titillium" w:hAnsi="Titillium"/>
                <w:bCs/>
                <w:sz w:val="18"/>
                <w:szCs w:val="18"/>
              </w:rPr>
              <w:t>e relativa rendicontazione del servizio svolto.</w:t>
            </w:r>
          </w:p>
          <w:p>
            <w:pPr>
              <w:pStyle w:val="Normal"/>
              <w:spacing w:lineRule="auto" w:line="240" w:before="60" w:after="60"/>
              <w:jc w:val="center"/>
              <w:rPr>
                <w:rFonts w:ascii="Titillium" w:hAnsi="Titillium"/>
                <w:bCs/>
                <w:sz w:val="18"/>
                <w:szCs w:val="18"/>
              </w:rPr>
            </w:pPr>
            <w:r>
              <w:rPr>
                <w:rFonts w:ascii="Titillium" w:hAnsi="Titillium"/>
                <w:bCs/>
                <w:sz w:val="18"/>
                <w:szCs w:val="18"/>
              </w:rPr>
              <w:t>SI=Coefficiente 1</w:t>
            </w:r>
          </w:p>
          <w:p>
            <w:pPr>
              <w:pStyle w:val="Normal"/>
              <w:spacing w:lineRule="auto" w:line="240" w:before="60" w:after="60"/>
              <w:jc w:val="center"/>
              <w:rPr>
                <w:rFonts w:ascii="Titillium" w:hAnsi="Titillium"/>
                <w:bCs/>
                <w:i/>
                <w:sz w:val="18"/>
                <w:szCs w:val="18"/>
              </w:rPr>
            </w:pPr>
            <w:r>
              <w:rPr>
                <w:rFonts w:ascii="Titillium" w:hAnsi="Titillium"/>
                <w:bCs/>
                <w:sz w:val="18"/>
                <w:szCs w:val="18"/>
              </w:rPr>
              <w:t>NO= Coefficiente 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T</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6</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Dotazione/Qualificazione del</w:t>
            </w:r>
          </w:p>
          <w:p>
            <w:pPr>
              <w:pStyle w:val="Normal"/>
              <w:spacing w:lineRule="auto" w:line="240" w:before="60" w:after="60"/>
              <w:jc w:val="center"/>
              <w:rPr>
                <w:rFonts w:ascii="Titillium" w:hAnsi="Titillium"/>
                <w:bCs/>
                <w:sz w:val="18"/>
                <w:szCs w:val="18"/>
              </w:rPr>
            </w:pPr>
            <w:r>
              <w:rPr>
                <w:rFonts w:ascii="Titillium" w:hAnsi="Titillium"/>
                <w:bCs/>
                <w:sz w:val="18"/>
                <w:szCs w:val="18"/>
              </w:rPr>
              <w:t>personale impiegato per l'esecuzione</w:t>
            </w:r>
          </w:p>
          <w:p>
            <w:pPr>
              <w:pStyle w:val="Normal"/>
              <w:spacing w:lineRule="auto" w:line="240" w:before="60" w:after="60"/>
              <w:jc w:val="center"/>
              <w:rPr>
                <w:rFonts w:ascii="Titillium" w:hAnsi="Titillium"/>
                <w:bCs/>
                <w:sz w:val="18"/>
                <w:szCs w:val="18"/>
              </w:rPr>
            </w:pPr>
            <w:r>
              <w:rPr>
                <w:rFonts w:ascii="Titillium" w:hAnsi="Titillium"/>
                <w:bCs/>
                <w:sz w:val="18"/>
                <w:szCs w:val="18"/>
              </w:rPr>
              <w:t>del servizio e indicazione delle</w:t>
            </w:r>
          </w:p>
          <w:p>
            <w:pPr>
              <w:pStyle w:val="Normal"/>
              <w:spacing w:lineRule="auto" w:line="240" w:before="60" w:after="60"/>
              <w:jc w:val="center"/>
              <w:rPr>
                <w:rFonts w:ascii="Titillium" w:hAnsi="Titillium"/>
                <w:bCs/>
                <w:sz w:val="18"/>
                <w:szCs w:val="18"/>
              </w:rPr>
            </w:pPr>
            <w:r>
              <w:rPr>
                <w:rFonts w:ascii="Titillium" w:hAnsi="Titillium"/>
                <w:bCs/>
                <w:sz w:val="18"/>
                <w:szCs w:val="18"/>
              </w:rPr>
              <w:t>relative esperienze professionali.</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10</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alle offerte che</w:t>
            </w:r>
          </w:p>
          <w:p>
            <w:pPr>
              <w:pStyle w:val="Normal"/>
              <w:spacing w:lineRule="auto" w:line="240" w:before="60" w:after="60"/>
              <w:jc w:val="center"/>
              <w:rPr>
                <w:rFonts w:ascii="Titillium" w:hAnsi="Titillium"/>
                <w:bCs/>
                <w:sz w:val="18"/>
                <w:szCs w:val="18"/>
              </w:rPr>
            </w:pPr>
            <w:r>
              <w:rPr>
                <w:rFonts w:ascii="Titillium" w:hAnsi="Titillium"/>
                <w:bCs/>
                <w:sz w:val="18"/>
                <w:szCs w:val="18"/>
              </w:rPr>
              <w:t>evidenzieranno le migliori dotazioni di personale per</w:t>
            </w:r>
          </w:p>
          <w:p>
            <w:pPr>
              <w:pStyle w:val="Normal"/>
              <w:spacing w:lineRule="auto" w:line="240" w:before="60" w:after="60"/>
              <w:jc w:val="center"/>
              <w:rPr>
                <w:rFonts w:ascii="Titillium" w:hAnsi="Titillium"/>
                <w:bCs/>
                <w:sz w:val="18"/>
                <w:szCs w:val="18"/>
              </w:rPr>
            </w:pPr>
            <w:r>
              <w:rPr>
                <w:rFonts w:ascii="Titillium" w:hAnsi="Titillium"/>
                <w:bCs/>
                <w:sz w:val="18"/>
                <w:szCs w:val="18"/>
              </w:rPr>
              <w:t>numero di operatori, per professionalità, ruoli e livello</w:t>
            </w:r>
          </w:p>
          <w:p>
            <w:pPr>
              <w:pStyle w:val="Normal"/>
              <w:spacing w:lineRule="auto" w:line="240" w:before="60" w:after="60"/>
              <w:jc w:val="center"/>
              <w:rPr>
                <w:rFonts w:ascii="Titillium" w:hAnsi="Titillium"/>
                <w:bCs/>
                <w:i/>
                <w:sz w:val="18"/>
                <w:szCs w:val="18"/>
              </w:rPr>
            </w:pPr>
            <w:r>
              <w:rPr>
                <w:rFonts w:ascii="Titillium" w:hAnsi="Titillium"/>
                <w:bCs/>
                <w:sz w:val="18"/>
                <w:szCs w:val="18"/>
              </w:rPr>
              <w:t>di esperienza.</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7</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Piano di formazione e aggiornamento</w:t>
            </w:r>
          </w:p>
          <w:p>
            <w:pPr>
              <w:pStyle w:val="Normal"/>
              <w:spacing w:lineRule="auto" w:line="240" w:before="60" w:after="60"/>
              <w:jc w:val="center"/>
              <w:rPr>
                <w:rFonts w:ascii="Titillium" w:hAnsi="Titillium"/>
                <w:bCs/>
                <w:sz w:val="18"/>
                <w:szCs w:val="18"/>
              </w:rPr>
            </w:pPr>
            <w:r>
              <w:rPr>
                <w:rFonts w:ascii="Titillium" w:hAnsi="Titillium"/>
                <w:bCs/>
                <w:sz w:val="18"/>
                <w:szCs w:val="18"/>
              </w:rPr>
              <w:t>del personale impiegato per</w:t>
            </w:r>
          </w:p>
          <w:p>
            <w:pPr>
              <w:pStyle w:val="Normal"/>
              <w:spacing w:lineRule="auto" w:line="240" w:before="60" w:after="60"/>
              <w:jc w:val="center"/>
              <w:rPr>
                <w:rFonts w:ascii="Titillium" w:hAnsi="Titillium"/>
                <w:bCs/>
                <w:sz w:val="18"/>
                <w:szCs w:val="18"/>
              </w:rPr>
            </w:pPr>
            <w:r>
              <w:rPr>
                <w:rFonts w:ascii="Titillium" w:hAnsi="Titillium"/>
                <w:bCs/>
                <w:sz w:val="18"/>
                <w:szCs w:val="18"/>
              </w:rPr>
              <w:t>l'esecuzione del servizio.</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3</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alle offerte che</w:t>
            </w:r>
          </w:p>
          <w:p>
            <w:pPr>
              <w:pStyle w:val="Normal"/>
              <w:spacing w:lineRule="auto" w:line="240" w:before="60" w:after="60"/>
              <w:jc w:val="center"/>
              <w:rPr>
                <w:rFonts w:ascii="Titillium" w:hAnsi="Titillium"/>
                <w:bCs/>
                <w:sz w:val="18"/>
                <w:szCs w:val="18"/>
              </w:rPr>
            </w:pPr>
            <w:r>
              <w:rPr>
                <w:rFonts w:ascii="Titillium" w:hAnsi="Titillium"/>
                <w:bCs/>
                <w:sz w:val="18"/>
                <w:szCs w:val="18"/>
              </w:rPr>
              <w:t>evidenzieranno la più efficace e continua formazione</w:t>
            </w:r>
          </w:p>
          <w:p>
            <w:pPr>
              <w:pStyle w:val="Normal"/>
              <w:spacing w:lineRule="auto" w:line="240" w:before="60" w:after="60"/>
              <w:jc w:val="center"/>
              <w:rPr>
                <w:rFonts w:ascii="Titillium" w:hAnsi="Titillium"/>
                <w:bCs/>
                <w:sz w:val="18"/>
                <w:szCs w:val="18"/>
              </w:rPr>
            </w:pPr>
            <w:r>
              <w:rPr>
                <w:rFonts w:ascii="Titillium" w:hAnsi="Titillium"/>
                <w:bCs/>
                <w:sz w:val="18"/>
                <w:szCs w:val="18"/>
              </w:rPr>
              <w:t>delle figure professionali che saranno utilizzate</w:t>
            </w:r>
          </w:p>
          <w:p>
            <w:pPr>
              <w:pStyle w:val="Normal"/>
              <w:spacing w:lineRule="auto" w:line="240" w:before="60" w:after="60"/>
              <w:jc w:val="center"/>
              <w:rPr>
                <w:rFonts w:ascii="Titillium" w:hAnsi="Titillium"/>
                <w:bCs/>
                <w:sz w:val="18"/>
                <w:szCs w:val="18"/>
              </w:rPr>
            </w:pPr>
            <w:r>
              <w:rPr>
                <w:rFonts w:ascii="Titillium" w:hAnsi="Titillium"/>
                <w:bCs/>
                <w:sz w:val="18"/>
                <w:szCs w:val="18"/>
              </w:rPr>
              <w:t>nell’esecuzione del servizio, in relazione alle</w:t>
            </w:r>
          </w:p>
          <w:p>
            <w:pPr>
              <w:pStyle w:val="Normal"/>
              <w:spacing w:lineRule="auto" w:line="240" w:before="60" w:after="60"/>
              <w:jc w:val="center"/>
              <w:rPr>
                <w:rFonts w:ascii="Titillium" w:hAnsi="Titillium"/>
                <w:bCs/>
                <w:i/>
                <w:sz w:val="18"/>
                <w:szCs w:val="18"/>
              </w:rPr>
            </w:pPr>
            <w:r>
              <w:rPr>
                <w:rFonts w:ascii="Titillium" w:hAnsi="Titillium"/>
                <w:bCs/>
                <w:sz w:val="18"/>
                <w:szCs w:val="18"/>
              </w:rPr>
              <w:t>conoscenze e competenze professionali necessarie.</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8</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Piano per la manutenzione ordinaria</w:t>
            </w:r>
          </w:p>
          <w:p>
            <w:pPr>
              <w:pStyle w:val="Normal"/>
              <w:spacing w:lineRule="auto" w:line="240" w:before="60" w:after="60"/>
              <w:jc w:val="center"/>
              <w:rPr>
                <w:rFonts w:ascii="Titillium" w:hAnsi="Titillium"/>
                <w:bCs/>
                <w:sz w:val="18"/>
                <w:szCs w:val="18"/>
              </w:rPr>
            </w:pPr>
            <w:r>
              <w:rPr>
                <w:rFonts w:ascii="Titillium" w:hAnsi="Titillium"/>
                <w:bCs/>
                <w:sz w:val="18"/>
                <w:szCs w:val="18"/>
              </w:rPr>
              <w:t>e straordinaria dei mezzi con</w:t>
            </w:r>
          </w:p>
          <w:p>
            <w:pPr>
              <w:pStyle w:val="Normal"/>
              <w:spacing w:lineRule="auto" w:line="240" w:before="60" w:after="60"/>
              <w:jc w:val="center"/>
              <w:rPr>
                <w:rFonts w:ascii="Titillium" w:hAnsi="Titillium"/>
                <w:bCs/>
                <w:sz w:val="18"/>
                <w:szCs w:val="18"/>
              </w:rPr>
            </w:pPr>
            <w:r>
              <w:rPr>
                <w:rFonts w:ascii="Titillium" w:hAnsi="Titillium"/>
                <w:bCs/>
                <w:sz w:val="18"/>
                <w:szCs w:val="18"/>
              </w:rPr>
              <w:t>indicazione della frequenza degli</w:t>
            </w:r>
          </w:p>
          <w:p>
            <w:pPr>
              <w:pStyle w:val="Normal"/>
              <w:spacing w:lineRule="auto" w:line="240" w:before="60" w:after="60"/>
              <w:jc w:val="center"/>
              <w:rPr>
                <w:rFonts w:ascii="Titillium" w:hAnsi="Titillium"/>
                <w:bCs/>
                <w:sz w:val="18"/>
                <w:szCs w:val="18"/>
              </w:rPr>
            </w:pPr>
            <w:r>
              <w:rPr>
                <w:rFonts w:ascii="Titillium" w:hAnsi="Titillium"/>
                <w:bCs/>
                <w:sz w:val="18"/>
                <w:szCs w:val="18"/>
              </w:rPr>
              <w:t>interventi e descrizione delle relative</w:t>
            </w:r>
          </w:p>
          <w:p>
            <w:pPr>
              <w:pStyle w:val="Normal"/>
              <w:spacing w:lineRule="auto" w:line="240" w:before="60" w:after="60"/>
              <w:jc w:val="center"/>
              <w:rPr>
                <w:rFonts w:ascii="Titillium" w:hAnsi="Titillium"/>
                <w:bCs/>
                <w:sz w:val="18"/>
                <w:szCs w:val="18"/>
              </w:rPr>
            </w:pPr>
            <w:r>
              <w:rPr>
                <w:rFonts w:ascii="Titillium" w:hAnsi="Titillium"/>
                <w:bCs/>
                <w:sz w:val="18"/>
                <w:szCs w:val="18"/>
              </w:rPr>
              <w:t>attività.</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3</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alle offerte che</w:t>
            </w:r>
          </w:p>
          <w:p>
            <w:pPr>
              <w:pStyle w:val="Normal"/>
              <w:spacing w:lineRule="auto" w:line="240" w:before="60" w:after="60"/>
              <w:jc w:val="center"/>
              <w:rPr>
                <w:rFonts w:ascii="Titillium" w:hAnsi="Titillium"/>
                <w:bCs/>
                <w:sz w:val="18"/>
                <w:szCs w:val="18"/>
              </w:rPr>
            </w:pPr>
            <w:r>
              <w:rPr>
                <w:rFonts w:ascii="Titillium" w:hAnsi="Titillium"/>
                <w:bCs/>
                <w:sz w:val="18"/>
                <w:szCs w:val="18"/>
              </w:rPr>
              <w:t>evidenzieranno una maggiore frequenza</w:t>
            </w:r>
          </w:p>
          <w:p>
            <w:pPr>
              <w:pStyle w:val="Normal"/>
              <w:spacing w:lineRule="auto" w:line="240" w:before="60" w:after="60"/>
              <w:jc w:val="center"/>
              <w:rPr>
                <w:rFonts w:ascii="Titillium" w:hAnsi="Titillium"/>
                <w:bCs/>
                <w:sz w:val="18"/>
                <w:szCs w:val="18"/>
              </w:rPr>
            </w:pPr>
            <w:r>
              <w:rPr>
                <w:rFonts w:ascii="Titillium" w:hAnsi="Titillium"/>
                <w:bCs/>
                <w:sz w:val="18"/>
                <w:szCs w:val="18"/>
              </w:rPr>
              <w:t>nell'esecuzione della manutenzione ordinaria</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9</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Descrizione della modalità,</w:t>
            </w:r>
          </w:p>
          <w:p>
            <w:pPr>
              <w:pStyle w:val="Normal"/>
              <w:spacing w:lineRule="auto" w:line="240" w:before="60" w:after="60"/>
              <w:jc w:val="center"/>
              <w:rPr>
                <w:rFonts w:ascii="Titillium" w:hAnsi="Titillium"/>
                <w:bCs/>
                <w:sz w:val="18"/>
                <w:szCs w:val="18"/>
              </w:rPr>
            </w:pPr>
            <w:r>
              <w:rPr>
                <w:rFonts w:ascii="Titillium" w:hAnsi="Titillium"/>
                <w:bCs/>
                <w:sz w:val="18"/>
                <w:szCs w:val="18"/>
              </w:rPr>
              <w:t>tempistiche e tipologie di prodotti atti</w:t>
            </w:r>
          </w:p>
          <w:p>
            <w:pPr>
              <w:pStyle w:val="Normal"/>
              <w:spacing w:lineRule="auto" w:line="240" w:before="60" w:after="60"/>
              <w:jc w:val="center"/>
              <w:rPr>
                <w:rFonts w:ascii="Titillium" w:hAnsi="Titillium"/>
                <w:bCs/>
                <w:sz w:val="18"/>
                <w:szCs w:val="18"/>
              </w:rPr>
            </w:pPr>
            <w:r>
              <w:rPr>
                <w:rFonts w:ascii="Titillium" w:hAnsi="Titillium"/>
                <w:bCs/>
                <w:sz w:val="18"/>
                <w:szCs w:val="18"/>
              </w:rPr>
              <w:t>a garantire la pulizia e la</w:t>
            </w:r>
          </w:p>
          <w:p>
            <w:pPr>
              <w:pStyle w:val="Normal"/>
              <w:spacing w:lineRule="auto" w:line="240" w:before="60" w:after="60"/>
              <w:jc w:val="center"/>
              <w:rPr>
                <w:rFonts w:ascii="Titillium" w:hAnsi="Titillium"/>
                <w:bCs/>
                <w:sz w:val="18"/>
                <w:szCs w:val="18"/>
              </w:rPr>
            </w:pPr>
            <w:r>
              <w:rPr>
                <w:rFonts w:ascii="Titillium" w:hAnsi="Titillium"/>
                <w:bCs/>
                <w:sz w:val="18"/>
                <w:szCs w:val="18"/>
              </w:rPr>
              <w:t>sanificazione dei mezzi.</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8</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Sarà attribuito il maggior coefficiente alle offerte che</w:t>
            </w:r>
          </w:p>
          <w:p>
            <w:pPr>
              <w:pStyle w:val="Normal"/>
              <w:spacing w:lineRule="auto" w:line="240" w:before="60" w:after="60"/>
              <w:jc w:val="center"/>
              <w:rPr>
                <w:rFonts w:ascii="Titillium" w:hAnsi="Titillium"/>
                <w:bCs/>
                <w:sz w:val="18"/>
                <w:szCs w:val="18"/>
              </w:rPr>
            </w:pPr>
            <w:r>
              <w:rPr>
                <w:rFonts w:ascii="Titillium" w:hAnsi="Titillium"/>
                <w:bCs/>
                <w:sz w:val="18"/>
                <w:szCs w:val="18"/>
              </w:rPr>
              <w:t>evidenzieranno una maggiore frequenza</w:t>
            </w:r>
          </w:p>
          <w:p>
            <w:pPr>
              <w:pStyle w:val="Normal"/>
              <w:spacing w:lineRule="auto" w:line="240" w:before="60" w:after="60"/>
              <w:jc w:val="center"/>
              <w:rPr>
                <w:rFonts w:ascii="Titillium" w:hAnsi="Titillium"/>
                <w:bCs/>
                <w:sz w:val="18"/>
                <w:szCs w:val="18"/>
              </w:rPr>
            </w:pPr>
            <w:r>
              <w:rPr>
                <w:rFonts w:ascii="Titillium" w:hAnsi="Titillium"/>
                <w:bCs/>
                <w:sz w:val="18"/>
                <w:szCs w:val="18"/>
              </w:rPr>
              <w:t>nell’esecuzione della sanificazione dei mezzi e</w:t>
            </w:r>
          </w:p>
          <w:p>
            <w:pPr>
              <w:pStyle w:val="Normal"/>
              <w:spacing w:lineRule="auto" w:line="240" w:before="60" w:after="60"/>
              <w:jc w:val="center"/>
              <w:rPr>
                <w:rFonts w:ascii="Titillium" w:hAnsi="Titillium"/>
                <w:bCs/>
                <w:sz w:val="18"/>
                <w:szCs w:val="18"/>
              </w:rPr>
            </w:pPr>
            <w:r>
              <w:rPr>
                <w:rFonts w:ascii="Titillium" w:hAnsi="Titillium"/>
                <w:bCs/>
                <w:sz w:val="18"/>
                <w:szCs w:val="18"/>
              </w:rPr>
              <w:t>l’utilizzo di prodotti con ridotto impatto ambientale</w:t>
            </w:r>
          </w:p>
          <w:p>
            <w:pPr>
              <w:pStyle w:val="Normal"/>
              <w:spacing w:lineRule="auto" w:line="240" w:before="60" w:after="60"/>
              <w:jc w:val="center"/>
              <w:rPr>
                <w:rFonts w:ascii="Titillium" w:hAnsi="Titillium"/>
                <w:bCs/>
                <w:sz w:val="18"/>
                <w:szCs w:val="18"/>
              </w:rPr>
            </w:pPr>
            <w:r>
              <w:rPr>
                <w:rFonts w:ascii="Titillium" w:hAnsi="Titillium"/>
                <w:bCs/>
                <w:sz w:val="18"/>
                <w:szCs w:val="18"/>
              </w:rPr>
              <w:t>che garantiscano un elevato livello di pulizia e</w:t>
            </w:r>
          </w:p>
          <w:p>
            <w:pPr>
              <w:pStyle w:val="Normal"/>
              <w:spacing w:lineRule="auto" w:line="240" w:before="60" w:after="60"/>
              <w:jc w:val="center"/>
              <w:rPr>
                <w:rFonts w:ascii="Titillium" w:hAnsi="Titillium"/>
                <w:bCs/>
                <w:i/>
                <w:sz w:val="18"/>
                <w:szCs w:val="18"/>
              </w:rPr>
            </w:pPr>
            <w:r>
              <w:rPr>
                <w:rFonts w:ascii="Titillium" w:hAnsi="Titillium"/>
                <w:bCs/>
                <w:sz w:val="18"/>
                <w:szCs w:val="18"/>
              </w:rPr>
              <w:t>sanificazione.</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rPr>
            </w:pPr>
            <w:r>
              <w:rPr>
                <w:rFonts w:ascii="Titillium" w:hAnsi="Titillium"/>
                <w:sz w:val="18"/>
                <w:szCs w:val="18"/>
              </w:rPr>
              <w:t>D</w:t>
            </w:r>
          </w:p>
        </w:tc>
      </w:tr>
      <w:tr>
        <w:trPr/>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lang w:eastAsia="it-IT"/>
              </w:rPr>
            </w:pPr>
            <w:r>
              <w:rPr>
                <w:rFonts w:ascii="Titillium" w:hAnsi="Titillium"/>
                <w:sz w:val="18"/>
                <w:szCs w:val="18"/>
                <w:lang w:eastAsia="it-IT"/>
              </w:rPr>
              <w:t>10</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Certificazioni</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1</w:t>
            </w:r>
          </w:p>
        </w:tc>
        <w:tc>
          <w:tcPr>
            <w:tcW w:w="4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Certificazione parità di genere UNI/PdR 125:2022 o equivalente</w:t>
            </w:r>
          </w:p>
          <w:p>
            <w:pPr>
              <w:pStyle w:val="Normal"/>
              <w:shd w:val="clear" w:color="auto" w:fill="FFFFFF"/>
              <w:suppressAutoHyphens w:val="false"/>
              <w:spacing w:lineRule="auto" w:line="240"/>
              <w:jc w:val="left"/>
              <w:textAlignment w:val="baseline"/>
              <w:rPr>
                <w:rFonts w:ascii="Titillium" w:hAnsi="Titillium"/>
                <w:bCs/>
                <w:sz w:val="18"/>
                <w:szCs w:val="18"/>
              </w:rPr>
            </w:pPr>
            <w:r>
              <w:rPr>
                <w:rFonts w:ascii="Titillium" w:hAnsi="Titillium"/>
                <w:bCs/>
                <w:sz w:val="18"/>
                <w:szCs w:val="18"/>
              </w:rPr>
              <w:t>SI=1 PUNTO (allegare copia)</w:t>
            </w:r>
          </w:p>
          <w:p>
            <w:pPr>
              <w:pStyle w:val="Normal"/>
              <w:shd w:val="clear" w:color="auto" w:fill="FFFFFF"/>
              <w:suppressAutoHyphens w:val="false"/>
              <w:spacing w:lineRule="auto" w:line="240"/>
              <w:jc w:val="left"/>
              <w:textAlignment w:val="baseline"/>
              <w:rPr>
                <w:rFonts w:ascii="Titillium" w:hAnsi="Titillium"/>
                <w:bCs/>
                <w:sz w:val="18"/>
                <w:szCs w:val="18"/>
              </w:rPr>
            </w:pPr>
            <w:r>
              <w:rPr>
                <w:rFonts w:ascii="Titillium" w:hAnsi="Titillium"/>
                <w:bCs/>
                <w:sz w:val="18"/>
                <w:szCs w:val="18"/>
              </w:rPr>
              <w:t>NO= 0 PUNTI</w:t>
            </w:r>
          </w:p>
          <w:p>
            <w:pPr>
              <w:pStyle w:val="Normal"/>
              <w:shd w:val="clear" w:color="auto" w:fill="FFFFFF"/>
              <w:suppressAutoHyphens w:val="false"/>
              <w:spacing w:lineRule="auto" w:line="240"/>
              <w:jc w:val="left"/>
              <w:textAlignment w:val="baseline"/>
              <w:rPr>
                <w:rFonts w:ascii="Titillium" w:hAnsi="Titillium"/>
                <w:bCs/>
                <w:sz w:val="18"/>
                <w:szCs w:val="18"/>
              </w:rPr>
            </w:pPr>
            <w:r>
              <w:rPr>
                <w:rFonts w:ascii="Titillium" w:hAnsi="Titillium"/>
                <w:bCs/>
                <w:sz w:val="18"/>
                <w:szCs w:val="18"/>
              </w:rPr>
              <w:t>Nel caso di partecipazione di RTI o Consorzi verrà attribuito il punteggio solo nel caso in cui tutti i componenti del RTI e tutte le Imprese esecutrici siano in possesso della certificazione indicata</w:t>
            </w:r>
          </w:p>
          <w:p>
            <w:pPr>
              <w:pStyle w:val="Normal"/>
              <w:spacing w:lineRule="auto" w:line="240" w:before="60" w:after="60"/>
              <w:jc w:val="center"/>
              <w:rPr>
                <w:rFonts w:ascii="Titillium" w:hAnsi="Titillium"/>
                <w:bCs/>
                <w:sz w:val="18"/>
                <w:szCs w:val="18"/>
              </w:rPr>
            </w:pPr>
            <w:r>
              <w:rPr>
                <w:rFonts w:ascii="Titillium" w:hAnsi="Titillium"/>
                <w:bCs/>
                <w:sz w:val="18"/>
                <w:szCs w:val="18"/>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tillium" w:hAnsi="Titillium"/>
                <w:sz w:val="18"/>
                <w:szCs w:val="18"/>
                <w:lang w:eastAsia="it-IT"/>
              </w:rPr>
            </w:pPr>
            <w:r>
              <w:rPr>
                <w:rFonts w:ascii="Titillium" w:hAnsi="Titillium"/>
                <w:sz w:val="18"/>
                <w:szCs w:val="18"/>
                <w:lang w:eastAsia="it-IT"/>
              </w:rPr>
              <w:t>T</w:t>
            </w:r>
          </w:p>
        </w:tc>
      </w:tr>
      <w:tr>
        <w:trPr/>
        <w:tc>
          <w:tcPr>
            <w:tcW w:w="4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sz w:val="18"/>
                <w:szCs w:val="18"/>
                <w:lang w:eastAsia="it-IT"/>
              </w:rPr>
            </w:pPr>
            <w:r>
              <w:rPr>
                <w:rFonts w:ascii="Titillium" w:hAnsi="Titillium"/>
                <w:sz w:val="18"/>
                <w:szCs w:val="18"/>
                <w:lang w:eastAsia="it-IT"/>
              </w:rPr>
            </w:r>
          </w:p>
        </w:tc>
        <w:tc>
          <w:tcPr>
            <w:tcW w:w="215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Totale</w:t>
            </w:r>
          </w:p>
        </w:tc>
        <w:tc>
          <w:tcPr>
            <w:tcW w:w="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bCs/>
                <w:sz w:val="18"/>
                <w:szCs w:val="18"/>
              </w:rPr>
            </w:pPr>
            <w:r>
              <w:rPr>
                <w:rFonts w:ascii="Titillium" w:hAnsi="Titillium"/>
                <w:bCs/>
                <w:sz w:val="18"/>
                <w:szCs w:val="18"/>
              </w:rPr>
              <w:t>70</w:t>
            </w:r>
          </w:p>
        </w:tc>
        <w:tc>
          <w:tcPr>
            <w:tcW w:w="467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jc w:val="center"/>
              <w:rPr>
                <w:rFonts w:ascii="Titillium" w:hAnsi="Titillium"/>
                <w:sz w:val="18"/>
                <w:szCs w:val="18"/>
                <w:lang w:eastAsia="it-IT"/>
              </w:rPr>
            </w:pPr>
            <w:r>
              <w:rPr>
                <w:rFonts w:ascii="Titillium" w:hAnsi="Titillium"/>
                <w:sz w:val="18"/>
                <w:szCs w:val="18"/>
                <w:lang w:eastAsia="it-IT"/>
              </w:rPr>
            </w:r>
          </w:p>
        </w:tc>
        <w:tc>
          <w:tcPr>
            <w:tcW w:w="117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40" w:before="60" w:after="60"/>
              <w:rPr>
                <w:rFonts w:ascii="Titillium" w:hAnsi="Titillium"/>
                <w:sz w:val="18"/>
                <w:szCs w:val="18"/>
                <w:lang w:eastAsia="it-IT"/>
              </w:rPr>
            </w:pPr>
            <w:r>
              <w:rPr>
                <w:rFonts w:ascii="Titillium" w:hAnsi="Titillium"/>
                <w:sz w:val="18"/>
                <w:szCs w:val="18"/>
                <w:lang w:eastAsia="it-IT"/>
              </w:rPr>
            </w:r>
          </w:p>
        </w:tc>
      </w:tr>
    </w:tbl>
    <w:p>
      <w:pPr>
        <w:pStyle w:val="Normal"/>
        <w:spacing w:before="120" w:after="60"/>
        <w:rPr>
          <w:rFonts w:ascii="Titillium" w:hAnsi="Titillium"/>
          <w:sz w:val="18"/>
          <w:szCs w:val="18"/>
          <w:lang w:eastAsia="it-IT"/>
        </w:rPr>
      </w:pPr>
      <w:r>
        <w:rPr>
          <w:rFonts w:ascii="Titillium" w:hAnsi="Titillium"/>
          <w:sz w:val="18"/>
          <w:szCs w:val="18"/>
          <w:lang w:eastAsia="it-IT"/>
        </w:rPr>
      </w:r>
    </w:p>
    <w:p>
      <w:pPr>
        <w:pStyle w:val="Normal"/>
        <w:spacing w:before="120" w:after="60"/>
        <w:rPr>
          <w:rFonts w:ascii="Titillium" w:hAnsi="Titillium"/>
          <w:i/>
          <w:sz w:val="18"/>
          <w:szCs w:val="18"/>
        </w:rPr>
      </w:pPr>
      <w:r>
        <w:rPr>
          <w:rFonts w:cs="Calibri" w:ascii="Titillium" w:hAnsi="Titillium"/>
          <w:sz w:val="18"/>
          <w:szCs w:val="18"/>
          <w:lang w:eastAsia="it-IT"/>
        </w:rPr>
        <w:t xml:space="preserve">Il concorrente è escluso dalla gara nel caso in cui consegua un punteggio inferiore alla </w:t>
      </w:r>
      <w:r>
        <w:rPr>
          <w:rFonts w:ascii="Titillium" w:hAnsi="Titillium"/>
          <w:sz w:val="18"/>
          <w:szCs w:val="18"/>
        </w:rPr>
        <w:t>soglia minima di sbarramento pari a 35/70.</w:t>
      </w:r>
      <w:r>
        <w:rPr>
          <w:rFonts w:ascii="Titillium" w:hAnsi="Titillium"/>
          <w:i/>
          <w:sz w:val="18"/>
          <w:szCs w:val="18"/>
        </w:rPr>
        <w:t xml:space="preserve"> </w:t>
      </w:r>
    </w:p>
    <w:p>
      <w:pPr>
        <w:pStyle w:val="Normal"/>
        <w:spacing w:before="120" w:after="60"/>
        <w:rPr>
          <w:rFonts w:ascii="Titillium" w:hAnsi="Titillium" w:cs="Calibri"/>
          <w:sz w:val="18"/>
          <w:szCs w:val="18"/>
          <w:highlight w:val="cyan"/>
          <w:lang w:eastAsia="it-IT"/>
        </w:rPr>
      </w:pPr>
      <w:r>
        <w:rPr>
          <w:rFonts w:cs="Calibri" w:ascii="Titillium" w:hAnsi="Titillium"/>
          <w:sz w:val="18"/>
          <w:szCs w:val="18"/>
          <w:highlight w:val="cyan"/>
          <w:lang w:eastAsia="it-IT"/>
        </w:rPr>
      </w:r>
    </w:p>
    <w:p>
      <w:pPr>
        <w:pStyle w:val="Heading3"/>
        <w:numPr>
          <w:ilvl w:val="1"/>
          <w:numId w:val="3"/>
        </w:numPr>
        <w:ind w:hanging="426" w:left="426"/>
        <w:rPr/>
      </w:pPr>
      <w:bookmarkStart w:id="1853" w:name="_Toc231396691"/>
      <w:r>
        <w:rPr>
          <w:rFonts w:ascii="Titillium" w:hAnsi="Titillium"/>
          <w:iCs/>
          <w:sz w:val="18"/>
          <w:szCs w:val="18"/>
        </w:rPr>
        <w:t>METODO DI ATTRIBUZIONE DEL COEFFICIENTE PER IL CALCOLO DEL PUNTEGGIO DELL’OFFERTA TECNICA</w:t>
      </w:r>
      <w:bookmarkEnd w:id="1853"/>
    </w:p>
    <w:p>
      <w:pPr>
        <w:pStyle w:val="Normal"/>
        <w:spacing w:before="60" w:after="60"/>
        <w:rPr>
          <w:rFonts w:ascii="Titillium" w:hAnsi="Titillium"/>
          <w:sz w:val="18"/>
          <w:szCs w:val="18"/>
        </w:rPr>
      </w:pPr>
      <w:r>
        <w:rPr>
          <w:rFonts w:ascii="Titillium" w:hAnsi="Titillium"/>
          <w:sz w:val="18"/>
          <w:szCs w:val="18"/>
        </w:rPr>
        <w:t>A ciascuno degli elementi qualitativi cui è assegnato un punteggio discrezionale nella colonna “D” della tabella, è attribuito un coefficiente direttamente dalla Commissione, secondo un giudizio discrezionale come da tabella che segue:</w:t>
      </w:r>
    </w:p>
    <w:tbl>
      <w:tblPr>
        <w:tblStyle w:val="Grigliatabella"/>
        <w:tblW w:w="921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607"/>
        <w:gridCol w:w="4607"/>
      </w:tblGrid>
      <w:tr>
        <w:trPr/>
        <w:tc>
          <w:tcPr>
            <w:tcW w:w="4607" w:type="dxa"/>
            <w:tcBorders/>
          </w:tcPr>
          <w:p>
            <w:pPr>
              <w:pStyle w:val="Normal"/>
              <w:widowControl/>
              <w:suppressAutoHyphens w:val="true"/>
              <w:spacing w:before="60" w:after="60"/>
              <w:rPr>
                <w:rFonts w:ascii="Titillium" w:hAnsi="Titillium"/>
                <w:b/>
                <w:bCs/>
                <w:szCs w:val="20"/>
              </w:rPr>
            </w:pPr>
            <w:r>
              <w:rPr>
                <w:rFonts w:ascii="Titillium" w:hAnsi="Titillium"/>
                <w:b/>
                <w:bCs/>
                <w:sz w:val="20"/>
                <w:szCs w:val="20"/>
                <w:lang w:val="it-IT" w:eastAsia="it-IT" w:bidi="ar-SA"/>
              </w:rPr>
              <w:t>Coefficiente</w:t>
            </w:r>
          </w:p>
        </w:tc>
        <w:tc>
          <w:tcPr>
            <w:tcW w:w="4607" w:type="dxa"/>
            <w:tcBorders/>
          </w:tcPr>
          <w:p>
            <w:pPr>
              <w:pStyle w:val="Normal"/>
              <w:widowControl/>
              <w:suppressAutoHyphens w:val="true"/>
              <w:spacing w:before="60" w:after="60"/>
              <w:rPr>
                <w:rFonts w:ascii="Titillium" w:hAnsi="Titillium"/>
                <w:b/>
                <w:bCs/>
                <w:szCs w:val="20"/>
              </w:rPr>
            </w:pPr>
            <w:r>
              <w:rPr>
                <w:rFonts w:ascii="Titillium" w:hAnsi="Titillium"/>
                <w:b/>
                <w:bCs/>
                <w:sz w:val="20"/>
                <w:szCs w:val="20"/>
                <w:lang w:val="it-IT" w:eastAsia="it-IT" w:bidi="ar-SA"/>
              </w:rPr>
              <w:t>Giudizio</w:t>
            </w:r>
          </w:p>
          <w:p>
            <w:pPr>
              <w:pStyle w:val="Normal"/>
              <w:widowControl/>
              <w:suppressAutoHyphens w:val="true"/>
              <w:spacing w:before="60" w:after="60"/>
              <w:rPr>
                <w:rFonts w:ascii="Titillium" w:hAnsi="Titillium"/>
                <w:b/>
                <w:bCs/>
                <w:szCs w:val="20"/>
              </w:rPr>
            </w:pPr>
            <w:r>
              <w:rPr>
                <w:rFonts w:ascii="Titillium" w:hAnsi="Titillium"/>
                <w:b/>
                <w:bCs/>
                <w:sz w:val="20"/>
                <w:szCs w:val="20"/>
              </w:rPr>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caso di mancanza di documentazione o di</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elementi necessari per la valutazione del</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parametro considerato</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0,25</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“scarso”</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0,5</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“sufficiente”</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0,65</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“più che sufficiente”</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0,75</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“buono”</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0,85</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“molto buono”</w:t>
            </w:r>
          </w:p>
        </w:tc>
      </w:tr>
      <w:tr>
        <w:trPr/>
        <w:tc>
          <w:tcPr>
            <w:tcW w:w="4607" w:type="dxa"/>
            <w:tcBorders/>
          </w:tcPr>
          <w:p>
            <w:pPr>
              <w:pStyle w:val="Normal"/>
              <w:widowControl/>
              <w:suppressAutoHyphens w:val="true"/>
              <w:spacing w:before="60" w:after="60"/>
              <w:jc w:val="center"/>
              <w:rPr>
                <w:rFonts w:ascii="Titillium" w:hAnsi="Titillium"/>
                <w:sz w:val="18"/>
                <w:szCs w:val="18"/>
              </w:rPr>
            </w:pPr>
            <w:r>
              <w:rPr>
                <w:rFonts w:ascii="Titillium" w:hAnsi="Titillium"/>
                <w:sz w:val="18"/>
                <w:szCs w:val="18"/>
                <w:lang w:val="it-IT" w:eastAsia="it-IT" w:bidi="ar-SA"/>
              </w:rPr>
              <w:t>1</w:t>
            </w:r>
          </w:p>
          <w:p>
            <w:pPr>
              <w:pStyle w:val="Normal"/>
              <w:widowControl/>
              <w:suppressAutoHyphens w:val="true"/>
              <w:spacing w:before="60" w:after="60"/>
              <w:jc w:val="center"/>
              <w:rPr>
                <w:rFonts w:ascii="Titillium" w:hAnsi="Titillium"/>
                <w:sz w:val="18"/>
                <w:szCs w:val="18"/>
              </w:rPr>
            </w:pPr>
            <w:r>
              <w:rPr>
                <w:rFonts w:ascii="Titillium" w:hAnsi="Titillium"/>
                <w:sz w:val="18"/>
                <w:szCs w:val="18"/>
              </w:rPr>
            </w:r>
          </w:p>
        </w:tc>
        <w:tc>
          <w:tcPr>
            <w:tcW w:w="4607" w:type="dxa"/>
            <w:tcBorders/>
          </w:tcPr>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In relazione ad un giudizio espresso sul parametro</w:t>
            </w:r>
          </w:p>
          <w:p>
            <w:pPr>
              <w:pStyle w:val="Normal"/>
              <w:widowControl/>
              <w:suppressAutoHyphens w:val="true"/>
              <w:spacing w:before="60" w:after="60"/>
              <w:rPr>
                <w:rFonts w:ascii="Titillium" w:hAnsi="Titillium"/>
                <w:sz w:val="18"/>
                <w:szCs w:val="18"/>
              </w:rPr>
            </w:pPr>
            <w:r>
              <w:rPr>
                <w:rFonts w:ascii="Titillium" w:hAnsi="Titillium"/>
                <w:sz w:val="18"/>
                <w:szCs w:val="18"/>
                <w:lang w:val="it-IT" w:eastAsia="it-IT" w:bidi="ar-SA"/>
              </w:rPr>
              <w:t>considerato “ottimo”</w:t>
            </w:r>
          </w:p>
        </w:tc>
      </w:tr>
    </w:tbl>
    <w:p>
      <w:pPr>
        <w:pStyle w:val="Normal"/>
        <w:spacing w:lineRule="auto" w:line="240"/>
        <w:jc w:val="left"/>
        <w:rPr>
          <w:rFonts w:ascii="Times-Bold" w:hAnsi="Times-Bold" w:eastAsia="Aptos" w:cs="Times-Bold" w:eastAsiaTheme="minorHAnsi"/>
          <w:b/>
          <w:bCs/>
          <w:color w:val="00000A"/>
          <w:sz w:val="20"/>
          <w:szCs w:val="20"/>
          <w14:ligatures w14:val="standardContextual"/>
        </w:rPr>
      </w:pPr>
      <w:r>
        <w:rPr>
          <w:rFonts w:eastAsia="Aptos" w:cs="Times-Bold" w:eastAsiaTheme="minorHAnsi" w:ascii="Times-Bold" w:hAnsi="Times-Bold"/>
          <w:b/>
          <w:bCs/>
          <w:color w:val="00000A"/>
          <w:sz w:val="20"/>
          <w:szCs w:val="20"/>
          <w14:ligatures w14:val="standardContextual"/>
        </w:rPr>
      </w:r>
    </w:p>
    <w:p>
      <w:pPr>
        <w:pStyle w:val="Normal"/>
        <w:spacing w:before="60" w:after="60"/>
        <w:rPr>
          <w:rFonts w:ascii="Titillium" w:hAnsi="Titillium"/>
          <w:b/>
          <w:bCs/>
          <w:sz w:val="18"/>
          <w:szCs w:val="18"/>
          <w:u w:val="single"/>
        </w:rPr>
      </w:pPr>
      <w:r>
        <w:rPr>
          <w:rFonts w:ascii="Titillium" w:hAnsi="Titillium"/>
          <w:b/>
          <w:bCs/>
          <w:sz w:val="18"/>
          <w:szCs w:val="18"/>
          <w:u w:val="single"/>
        </w:rPr>
        <w:t>Criteri tabellari</w:t>
      </w:r>
    </w:p>
    <w:p>
      <w:pPr>
        <w:pStyle w:val="Normal"/>
        <w:spacing w:before="60" w:after="60"/>
        <w:rPr>
          <w:rFonts w:ascii="Titillium" w:hAnsi="Titillium"/>
          <w:sz w:val="18"/>
          <w:szCs w:val="18"/>
        </w:rPr>
      </w:pPr>
      <w:r>
        <w:rPr>
          <w:rFonts w:ascii="Titillium" w:hAnsi="Titillium"/>
          <w:sz w:val="18"/>
          <w:szCs w:val="18"/>
        </w:rPr>
        <w:t>A ciascuno degli elementi qualitativi cui è assegnato un punteggio tabellare “T”, individuato nella apposita colonna della tabella, la Commissione attribuisce un coefficiente come precisato nel relativo criterio motivazionale.</w:t>
      </w:r>
    </w:p>
    <w:p>
      <w:pPr>
        <w:pStyle w:val="Heading3"/>
        <w:numPr>
          <w:ilvl w:val="1"/>
          <w:numId w:val="3"/>
        </w:numPr>
        <w:ind w:hanging="426" w:left="426"/>
        <w:rPr/>
      </w:pPr>
      <w:bookmarkStart w:id="1854" w:name="_Toc231396692"/>
      <w:bookmarkStart w:id="1855" w:name="_Ref498421792"/>
      <w:bookmarkStart w:id="1856" w:name="_Toc205391336"/>
      <w:bookmarkEnd w:id="1856"/>
      <w:r>
        <w:rPr>
          <w:rFonts w:ascii="Titillium" w:hAnsi="Titillium"/>
          <w:iCs/>
          <w:sz w:val="18"/>
          <w:szCs w:val="18"/>
        </w:rPr>
        <w:t>METODO DI ATTRIBUZIONE DEL COEFFICIENTE PER IL CALCOLO DEL PUNTEGGIO DELL’OFFERTA ECONOMICA</w:t>
      </w:r>
      <w:bookmarkEnd w:id="1854"/>
      <w:bookmarkEnd w:id="1855"/>
      <w:r>
        <w:rPr>
          <w:rFonts w:ascii="Titillium" w:hAnsi="Titillium"/>
          <w:iCs/>
          <w:sz w:val="18"/>
          <w:szCs w:val="18"/>
        </w:rPr>
        <w:t xml:space="preserve"> </w:t>
      </w:r>
    </w:p>
    <w:p>
      <w:pPr>
        <w:pStyle w:val="Normal"/>
        <w:spacing w:before="120" w:after="60"/>
        <w:rPr>
          <w:rFonts w:ascii="Titillium" w:hAnsi="Titillium"/>
          <w:sz w:val="18"/>
          <w:szCs w:val="18"/>
        </w:rPr>
      </w:pPr>
      <w:bookmarkStart w:id="1857" w:name="_Hlk144980418"/>
      <w:bookmarkEnd w:id="1857"/>
      <w:r>
        <w:rPr>
          <w:rFonts w:ascii="Titillium" w:hAnsi="Titillium"/>
          <w:b/>
          <w:bCs/>
          <w:sz w:val="18"/>
          <w:szCs w:val="18"/>
        </w:rPr>
        <w:t>Prezzo:</w:t>
      </w:r>
      <w:r>
        <w:rPr>
          <w:rFonts w:ascii="Titillium" w:hAnsi="Titillium"/>
          <w:sz w:val="18"/>
          <w:szCs w:val="18"/>
        </w:rPr>
        <w:t xml:space="preserve"> massimo punti 30</w:t>
      </w:r>
    </w:p>
    <w:p>
      <w:pPr>
        <w:pStyle w:val="Normal"/>
        <w:spacing w:before="120" w:after="60"/>
        <w:rPr>
          <w:rFonts w:ascii="Titillium" w:hAnsi="Titillium"/>
          <w:sz w:val="18"/>
          <w:szCs w:val="18"/>
        </w:rPr>
      </w:pPr>
      <w:r>
        <w:rPr>
          <w:rFonts w:ascii="Titillium" w:hAnsi="Titillium"/>
          <w:sz w:val="18"/>
          <w:szCs w:val="18"/>
        </w:rPr>
        <w:t>Il punteggio relativo al prezzo viene attribuito come segue: Punti 30 verranno attribuiti alla Ditta che avrà offerto il totale complessivo triennale più basso.</w:t>
      </w:r>
    </w:p>
    <w:p>
      <w:pPr>
        <w:pStyle w:val="Normal"/>
        <w:spacing w:before="120" w:after="60"/>
        <w:rPr>
          <w:rFonts w:ascii="Titillium" w:hAnsi="Titillium"/>
          <w:sz w:val="18"/>
          <w:szCs w:val="18"/>
        </w:rPr>
      </w:pPr>
      <w:r>
        <w:rPr>
          <w:rFonts w:ascii="Titillium" w:hAnsi="Titillium"/>
          <w:sz w:val="18"/>
          <w:szCs w:val="18"/>
        </w:rPr>
        <w:t>Punti 0,00 alla ditta che avrà offerto il totale complessivo triennale pari all’importo a base d’asta.</w:t>
      </w:r>
    </w:p>
    <w:p>
      <w:pPr>
        <w:pStyle w:val="Normal"/>
        <w:spacing w:before="120" w:after="60"/>
        <w:rPr>
          <w:rFonts w:ascii="Titillium" w:hAnsi="Titillium"/>
          <w:sz w:val="18"/>
          <w:szCs w:val="18"/>
        </w:rPr>
      </w:pPr>
      <w:r>
        <w:rPr>
          <w:rFonts w:ascii="Titillium" w:hAnsi="Titillium"/>
          <w:sz w:val="18"/>
          <w:szCs w:val="18"/>
        </w:rPr>
        <w:t>Per le altre ditte il punteggio del prezzo sarà determinato in misura inversamente proporzionale al prezzo. (Prezzo offerto: prezzo più basso = 30:x).</w:t>
      </w:r>
    </w:p>
    <w:p>
      <w:pPr>
        <w:pStyle w:val="Normal"/>
        <w:spacing w:before="120" w:after="60"/>
        <w:rPr>
          <w:rFonts w:ascii="Titillium" w:hAnsi="Titillium"/>
          <w:sz w:val="18"/>
          <w:szCs w:val="18"/>
        </w:rPr>
      </w:pPr>
      <w:r>
        <w:rPr>
          <w:rFonts w:ascii="Titillium" w:hAnsi="Titillium"/>
          <w:sz w:val="18"/>
          <w:szCs w:val="18"/>
        </w:rPr>
      </w:r>
    </w:p>
    <w:p>
      <w:pPr>
        <w:pStyle w:val="Heading3"/>
        <w:numPr>
          <w:ilvl w:val="1"/>
          <w:numId w:val="3"/>
        </w:numPr>
        <w:ind w:hanging="426" w:left="426"/>
        <w:rPr/>
      </w:pPr>
      <w:bookmarkStart w:id="1858" w:name="_Ref497226795"/>
      <w:bookmarkStart w:id="1859" w:name="_Toc231396693"/>
      <w:bookmarkStart w:id="1860" w:name="Copia__Hlk144980418_1"/>
      <w:bookmarkEnd w:id="1860"/>
      <w:r>
        <w:rPr>
          <w:rFonts w:ascii="Titillium" w:hAnsi="Titillium"/>
          <w:iCs/>
          <w:sz w:val="18"/>
          <w:szCs w:val="18"/>
        </w:rPr>
        <w:t>METODO DI CALCOLO DEI PUNTEGGI</w:t>
      </w:r>
      <w:bookmarkEnd w:id="1858"/>
      <w:bookmarkEnd w:id="1859"/>
    </w:p>
    <w:p>
      <w:pPr>
        <w:pStyle w:val="Normal"/>
        <w:spacing w:before="120" w:after="60"/>
        <w:rPr>
          <w:rFonts w:ascii="Titillium" w:hAnsi="Titillium"/>
          <w:sz w:val="18"/>
          <w:szCs w:val="18"/>
        </w:rPr>
      </w:pPr>
      <w:r>
        <w:rPr>
          <w:rFonts w:ascii="Titillium" w:hAnsi="Titillium"/>
          <w:sz w:val="18"/>
          <w:szCs w:val="18"/>
        </w:rPr>
        <w:t xml:space="preserve">La commissione, terminata l’attribuzione dei punteggi relativi all’offerta tecnica e all’offerta economica per ciascun concorrente, procederà, </w:t>
      </w:r>
      <w:r>
        <w:rPr>
          <w:rFonts w:cs="Calibri" w:ascii="Calibri" w:hAnsi="Calibri"/>
          <w:sz w:val="22"/>
        </w:rPr>
        <w:t xml:space="preserve">, </w:t>
      </w:r>
      <w:r>
        <w:rPr>
          <w:rFonts w:ascii="Titillium" w:hAnsi="Titillium"/>
          <w:sz w:val="18"/>
          <w:szCs w:val="18"/>
        </w:rPr>
        <w:t>in relazione a ciascuna offerta, all’attribuzione dei punteggi complessivi.</w:t>
      </w:r>
    </w:p>
    <w:p>
      <w:pPr>
        <w:pStyle w:val="Normal"/>
        <w:spacing w:before="120" w:after="60"/>
        <w:rPr>
          <w:rFonts w:ascii="Titillium" w:hAnsi="Titillium"/>
          <w:sz w:val="18"/>
          <w:szCs w:val="18"/>
        </w:rPr>
      </w:pPr>
      <w:r>
        <w:rPr>
          <w:rFonts w:ascii="Titillium" w:hAnsi="Titillium"/>
          <w:sz w:val="18"/>
          <w:szCs w:val="18"/>
        </w:rPr>
        <w:t>Verranno prese in considerazione i valori fino due cifre decimali. Qualora si verificasse la presenza di valori con più di due decimali, la numerazione dopo la virgola sarà troncata al secondo decimale con arrotondamento a 1 se ≥ 5, a 0 se &lt; 5.</w:t>
      </w:r>
    </w:p>
    <w:p>
      <w:pPr>
        <w:pStyle w:val="Normal"/>
        <w:spacing w:before="120" w:after="60"/>
        <w:rPr>
          <w:rFonts w:ascii="Titillium" w:hAnsi="Titillium"/>
          <w:sz w:val="18"/>
          <w:szCs w:val="18"/>
        </w:rPr>
      </w:pPr>
      <w:r>
        <w:rPr>
          <w:rFonts w:ascii="Titillium" w:hAnsi="Titillium"/>
          <w:sz w:val="18"/>
          <w:szCs w:val="18"/>
        </w:rPr>
        <w:t>La presente procedura non prevede la riparametrazione dei punteggi.</w:t>
      </w:r>
    </w:p>
    <w:p>
      <w:pPr>
        <w:pStyle w:val="Normal"/>
        <w:spacing w:before="120" w:after="60"/>
        <w:rPr>
          <w:rFonts w:ascii="Titillium" w:hAnsi="Titillium"/>
          <w:sz w:val="18"/>
          <w:szCs w:val="18"/>
        </w:rPr>
      </w:pPr>
      <w:r>
        <w:rPr>
          <w:rFonts w:ascii="Titillium" w:hAnsi="Titillium"/>
          <w:sz w:val="18"/>
          <w:szCs w:val="18"/>
        </w:rPr>
        <w:t xml:space="preserve">La gara sarà aggiudicata al concorrente che avrà ottenuto il punteggio complessivo (offerta tecnica ed economica), più alto. </w:t>
      </w:r>
    </w:p>
    <w:p>
      <w:pPr>
        <w:pStyle w:val="Heading2"/>
        <w:numPr>
          <w:ilvl w:val="0"/>
          <w:numId w:val="3"/>
        </w:numPr>
        <w:rPr/>
      </w:pPr>
      <w:bookmarkStart w:id="1861" w:name="_Ref129797347"/>
      <w:bookmarkStart w:id="1862" w:name="_Toc231396694"/>
      <w:r>
        <w:rPr/>
        <w:t>COMMISSIONE GIUDICATRICE</w:t>
      </w:r>
      <w:bookmarkEnd w:id="1861"/>
      <w:bookmarkEnd w:id="1862"/>
    </w:p>
    <w:p>
      <w:pPr>
        <w:pStyle w:val="Normal"/>
        <w:tabs>
          <w:tab w:val="clear" w:pos="708"/>
          <w:tab w:val="left" w:pos="6521" w:leader="none"/>
        </w:tabs>
        <w:spacing w:before="120" w:after="60"/>
        <w:rPr/>
      </w:pPr>
      <w:r>
        <w:rPr>
          <w:rFonts w:cs="Calibri" w:ascii="Titillium" w:hAnsi="Titillium"/>
          <w:sz w:val="18"/>
          <w:szCs w:val="18"/>
        </w:rPr>
        <w:t>La commissione giudicatrice è nominata dopo la scadenza del termine per la presentazione delle offerte ed è composta da un numero dispari di componenti da 3 a 5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w:t>
      </w:r>
      <w:r>
        <w:rPr>
          <w:rFonts w:cs="Calibri" w:ascii="Titillium" w:hAnsi="Titillium"/>
          <w:sz w:val="18"/>
          <w:szCs w:val="24"/>
        </w:rPr>
        <w:t xml:space="preserve"> </w:t>
      </w:r>
    </w:p>
    <w:p>
      <w:pPr>
        <w:pStyle w:val="Default"/>
        <w:spacing w:before="60" w:after="60"/>
        <w:rPr/>
      </w:pPr>
      <w:r>
        <w:rPr>
          <w:rFonts w:cs="Garamond" w:ascii="Titillium" w:hAnsi="Titillium"/>
          <w:sz w:val="18"/>
          <w:szCs w:val="18"/>
        </w:rPr>
        <w:t>La composizione della commissione giudicatrice e i curricula dei componenti sono pubblicati sul sito istituzionale nella sezione “Amministrazione trasparente”.</w:t>
      </w:r>
    </w:p>
    <w:p>
      <w:pPr>
        <w:pStyle w:val="Normal"/>
        <w:spacing w:before="60" w:after="60"/>
        <w:rPr>
          <w:rFonts w:ascii="Titillium" w:hAnsi="Titillium" w:cs="Calibri"/>
          <w:sz w:val="18"/>
          <w:szCs w:val="18"/>
        </w:rPr>
      </w:pPr>
      <w:r>
        <w:rPr>
          <w:rFonts w:cs="Calibri" w:ascii="Titillium" w:hAnsi="Titillium"/>
          <w:sz w:val="18"/>
          <w:szCs w:val="18"/>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pPr>
        <w:pStyle w:val="Normal"/>
        <w:spacing w:before="60" w:after="60"/>
        <w:rPr>
          <w:rFonts w:ascii="Titillium" w:hAnsi="Titillium" w:cs="Calibri"/>
          <w:sz w:val="18"/>
          <w:szCs w:val="18"/>
        </w:rPr>
      </w:pPr>
      <w:r>
        <w:rPr>
          <w:rFonts w:cs="Calibri" w:ascii="Titillium" w:hAnsi="Titillium"/>
          <w:sz w:val="18"/>
          <w:szCs w:val="18"/>
        </w:rPr>
        <w:t>Il RUPA potrà avvalersi dell’ausilio della commissione giudicatrice ai fini della verifica della documentazione amministrativa e dell’anomalia delle offerte.</w:t>
      </w:r>
    </w:p>
    <w:p>
      <w:pPr>
        <w:pStyle w:val="Normal"/>
        <w:spacing w:before="60" w:after="60"/>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863" w:name="_Toc231396695"/>
      <w:bookmarkStart w:id="1864" w:name="_Ref130243943"/>
      <w:r>
        <w:rPr/>
        <w:t>SVOLGIMENTO DELLE OPERAZIONI DI GARA</w:t>
      </w:r>
      <w:bookmarkEnd w:id="1863"/>
      <w:bookmarkEnd w:id="1864"/>
      <w:r>
        <w:rPr/>
        <w:t xml:space="preserve"> </w:t>
      </w:r>
    </w:p>
    <w:p>
      <w:pPr>
        <w:pStyle w:val="Normal"/>
        <w:spacing w:before="60" w:after="60"/>
        <w:rPr>
          <w:rFonts w:ascii="Titillium" w:hAnsi="Titillium" w:eastAsia="SimSun" w:cs="Calibri"/>
          <w:sz w:val="18"/>
          <w:szCs w:val="18"/>
        </w:rPr>
      </w:pPr>
      <w:r>
        <w:rPr>
          <w:rFonts w:cs="Calibri" w:ascii="Titillium" w:hAnsi="Titillium"/>
          <w:sz w:val="18"/>
          <w:szCs w:val="18"/>
        </w:rPr>
        <w:t>La prima sessione ha luogo il giorno indicato sulla Piattaforma.</w:t>
      </w:r>
      <w:r>
        <w:rPr>
          <w:rFonts w:eastAsia="SimSun" w:cs="Calibri" w:ascii="Titillium" w:hAnsi="Titillium"/>
          <w:sz w:val="18"/>
          <w:szCs w:val="18"/>
        </w:rPr>
        <w:t xml:space="preserve"> </w:t>
      </w:r>
    </w:p>
    <w:p>
      <w:pPr>
        <w:pStyle w:val="Normal"/>
        <w:spacing w:before="60" w:after="60"/>
        <w:rPr>
          <w:rFonts w:ascii="Titillium" w:hAnsi="Titillium" w:cs="Calibri"/>
          <w:sz w:val="18"/>
          <w:szCs w:val="18"/>
        </w:rPr>
      </w:pPr>
      <w:r>
        <w:rPr>
          <w:rFonts w:cs="Calibri" w:ascii="Titillium" w:hAnsi="Titillium"/>
          <w:sz w:val="18"/>
          <w:szCs w:val="18"/>
        </w:rPr>
        <w:t>La PAD consente lo svolgimento delle sedute di gara preordinate all’esame:</w:t>
      </w:r>
    </w:p>
    <w:p>
      <w:pPr>
        <w:pStyle w:val="Normal"/>
        <w:spacing w:before="60" w:after="60"/>
        <w:rPr>
          <w:rFonts w:ascii="Titillium" w:hAnsi="Titillium" w:cs="Calibri"/>
          <w:sz w:val="18"/>
          <w:szCs w:val="18"/>
        </w:rPr>
      </w:pPr>
      <w:r>
        <w:rPr>
          <w:rFonts w:cs="Calibri" w:ascii="Titillium" w:hAnsi="Titillium"/>
          <w:sz w:val="18"/>
          <w:szCs w:val="18"/>
        </w:rPr>
        <w:t>•</w:t>
      </w:r>
      <w:r>
        <w:rPr>
          <w:rFonts w:cs="Calibri" w:ascii="Titillium" w:hAnsi="Titillium"/>
          <w:sz w:val="18"/>
          <w:szCs w:val="18"/>
        </w:rPr>
        <w:tab/>
        <w:t>della documentazione amministrativa;</w:t>
      </w:r>
    </w:p>
    <w:p>
      <w:pPr>
        <w:pStyle w:val="Normal"/>
        <w:spacing w:before="60" w:after="60"/>
        <w:rPr>
          <w:rFonts w:ascii="Titillium" w:hAnsi="Titillium" w:cs="Calibri"/>
          <w:sz w:val="18"/>
          <w:szCs w:val="18"/>
        </w:rPr>
      </w:pPr>
      <w:r>
        <w:rPr>
          <w:rFonts w:cs="Calibri" w:ascii="Titillium" w:hAnsi="Titillium"/>
          <w:sz w:val="18"/>
          <w:szCs w:val="18"/>
        </w:rPr>
        <w:t>•</w:t>
      </w:r>
      <w:r>
        <w:rPr>
          <w:rFonts w:cs="Calibri" w:ascii="Titillium" w:hAnsi="Titillium"/>
          <w:sz w:val="18"/>
          <w:szCs w:val="18"/>
        </w:rPr>
        <w:tab/>
        <w:t>delle offerte tecniche;</w:t>
      </w:r>
    </w:p>
    <w:p>
      <w:pPr>
        <w:pStyle w:val="Normal"/>
        <w:spacing w:before="60" w:after="60"/>
        <w:rPr>
          <w:rFonts w:ascii="Titillium" w:hAnsi="Titillium" w:cs="Calibri"/>
          <w:sz w:val="18"/>
          <w:szCs w:val="18"/>
        </w:rPr>
      </w:pPr>
      <w:r>
        <w:rPr>
          <w:rFonts w:cs="Calibri" w:ascii="Titillium" w:hAnsi="Titillium"/>
          <w:sz w:val="18"/>
          <w:szCs w:val="18"/>
        </w:rPr>
        <w:t>•</w:t>
      </w:r>
      <w:r>
        <w:rPr>
          <w:rFonts w:cs="Calibri" w:ascii="Titillium" w:hAnsi="Titillium"/>
          <w:sz w:val="18"/>
          <w:szCs w:val="18"/>
        </w:rPr>
        <w:tab/>
        <w:t>delle offerte economiche.</w:t>
      </w:r>
    </w:p>
    <w:p>
      <w:pPr>
        <w:pStyle w:val="Normal"/>
        <w:spacing w:before="60" w:after="60"/>
        <w:rPr>
          <w:rFonts w:ascii="Titillium" w:hAnsi="Titillium" w:cs="Calibri"/>
          <w:sz w:val="18"/>
          <w:szCs w:val="18"/>
        </w:rPr>
      </w:pPr>
      <w:r>
        <w:rPr>
          <w:rFonts w:cs="Calibri" w:ascii="Titillium" w:hAnsi="Titillium"/>
          <w:sz w:val="18"/>
          <w:szCs w:val="18"/>
        </w:rPr>
        <w:t>La PAD garantisce il rispetto delle disposizioni del codice in materia di riservatezza delle operazioni e delle informazioni relative alla procedura di gara, nonché il rispetto dei principi di trasparenza.</w:t>
      </w:r>
    </w:p>
    <w:p>
      <w:pPr>
        <w:pStyle w:val="Normal"/>
        <w:spacing w:before="60" w:after="60"/>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865" w:name="_Toc231396696"/>
      <w:bookmarkStart w:id="1866" w:name="_Ref132303128"/>
      <w:r>
        <w:rPr/>
        <w:t>VERIFICA DOCUMENTAZIONE AMMINISTRATIVA</w:t>
      </w:r>
      <w:bookmarkEnd w:id="1865"/>
      <w:bookmarkEnd w:id="1866"/>
    </w:p>
    <w:p>
      <w:pPr>
        <w:pStyle w:val="Normal"/>
        <w:spacing w:before="60" w:after="60"/>
        <w:rPr/>
      </w:pPr>
      <w:r>
        <w:rPr>
          <w:rFonts w:cs="Calibri" w:ascii="Titillium" w:hAnsi="Titillium"/>
          <w:sz w:val="18"/>
          <w:szCs w:val="18"/>
        </w:rPr>
        <w:t xml:space="preserve">Il Referente di gara accede alla documentazione amministrativa di ciascun concorrente, mentre l’offerta tecnica e l’offerta economica restano, chiuse, segrete e bloccate dal sistema, e procede a: </w:t>
      </w:r>
    </w:p>
    <w:p>
      <w:pPr>
        <w:pStyle w:val="Normal"/>
        <w:numPr>
          <w:ilvl w:val="0"/>
          <w:numId w:val="5"/>
        </w:numPr>
        <w:tabs>
          <w:tab w:val="clear" w:pos="708"/>
          <w:tab w:val="left" w:pos="851" w:leader="none"/>
        </w:tabs>
        <w:spacing w:before="60" w:after="60"/>
        <w:ind w:hanging="360" w:left="426"/>
        <w:rPr>
          <w:rFonts w:ascii="Titillium" w:hAnsi="Titillium" w:cs="Calibri"/>
          <w:sz w:val="18"/>
          <w:szCs w:val="18"/>
        </w:rPr>
      </w:pPr>
      <w:r>
        <w:rPr>
          <w:rFonts w:cs="Calibri" w:ascii="Titillium" w:hAnsi="Titillium"/>
          <w:sz w:val="18"/>
          <w:szCs w:val="18"/>
        </w:rPr>
        <w:t>controllare la completezza della documentazione amministrativa presentata;</w:t>
      </w:r>
    </w:p>
    <w:p>
      <w:pPr>
        <w:pStyle w:val="ListParagraph"/>
        <w:numPr>
          <w:ilvl w:val="0"/>
          <w:numId w:val="5"/>
        </w:numPr>
        <w:tabs>
          <w:tab w:val="clear" w:pos="708"/>
          <w:tab w:val="left" w:pos="851" w:leader="none"/>
        </w:tabs>
        <w:spacing w:before="60" w:after="60"/>
        <w:ind w:hanging="360" w:left="426"/>
        <w:contextualSpacing w:val="false"/>
        <w:rPr>
          <w:rFonts w:ascii="Titillium" w:hAnsi="Titillium" w:cs="Calibri"/>
          <w:sz w:val="18"/>
          <w:szCs w:val="18"/>
        </w:rPr>
      </w:pPr>
      <w:r>
        <w:rPr>
          <w:rFonts w:cs="Calibri" w:ascii="Titillium" w:hAnsi="Titillium"/>
          <w:sz w:val="18"/>
          <w:szCs w:val="18"/>
        </w:rPr>
        <w:t>verificare la conformità della documentazione amministrativa a quanto richiesto nel presente disciplinare;</w:t>
      </w:r>
    </w:p>
    <w:p>
      <w:pPr>
        <w:pStyle w:val="ListParagraph"/>
        <w:numPr>
          <w:ilvl w:val="0"/>
          <w:numId w:val="5"/>
        </w:numPr>
        <w:tabs>
          <w:tab w:val="clear" w:pos="708"/>
          <w:tab w:val="left" w:pos="851" w:leader="none"/>
        </w:tabs>
        <w:spacing w:before="60" w:after="60"/>
        <w:ind w:hanging="360" w:left="426"/>
        <w:contextualSpacing w:val="false"/>
        <w:rPr>
          <w:rFonts w:ascii="Titillium" w:hAnsi="Titillium" w:cs="Calibri"/>
          <w:sz w:val="18"/>
          <w:szCs w:val="18"/>
        </w:rPr>
      </w:pPr>
      <w:r>
        <w:rPr>
          <w:rFonts w:cs="Calibri" w:ascii="Titillium" w:hAnsi="Titillium"/>
          <w:sz w:val="18"/>
          <w:szCs w:val="18"/>
        </w:rPr>
        <w:t xml:space="preserve">attivare la procedura di soccorso istruttorio di cui al precedente paragrafo </w:t>
      </w:r>
      <w:r>
        <w:rPr>
          <w:rFonts w:cs="Calibri" w:ascii="Titillium" w:hAnsi="Titillium"/>
          <w:sz w:val="18"/>
          <w:szCs w:val="18"/>
        </w:rPr>
        <w:fldChar w:fldCharType="begin"/>
      </w:r>
      <w:r>
        <w:rPr>
          <w:rFonts w:cs="Calibri" w:ascii="Titillium" w:hAnsi="Titillium"/>
          <w:sz w:val="18"/>
          <w:szCs w:val="18"/>
        </w:rPr>
        <w:instrText xml:space="preserve"> REF _Ref129796272 \r \r \h </w:instrText>
      </w:r>
      <w:r>
        <w:rPr>
          <w:rFonts w:cs="Calibri" w:ascii="Titillium" w:hAnsi="Titillium"/>
          <w:sz w:val="18"/>
          <w:szCs w:val="18"/>
        </w:rPr>
        <w:fldChar w:fldCharType="separate"/>
      </w:r>
      <w:r>
        <w:rPr>
          <w:rFonts w:cs="Calibri" w:ascii="Titillium" w:hAnsi="Titillium"/>
          <w:sz w:val="18"/>
          <w:szCs w:val="18"/>
        </w:rPr>
        <w:t>14</w:t>
      </w:r>
      <w:r>
        <w:rPr>
          <w:rFonts w:cs="Calibri" w:ascii="Titillium" w:hAnsi="Titillium"/>
          <w:sz w:val="18"/>
          <w:szCs w:val="18"/>
        </w:rPr>
        <w:fldChar w:fldCharType="end"/>
      </w:r>
      <w:r>
        <w:rPr>
          <w:rFonts w:cs="Calibri" w:ascii="Titillium" w:hAnsi="Titillium"/>
          <w:sz w:val="18"/>
          <w:szCs w:val="18"/>
        </w:rPr>
        <w:t xml:space="preserve">, se necessario. </w:t>
      </w:r>
    </w:p>
    <w:p>
      <w:pPr>
        <w:pStyle w:val="Normal"/>
        <w:tabs>
          <w:tab w:val="clear" w:pos="708"/>
          <w:tab w:val="left" w:pos="851" w:leader="none"/>
        </w:tabs>
        <w:spacing w:before="60" w:after="60"/>
        <w:ind w:left="66"/>
        <w:rPr>
          <w:rFonts w:ascii="Titillium" w:hAnsi="Titillium" w:cs="Calibri"/>
          <w:sz w:val="18"/>
          <w:szCs w:val="18"/>
        </w:rPr>
      </w:pPr>
      <w:r>
        <w:rPr>
          <w:rFonts w:cs="Calibri" w:ascii="Titillium" w:hAnsi="Titillium"/>
          <w:sz w:val="18"/>
          <w:szCs w:val="18"/>
        </w:rPr>
        <w:t>Gli eventuali provvedimenti di esclusione dalla procedura di gara sono comunicati entro cinque giorni dalla loro adozione.</w:t>
      </w:r>
      <w:r>
        <w:rPr/>
        <w:t xml:space="preserve"> </w:t>
      </w:r>
      <w:r>
        <w:rPr>
          <w:rFonts w:cs="Calibri" w:ascii="Titillium" w:hAnsi="Titillium"/>
          <w:sz w:val="18"/>
          <w:szCs w:val="18"/>
        </w:rPr>
        <w:t xml:space="preserve">È fatta salva la possibilità di chiedere agli offerenti, in qualsiasi momento nel corso della procedura, di presentare tutti i documenti complementari o parte di essi, qualora questo sia necessario per assicurare il corretto svolgimento della procedura. </w:t>
      </w:r>
    </w:p>
    <w:p>
      <w:pPr>
        <w:pStyle w:val="Normal"/>
        <w:tabs>
          <w:tab w:val="clear" w:pos="708"/>
          <w:tab w:val="left" w:pos="851" w:leader="none"/>
        </w:tabs>
        <w:spacing w:before="60" w:after="60"/>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1867" w:name="_Toc231396697"/>
      <w:bookmarkStart w:id="1868" w:name="_Ref138148356"/>
      <w:bookmarkStart w:id="1869" w:name="_Ref132303065"/>
      <w:r>
        <w:rPr/>
        <w:t>VALUTAZIONE DELLE OFFERTE TECNICHE ED ECONOMICHE</w:t>
      </w:r>
      <w:bookmarkEnd w:id="1868"/>
      <w:bookmarkEnd w:id="1869"/>
      <w:r>
        <w:rPr/>
        <w:t>.</w:t>
      </w:r>
      <w:bookmarkEnd w:id="1867"/>
    </w:p>
    <w:p>
      <w:pPr>
        <w:pStyle w:val="Normal"/>
        <w:spacing w:before="60" w:after="60"/>
        <w:rPr>
          <w:rFonts w:ascii="Titillium" w:hAnsi="Titillium" w:cs="Calibri"/>
          <w:sz w:val="18"/>
          <w:szCs w:val="18"/>
        </w:rPr>
      </w:pPr>
      <w:r>
        <w:rPr>
          <w:rFonts w:cs="Calibri" w:ascii="Titillium" w:hAnsi="Titillium"/>
          <w:sz w:val="18"/>
          <w:szCs w:val="18"/>
        </w:rPr>
        <w:t>La data e l’ora in cui si procede all’apertura delle offerte tecniche sono comunicate tramite la PAD ai concorrenti ammessi alla presente fase di gara.</w:t>
      </w:r>
    </w:p>
    <w:p>
      <w:pPr>
        <w:pStyle w:val="Normal"/>
        <w:spacing w:before="60" w:after="60"/>
        <w:rPr>
          <w:rFonts w:ascii="Titillium" w:hAnsi="Titillium" w:cs="Calibri"/>
          <w:sz w:val="18"/>
          <w:szCs w:val="18"/>
        </w:rPr>
      </w:pPr>
      <w:r>
        <w:rPr>
          <w:rFonts w:cs="Calibri" w:ascii="Titillium" w:hAnsi="Titillium"/>
          <w:sz w:val="18"/>
          <w:szCs w:val="18"/>
        </w:rPr>
        <w:t xml:space="preserve">Il Presidente della Commissione procede all’apertura delle offerte presentate. </w:t>
      </w:r>
    </w:p>
    <w:p>
      <w:pPr>
        <w:pStyle w:val="Normal"/>
        <w:spacing w:before="60" w:after="60"/>
        <w:rPr>
          <w:rFonts w:ascii="Titillium" w:hAnsi="Titillium" w:cs="Calibri"/>
          <w:sz w:val="18"/>
          <w:szCs w:val="18"/>
        </w:rPr>
      </w:pPr>
      <w:r>
        <w:rPr>
          <w:rFonts w:cs="Calibri" w:ascii="Titillium" w:hAnsi="Titillium"/>
          <w:sz w:val="18"/>
          <w:szCs w:val="18"/>
        </w:rPr>
        <w:t>La commissione giudicatrice procede all’esame e valutazione delle offerte tecniche presentate dai concorrenti e all’assegnazione dei relativi punteggi applicando i criteri e le formule indicati nel bando e nel presente disciplinare. Gli esiti della valutazione sono registrati dalla PAD.</w:t>
      </w:r>
    </w:p>
    <w:p>
      <w:pPr>
        <w:pStyle w:val="Normal"/>
        <w:rPr>
          <w:rFonts w:ascii="Titillium" w:hAnsi="Titillium"/>
          <w:sz w:val="20"/>
          <w:szCs w:val="20"/>
        </w:rPr>
      </w:pPr>
      <w:r>
        <w:rPr>
          <w:rFonts w:cs="Calibri" w:ascii="Titillium" w:hAnsi="Titillium"/>
          <w:sz w:val="18"/>
          <w:szCs w:val="18"/>
        </w:rPr>
        <w:t>La commissione giudicatrice rende visibile ai concorrenti:</w:t>
      </w:r>
    </w:p>
    <w:p>
      <w:pPr>
        <w:pStyle w:val="ListParagraph"/>
        <w:numPr>
          <w:ilvl w:val="3"/>
          <w:numId w:val="37"/>
        </w:numPr>
        <w:ind w:hanging="360" w:left="426"/>
        <w:rPr>
          <w:rFonts w:ascii="Titillium" w:hAnsi="Titillium"/>
          <w:sz w:val="20"/>
          <w:szCs w:val="20"/>
        </w:rPr>
      </w:pPr>
      <w:r>
        <w:rPr>
          <w:rFonts w:cs="Calibri" w:ascii="Titillium" w:hAnsi="Titillium"/>
          <w:sz w:val="18"/>
          <w:szCs w:val="18"/>
        </w:rPr>
        <w:t>i punteggi tecnici attribuiti alle singole offerte tecniche;</w:t>
      </w:r>
    </w:p>
    <w:p>
      <w:pPr>
        <w:pStyle w:val="ListParagraph"/>
        <w:numPr>
          <w:ilvl w:val="3"/>
          <w:numId w:val="37"/>
        </w:numPr>
        <w:ind w:hanging="360" w:left="426"/>
        <w:rPr>
          <w:rFonts w:ascii="Titillium" w:hAnsi="Titillium" w:cs="Calibri"/>
          <w:sz w:val="18"/>
          <w:szCs w:val="18"/>
        </w:rPr>
      </w:pPr>
      <w:r>
        <w:rPr>
          <w:rFonts w:cs="Calibri" w:ascii="Titillium" w:hAnsi="Titillium"/>
          <w:sz w:val="18"/>
          <w:szCs w:val="18"/>
        </w:rPr>
        <w:t>le eventuali esclusioni dalla gara dei concorrenti.</w:t>
      </w:r>
    </w:p>
    <w:p>
      <w:pPr>
        <w:pStyle w:val="Normal"/>
        <w:rPr>
          <w:rFonts w:ascii="Titillium" w:hAnsi="Titillium" w:cs="Calibri"/>
          <w:sz w:val="18"/>
          <w:szCs w:val="18"/>
        </w:rPr>
      </w:pPr>
      <w:r>
        <w:rPr>
          <w:rFonts w:cs="Calibri" w:ascii="Titillium" w:hAnsi="Titillium"/>
          <w:sz w:val="18"/>
          <w:szCs w:val="18"/>
        </w:rPr>
        <w:t xml:space="preserve">Al termine delle operazioni di cui sopra la PAD consente la prosecuzione della procedura ai soli concorrenti ammessi alla valutazione delle offerte economiche. </w:t>
      </w:r>
    </w:p>
    <w:p>
      <w:pPr>
        <w:pStyle w:val="Normal"/>
        <w:rPr>
          <w:rFonts w:ascii="Titillium" w:hAnsi="Titillium"/>
          <w:sz w:val="20"/>
          <w:szCs w:val="20"/>
        </w:rPr>
      </w:pPr>
      <w:r>
        <w:rPr>
          <w:rFonts w:ascii="Titillium" w:hAnsi="Titillium"/>
          <w:sz w:val="20"/>
          <w:szCs w:val="20"/>
        </w:rPr>
      </w:r>
    </w:p>
    <w:p>
      <w:pPr>
        <w:pStyle w:val="Normal"/>
        <w:rPr>
          <w:rFonts w:ascii="Titillium" w:hAnsi="Titillium" w:cs="Calibri"/>
          <w:sz w:val="18"/>
          <w:szCs w:val="18"/>
        </w:rPr>
      </w:pPr>
      <w:r>
        <w:rPr>
          <w:rFonts w:cs="Calibri" w:ascii="Titillium" w:hAnsi="Titillium"/>
          <w:sz w:val="18"/>
          <w:szCs w:val="18"/>
        </w:rPr>
        <w:t>Il Presidente della Commissione procede all’apertura delle offerte economiche.</w:t>
      </w:r>
    </w:p>
    <w:p>
      <w:pPr>
        <w:pStyle w:val="Normal"/>
        <w:rPr>
          <w:rFonts w:ascii="Titillium" w:hAnsi="Titillium" w:cs="Calibri"/>
          <w:sz w:val="18"/>
          <w:szCs w:val="18"/>
        </w:rPr>
      </w:pPr>
      <w:r>
        <w:rPr>
          <w:rFonts w:cs="Calibri" w:ascii="Titillium" w:hAnsi="Titillium"/>
          <w:sz w:val="18"/>
          <w:szCs w:val="18"/>
        </w:rPr>
        <w:t xml:space="preserve">La commissione giudicatrice procede alla valutazione delle offerte economiche, secondo i criteri e le modalità descritte nel disciplinare e, successivamente, all’individuazione dell’unico parametro numerico finale per la formulazione della graduatoria. </w:t>
      </w:r>
    </w:p>
    <w:p>
      <w:pPr>
        <w:pStyle w:val="Normal"/>
        <w:rPr>
          <w:rFonts w:ascii="Titillium" w:hAnsi="Titillium" w:cs="Calibri"/>
          <w:sz w:val="18"/>
          <w:szCs w:val="18"/>
        </w:rPr>
      </w:pPr>
      <w:r>
        <w:rPr>
          <w:rFonts w:cs="Calibri" w:ascii="Titillium" w:hAnsi="Titillium"/>
          <w:sz w:val="18"/>
          <w:szCs w:val="18"/>
        </w:rPr>
        <w:t>Nel caso in cui le offerte di due o più concorrenti ottengano lo stesso punteggio complessivo, ma punteggi differenti per il prezzo e per tutti gli altri elementi di valutazione, è collocato primo in graduatoria il concorrente che ha ottenuto il miglior punteggio sull’offerta tecnica.</w:t>
      </w:r>
    </w:p>
    <w:p>
      <w:pPr>
        <w:pStyle w:val="Normal"/>
        <w:spacing w:before="60" w:after="60"/>
        <w:rPr>
          <w:rFonts w:ascii="Titillium" w:hAnsi="Titillium" w:cs="Calibri"/>
          <w:sz w:val="18"/>
          <w:szCs w:val="18"/>
        </w:rPr>
      </w:pPr>
      <w:r>
        <w:rPr>
          <w:rFonts w:cs="Calibri" w:ascii="Titillium" w:hAnsi="Titillium"/>
          <w:sz w:val="18"/>
          <w:szCs w:val="18"/>
        </w:rPr>
        <w:t xml:space="preserve">Nel caso in cui le offerte di due o più concorrenti ottengano lo stesso punteggio complessivo e gli stessi punteggi parziali per il prezzo e per l’offerta tecnica, i predetti concorrenti, su richiesta della stazione appaltante, presentano un’offerta migliorativa sul prezzo entro 5 giorni. La richiesta è effettuata secondo le modalità previste al paragrafo 2.3. </w:t>
      </w:r>
    </w:p>
    <w:p>
      <w:pPr>
        <w:pStyle w:val="Normal"/>
        <w:spacing w:before="60" w:after="60"/>
        <w:rPr>
          <w:rFonts w:ascii="Titillium" w:hAnsi="Titillium"/>
          <w:strike/>
          <w:sz w:val="18"/>
          <w:szCs w:val="18"/>
        </w:rPr>
      </w:pPr>
      <w:r>
        <w:rPr>
          <w:rFonts w:cs="Calibri" w:ascii="Titillium" w:hAnsi="Titillium"/>
          <w:sz w:val="18"/>
          <w:szCs w:val="18"/>
        </w:rPr>
        <w:t xml:space="preserve">È collocato primo in graduatoria il concorrente che ha presentato la migliore offerta. Ove permanga </w:t>
      </w:r>
      <w:r>
        <w:rPr>
          <w:rFonts w:cs="Calibri" w:ascii="Titillium" w:hAnsi="Titillium"/>
          <w:i/>
          <w:iCs/>
          <w:sz w:val="18"/>
          <w:szCs w:val="18"/>
        </w:rPr>
        <w:t>l’ex aequo</w:t>
      </w:r>
      <w:r>
        <w:rPr>
          <w:rFonts w:cs="Calibri" w:ascii="Titillium" w:hAnsi="Titillium"/>
          <w:sz w:val="18"/>
          <w:szCs w:val="18"/>
        </w:rPr>
        <w:t xml:space="preserve"> la commissione procede mediante sorteggio </w:t>
      </w:r>
      <w:r>
        <w:rPr>
          <w:rFonts w:ascii="Titillium" w:hAnsi="Titillium"/>
          <w:sz w:val="18"/>
          <w:szCs w:val="18"/>
        </w:rPr>
        <w:t>ad individuare il concorrente che verrà collocato primo nella graduatoria.</w:t>
      </w:r>
    </w:p>
    <w:p>
      <w:pPr>
        <w:pStyle w:val="Normal"/>
        <w:spacing w:before="60" w:after="60"/>
        <w:rPr>
          <w:rFonts w:ascii="Titillium" w:hAnsi="Titillium"/>
          <w:sz w:val="18"/>
          <w:szCs w:val="18"/>
        </w:rPr>
      </w:pPr>
      <w:r>
        <w:rPr>
          <w:rFonts w:ascii="Titillium" w:hAnsi="Titillium"/>
          <w:sz w:val="18"/>
          <w:szCs w:val="18"/>
        </w:rPr>
        <w:t>La data e l’ora in cui si procede al sorteggio sono comunicate tramite la PAD secondo le modalità previste al paragrafo 2.3.</w:t>
      </w:r>
    </w:p>
    <w:p>
      <w:pPr>
        <w:pStyle w:val="Normal"/>
        <w:spacing w:before="60" w:after="60"/>
        <w:rPr>
          <w:rFonts w:ascii="Titillium" w:hAnsi="Titillium" w:cs="Calibri"/>
          <w:sz w:val="18"/>
          <w:szCs w:val="18"/>
        </w:rPr>
      </w:pPr>
      <w:r>
        <w:rPr>
          <w:rFonts w:cs="Calibri" w:ascii="Titillium" w:hAnsi="Titillium"/>
          <w:sz w:val="18"/>
          <w:szCs w:val="18"/>
        </w:rPr>
        <w:t>La commissione giudicatrice rende visibile ai concorrenti i prezzi offerti.</w:t>
      </w:r>
    </w:p>
    <w:p>
      <w:pPr>
        <w:pStyle w:val="Normal"/>
        <w:spacing w:before="60" w:after="60"/>
        <w:rPr/>
      </w:pPr>
      <w:r>
        <w:rPr>
          <w:rFonts w:cs="Calibri" w:ascii="Titillium" w:hAnsi="Titillium"/>
          <w:sz w:val="18"/>
          <w:szCs w:val="18"/>
        </w:rPr>
        <w:t>All’esito delle operazioni di cui sopra, La commissione giudicatrice redige la graduatoria.</w:t>
      </w:r>
    </w:p>
    <w:p>
      <w:pPr>
        <w:pStyle w:val="Normal"/>
        <w:spacing w:before="60" w:after="60"/>
        <w:rPr/>
      </w:pPr>
      <w:r>
        <w:rPr>
          <w:rFonts w:cs="Calibri" w:ascii="Titillium" w:hAnsi="Titillium"/>
          <w:sz w:val="18"/>
          <w:szCs w:val="18"/>
        </w:rPr>
        <w:t>L’offerta è esclusa in caso di:</w:t>
      </w:r>
    </w:p>
    <w:p>
      <w:pPr>
        <w:pStyle w:val="ListParagraph"/>
        <w:numPr>
          <w:ilvl w:val="0"/>
          <w:numId w:val="41"/>
        </w:numPr>
        <w:spacing w:before="60" w:after="60"/>
        <w:contextualSpacing w:val="false"/>
        <w:rPr>
          <w:rFonts w:ascii="Titillium" w:hAnsi="Titillium" w:cs="Calibri"/>
          <w:sz w:val="18"/>
          <w:szCs w:val="18"/>
        </w:rPr>
      </w:pPr>
      <w:r>
        <w:rPr>
          <w:rFonts w:cs="Calibri" w:ascii="Titillium" w:hAnsi="Titillium"/>
          <w:sz w:val="18"/>
          <w:szCs w:val="18"/>
        </w:rPr>
        <w:t>mancata separazione dell’offerta economica dall’offerta tecnica, ovvero inserimento di elementi concernenti il prezzo nella documentazione amministrativa o nell’offerta tecnica;</w:t>
      </w:r>
    </w:p>
    <w:p>
      <w:pPr>
        <w:pStyle w:val="ListParagraph"/>
        <w:numPr>
          <w:ilvl w:val="0"/>
          <w:numId w:val="41"/>
        </w:numPr>
        <w:spacing w:before="60" w:after="60"/>
        <w:contextualSpacing w:val="false"/>
        <w:rPr/>
      </w:pPr>
      <w:r>
        <w:rPr>
          <w:rFonts w:cs="Calibri" w:ascii="Titillium" w:hAnsi="Titillium"/>
          <w:sz w:val="18"/>
          <w:szCs w:val="18"/>
        </w:rPr>
        <w:t>presentazione di</w:t>
      </w:r>
      <w:r>
        <w:rPr>
          <w:rFonts w:cs="Calibri" w:ascii="Titillium" w:hAnsi="Titillium"/>
          <w:b/>
          <w:sz w:val="18"/>
          <w:szCs w:val="18"/>
        </w:rPr>
        <w:t xml:space="preserve"> </w:t>
      </w:r>
      <w:r>
        <w:rPr>
          <w:rFonts w:cs="Calibri" w:ascii="Titillium" w:hAnsi="Titillium"/>
          <w:sz w:val="18"/>
          <w:szCs w:val="18"/>
        </w:rPr>
        <w:t>offerte parziali, plurime, condizionate, alternative oppure irregolari in quanto non rispettano i documenti di gara, ivi comprese le specifiche tecniche, o anormalmente basse;</w:t>
      </w:r>
    </w:p>
    <w:p>
      <w:pPr>
        <w:pStyle w:val="ListParagraph"/>
        <w:numPr>
          <w:ilvl w:val="0"/>
          <w:numId w:val="41"/>
        </w:numPr>
        <w:spacing w:before="60" w:after="60"/>
        <w:contextualSpacing w:val="false"/>
        <w:rPr>
          <w:rFonts w:ascii="Titillium" w:hAnsi="Titillium" w:cs="Calibri"/>
          <w:sz w:val="18"/>
          <w:szCs w:val="18"/>
        </w:rPr>
      </w:pPr>
      <w:r>
        <w:rPr>
          <w:rFonts w:cs="Calibri" w:ascii="Titillium" w:hAnsi="Titillium"/>
          <w:sz w:val="18"/>
          <w:szCs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 nei casi in cui il bando che non abbia previsto espressamente tale possibilità.</w:t>
      </w:r>
    </w:p>
    <w:p>
      <w:pPr>
        <w:pStyle w:val="ListParagraph"/>
        <w:numPr>
          <w:ilvl w:val="0"/>
          <w:numId w:val="41"/>
        </w:numPr>
        <w:spacing w:before="60" w:after="60"/>
        <w:contextualSpacing w:val="false"/>
        <w:rPr/>
      </w:pPr>
      <w:r>
        <w:rPr>
          <w:rFonts w:cs="Calibri" w:ascii="Titillium" w:hAnsi="Titillium"/>
          <w:sz w:val="18"/>
          <w:szCs w:val="18"/>
        </w:rPr>
        <w:t xml:space="preserve">mancato superamento della soglia di sbarramento per l’offerta tecnica. </w:t>
      </w:r>
    </w:p>
    <w:p>
      <w:pPr>
        <w:pStyle w:val="Normal"/>
        <w:spacing w:before="60" w:after="60"/>
        <w:ind w:left="66"/>
        <w:rPr/>
      </w:pPr>
      <w:r>
        <w:rPr/>
      </w:r>
    </w:p>
    <w:p>
      <w:pPr>
        <w:pStyle w:val="Heading2"/>
        <w:numPr>
          <w:ilvl w:val="0"/>
          <w:numId w:val="3"/>
        </w:numPr>
        <w:rPr/>
      </w:pPr>
      <w:bookmarkStart w:id="1870" w:name="_Toc231396698"/>
      <w:bookmarkStart w:id="1871" w:name="_Toc380501884"/>
      <w:bookmarkStart w:id="1872" w:name="_Toc391035997"/>
      <w:bookmarkStart w:id="1873" w:name="_Toc391036070"/>
      <w:bookmarkStart w:id="1874" w:name="_Toc392577511"/>
      <w:bookmarkStart w:id="1875" w:name="_Toc393110578"/>
      <w:bookmarkStart w:id="1876" w:name="_Toc393112142"/>
      <w:bookmarkStart w:id="1877" w:name="_Toc393187859"/>
      <w:bookmarkStart w:id="1878" w:name="_Toc393272615"/>
      <w:bookmarkStart w:id="1879" w:name="_Toc393272673"/>
      <w:bookmarkStart w:id="1880" w:name="_Toc393283189"/>
      <w:bookmarkStart w:id="1881" w:name="_Toc393700848"/>
      <w:bookmarkStart w:id="1882" w:name="_Toc393706921"/>
      <w:bookmarkStart w:id="1883" w:name="_Toc397346836"/>
      <w:bookmarkStart w:id="1884" w:name="_Toc397422877"/>
      <w:bookmarkStart w:id="1885" w:name="_Toc403471284"/>
      <w:bookmarkStart w:id="1886" w:name="_Toc406058392"/>
      <w:bookmarkStart w:id="1887" w:name="_Toc406754193"/>
      <w:bookmarkStart w:id="1888" w:name="_Toc416423376"/>
      <w:bookmarkStart w:id="1889" w:name="_Toc381776132"/>
      <w:bookmarkStart w:id="1890" w:name="_Toc3539903981"/>
      <w:bookmarkStart w:id="1891" w:name="_Toc483907003"/>
      <w:bookmarkStart w:id="1892" w:name="_Toc484010753"/>
      <w:bookmarkStart w:id="1893" w:name="_Toc484010875"/>
      <w:bookmarkStart w:id="1894" w:name="_Toc484010999"/>
      <w:bookmarkStart w:id="1895" w:name="_Toc484011121"/>
      <w:bookmarkStart w:id="1896" w:name="_Toc484011243"/>
      <w:bookmarkStart w:id="1897" w:name="_Toc484011718"/>
      <w:bookmarkStart w:id="1898" w:name="_Toc484097792"/>
      <w:bookmarkStart w:id="1899" w:name="_Toc484428966"/>
      <w:bookmarkStart w:id="1900" w:name="_Toc484429136"/>
      <w:bookmarkStart w:id="1901" w:name="_Toc484438711"/>
      <w:bookmarkStart w:id="1902" w:name="_Toc484438835"/>
      <w:bookmarkStart w:id="1903" w:name="_Toc484438959"/>
      <w:bookmarkStart w:id="1904" w:name="_Toc484439879"/>
      <w:bookmarkStart w:id="1905" w:name="_Toc484440002"/>
      <w:bookmarkStart w:id="1906" w:name="_Toc484440126"/>
      <w:bookmarkStart w:id="1907" w:name="_Toc484440486"/>
      <w:bookmarkStart w:id="1908" w:name="_Toc484448146"/>
      <w:bookmarkStart w:id="1909" w:name="_Toc484448270"/>
      <w:bookmarkStart w:id="1910" w:name="_Toc484448394"/>
      <w:bookmarkStart w:id="1911" w:name="_Toc484448518"/>
      <w:bookmarkStart w:id="1912" w:name="_Toc484448642"/>
      <w:bookmarkStart w:id="1913" w:name="_Toc484448766"/>
      <w:bookmarkStart w:id="1914" w:name="_Toc484448889"/>
      <w:bookmarkStart w:id="1915" w:name="_Toc484449013"/>
      <w:bookmarkStart w:id="1916" w:name="_Toc484449137"/>
      <w:bookmarkStart w:id="1917" w:name="_Toc484526632"/>
      <w:bookmarkStart w:id="1918" w:name="_Toc484605352"/>
      <w:bookmarkStart w:id="1919" w:name="_Toc484605476"/>
      <w:bookmarkStart w:id="1920" w:name="_Toc484688345"/>
      <w:bookmarkStart w:id="1921" w:name="_Toc484688900"/>
      <w:bookmarkStart w:id="1922" w:name="_Toc485218335"/>
      <w:bookmarkStart w:id="1923" w:name="_Toc381775856"/>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rPr/>
        <w:t>VERIFICA DI ANOMALIA DELLE OFFERTE</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pStyle w:val="Normal"/>
        <w:spacing w:before="60" w:after="60"/>
        <w:rPr>
          <w:rFonts w:ascii="Titillium" w:hAnsi="Titillium" w:cs="Calibri"/>
          <w:sz w:val="18"/>
          <w:szCs w:val="18"/>
        </w:rPr>
      </w:pPr>
      <w:r>
        <w:rPr>
          <w:rFonts w:cs="Calibri" w:ascii="Titillium" w:hAnsi="Titillium"/>
          <w:sz w:val="18"/>
          <w:szCs w:val="18"/>
        </w:rPr>
        <w:t>La stazione appaltante sottoporrà a verifica l’offerta più bassa.</w:t>
      </w:r>
    </w:p>
    <w:p>
      <w:pPr>
        <w:pStyle w:val="Normal"/>
        <w:spacing w:before="60" w:after="60"/>
        <w:rPr>
          <w:rFonts w:ascii="Titillium" w:hAnsi="Titillium" w:cs="Calibri"/>
          <w:sz w:val="18"/>
          <w:szCs w:val="18"/>
        </w:rPr>
      </w:pPr>
      <w:r>
        <w:rPr>
          <w:rFonts w:cs="Calibri" w:ascii="Titillium" w:hAnsi="Titillium"/>
          <w:sz w:val="18"/>
          <w:szCs w:val="18"/>
        </w:rPr>
        <w:t>Nel caso in cui la prima migliore offerta appaia anormalmente bassa, il RUPA ne valuta la congruità, serietà, sostenibilità e realizzabilità.</w:t>
      </w:r>
    </w:p>
    <w:p>
      <w:pPr>
        <w:pStyle w:val="Normal"/>
        <w:spacing w:before="60" w:after="60"/>
        <w:rPr>
          <w:rFonts w:ascii="Titillium" w:hAnsi="Titillium" w:cs="Calibri"/>
          <w:sz w:val="18"/>
          <w:szCs w:val="18"/>
        </w:rPr>
      </w:pPr>
      <w:r>
        <w:rPr>
          <w:rFonts w:cs="Calibri" w:ascii="Titillium" w:hAnsi="Titillium"/>
          <w:sz w:val="18"/>
          <w:szCs w:val="18"/>
        </w:rPr>
        <w:t xml:space="preserve">Qualora tale offerta risulti anomala, si procede con le stesse modalità nei confronti delle successive offerte ritenute anormalmente basse, fino ad individuare la migliore offerta ritenuta non anomala. </w:t>
      </w:r>
    </w:p>
    <w:p>
      <w:pPr>
        <w:pStyle w:val="Normal"/>
        <w:spacing w:before="60" w:after="60"/>
        <w:rPr>
          <w:rFonts w:ascii="Titillium" w:hAnsi="Titillium" w:cs="Calibri"/>
          <w:sz w:val="18"/>
          <w:szCs w:val="18"/>
        </w:rPr>
      </w:pPr>
      <w:r>
        <w:rPr>
          <w:rFonts w:cs="Calibri" w:ascii="Titillium" w:hAnsi="Titillium"/>
          <w:sz w:val="18"/>
          <w:szCs w:val="18"/>
        </w:rPr>
        <w:t xml:space="preserve">Il concorrente allega, in sede di presentazione dell’offerta economica, le giustificazioni relative alle voci di prezzo e di costo. La mancata presentazione anticipata delle giustificazioni non è causa di esclusione. </w:t>
      </w:r>
    </w:p>
    <w:p>
      <w:pPr>
        <w:pStyle w:val="Normal"/>
        <w:spacing w:before="60" w:after="60"/>
        <w:rPr>
          <w:rFonts w:ascii="Titillium" w:hAnsi="Titillium" w:cs="Calibri"/>
          <w:sz w:val="18"/>
          <w:szCs w:val="18"/>
        </w:rPr>
      </w:pPr>
      <w:r>
        <w:rPr>
          <w:rFonts w:cs="Calibri" w:ascii="Titillium" w:hAnsi="Titillium"/>
          <w:sz w:val="18"/>
          <w:szCs w:val="18"/>
        </w:rPr>
        <w:t>Il RUPA richiede al concorrente la presentazione delle spiegazioni, se del caso, indicando le componenti specifiche dell’offerta ritenute anomale.</w:t>
      </w:r>
    </w:p>
    <w:p>
      <w:pPr>
        <w:pStyle w:val="Normal"/>
        <w:spacing w:before="60" w:after="60"/>
        <w:rPr>
          <w:rFonts w:ascii="Titillium" w:hAnsi="Titillium" w:cs="Calibri"/>
          <w:sz w:val="18"/>
          <w:szCs w:val="18"/>
        </w:rPr>
      </w:pPr>
      <w:r>
        <w:rPr>
          <w:rFonts w:cs="Calibri" w:ascii="Titillium" w:hAnsi="Titillium"/>
          <w:sz w:val="18"/>
          <w:szCs w:val="18"/>
        </w:rPr>
        <w:t>A tal fine, assegna un termine non superiore a quindici giorni dal ricevimento della richiesta.</w:t>
      </w:r>
    </w:p>
    <w:p>
      <w:pPr>
        <w:pStyle w:val="Normal"/>
        <w:spacing w:before="60" w:after="60"/>
        <w:rPr>
          <w:rFonts w:ascii="Titillium" w:hAnsi="Titillium" w:cs="Calibri"/>
          <w:sz w:val="18"/>
          <w:szCs w:val="18"/>
        </w:rPr>
      </w:pPr>
      <w:r>
        <w:rPr>
          <w:rFonts w:cs="Calibri" w:ascii="Titillium" w:hAnsi="Titillium"/>
          <w:sz w:val="18"/>
          <w:szCs w:val="18"/>
        </w:rPr>
        <w:t>Il RUPA, esaminate le spiegazioni fornite dall’offerente, ove le ritenga non sufficienti ad escludere l’anomalia, può chiedere, anche mediante audizione orale, ulteriori chiarimenti, assegnando un termine perentorio per il riscontro.</w:t>
      </w:r>
    </w:p>
    <w:p>
      <w:pPr>
        <w:pStyle w:val="Normal"/>
        <w:spacing w:before="60" w:after="60"/>
        <w:rPr>
          <w:rFonts w:ascii="Titillium" w:hAnsi="Titillium" w:cs="Calibri"/>
          <w:sz w:val="18"/>
          <w:szCs w:val="18"/>
        </w:rPr>
      </w:pPr>
      <w:r>
        <w:rPr>
          <w:rFonts w:cs="Calibri" w:ascii="Titillium" w:hAnsi="Titillium"/>
          <w:sz w:val="18"/>
          <w:szCs w:val="18"/>
        </w:rPr>
        <w:t>Il RUPA esclude le offerte che, in base all’esame degli elementi forniti con le spiegazioni risultino, nel complesso, inaffidabili.</w:t>
      </w:r>
    </w:p>
    <w:p>
      <w:pPr>
        <w:pStyle w:val="ListParagraph"/>
        <w:ind w:left="0"/>
        <w:rPr>
          <w:rFonts w:ascii="Titillium" w:hAnsi="Titillium" w:eastAsia="SimSun"/>
          <w:sz w:val="18"/>
          <w:szCs w:val="18"/>
        </w:rPr>
      </w:pPr>
      <w:r>
        <w:rPr>
          <w:rFonts w:eastAsia="SimSun" w:ascii="Titillium" w:hAnsi="Titillium"/>
          <w:sz w:val="18"/>
          <w:szCs w:val="18"/>
        </w:rPr>
      </w:r>
    </w:p>
    <w:p>
      <w:pPr>
        <w:pStyle w:val="Heading2"/>
        <w:numPr>
          <w:ilvl w:val="0"/>
          <w:numId w:val="3"/>
        </w:numPr>
        <w:rPr/>
      </w:pPr>
      <w:bookmarkStart w:id="1924" w:name="_Toc231396699"/>
      <w:bookmarkStart w:id="1925" w:name="_Ref498613645"/>
      <w:bookmarkStart w:id="1926" w:name="_Toc484688913"/>
      <w:bookmarkStart w:id="1927" w:name="_Toc485218348"/>
      <w:bookmarkStart w:id="1928" w:name="_Toc482025756"/>
      <w:bookmarkStart w:id="1929" w:name="_Toc482097580"/>
      <w:bookmarkStart w:id="1930" w:name="_Toc482097669"/>
      <w:bookmarkStart w:id="1931" w:name="_Toc482097758"/>
      <w:bookmarkStart w:id="1932" w:name="_Toc482097950"/>
      <w:bookmarkStart w:id="1933" w:name="_Toc482099052"/>
      <w:bookmarkStart w:id="1934" w:name="_Toc482100769"/>
      <w:bookmarkStart w:id="1935" w:name="_Toc482100926"/>
      <w:bookmarkStart w:id="1936" w:name="_Toc482101352"/>
      <w:bookmarkStart w:id="1937" w:name="_Toc482101489"/>
      <w:bookmarkStart w:id="1938" w:name="_Toc482101604"/>
      <w:bookmarkStart w:id="1939" w:name="_Toc482101779"/>
      <w:bookmarkStart w:id="1940" w:name="_Toc482101872"/>
      <w:bookmarkStart w:id="1941" w:name="_Toc482101967"/>
      <w:bookmarkStart w:id="1942" w:name="_Toc482102062"/>
      <w:bookmarkStart w:id="1943" w:name="_Toc482102156"/>
      <w:bookmarkStart w:id="1944" w:name="_Toc482352020"/>
      <w:bookmarkStart w:id="1945" w:name="_Toc482352110"/>
      <w:bookmarkStart w:id="1946" w:name="_Toc482352200"/>
      <w:bookmarkStart w:id="1947" w:name="_Toc482352290"/>
      <w:bookmarkStart w:id="1948" w:name="_Toc482633131"/>
      <w:bookmarkStart w:id="1949" w:name="_Toc482641308"/>
      <w:bookmarkStart w:id="1950" w:name="_Toc482712754"/>
      <w:bookmarkStart w:id="1951" w:name="_Toc482959542"/>
      <w:bookmarkStart w:id="1952" w:name="_Toc482959652"/>
      <w:bookmarkStart w:id="1953" w:name="_Toc482959762"/>
      <w:bookmarkStart w:id="1954" w:name="_Toc482978881"/>
      <w:bookmarkStart w:id="1955" w:name="_Toc482978990"/>
      <w:bookmarkStart w:id="1956" w:name="_Toc482979098"/>
      <w:bookmarkStart w:id="1957" w:name="_Toc482979209"/>
      <w:bookmarkStart w:id="1958" w:name="_Toc482979318"/>
      <w:bookmarkStart w:id="1959" w:name="_Toc482979427"/>
      <w:bookmarkStart w:id="1960" w:name="_Toc482979535"/>
      <w:bookmarkStart w:id="1961" w:name="_Toc482979633"/>
      <w:bookmarkStart w:id="1962" w:name="_Toc482979731"/>
      <w:bookmarkStart w:id="1963" w:name="_Toc483233691"/>
      <w:bookmarkStart w:id="1964" w:name="_Toc483302408"/>
      <w:bookmarkStart w:id="1965" w:name="_Toc483316029"/>
      <w:bookmarkStart w:id="1966" w:name="_Toc483316234"/>
      <w:bookmarkStart w:id="1967" w:name="_Toc483316366"/>
      <w:bookmarkStart w:id="1968" w:name="_Toc483316497"/>
      <w:bookmarkStart w:id="1969" w:name="_Toc483325800"/>
      <w:bookmarkStart w:id="1970" w:name="_Toc483401278"/>
      <w:bookmarkStart w:id="1971" w:name="_Toc483474074"/>
      <w:bookmarkStart w:id="1972" w:name="_Toc483571505"/>
      <w:bookmarkStart w:id="1973" w:name="_Toc483571627"/>
      <w:bookmarkStart w:id="1974" w:name="_Toc483907005"/>
      <w:bookmarkStart w:id="1975" w:name="_Toc484010755"/>
      <w:bookmarkStart w:id="1976" w:name="_Toc484010877"/>
      <w:bookmarkStart w:id="1977" w:name="_Toc484011001"/>
      <w:bookmarkStart w:id="1978" w:name="_Toc484011123"/>
      <w:bookmarkStart w:id="1979" w:name="_Toc484011245"/>
      <w:bookmarkStart w:id="1980" w:name="_Toc484011720"/>
      <w:bookmarkStart w:id="1981" w:name="_Toc484097794"/>
      <w:bookmarkStart w:id="1982" w:name="_Toc484428968"/>
      <w:bookmarkStart w:id="1983" w:name="_Toc484429138"/>
      <w:bookmarkStart w:id="1984" w:name="_Toc484438713"/>
      <w:bookmarkStart w:id="1985" w:name="_Toc484438837"/>
      <w:bookmarkStart w:id="1986" w:name="_Toc484438961"/>
      <w:bookmarkStart w:id="1987" w:name="_Toc484439881"/>
      <w:bookmarkStart w:id="1988" w:name="_Toc484440004"/>
      <w:bookmarkStart w:id="1989" w:name="_Toc484440128"/>
      <w:bookmarkStart w:id="1990" w:name="_Toc484440488"/>
      <w:bookmarkStart w:id="1991" w:name="_Toc484448148"/>
      <w:bookmarkStart w:id="1992" w:name="_Toc484448272"/>
      <w:bookmarkStart w:id="1993" w:name="_Toc484448396"/>
      <w:bookmarkStart w:id="1994" w:name="_Toc484448520"/>
      <w:bookmarkStart w:id="1995" w:name="_Toc484448644"/>
      <w:bookmarkStart w:id="1996" w:name="_Toc484448768"/>
      <w:bookmarkStart w:id="1997" w:name="_Toc484448891"/>
      <w:bookmarkStart w:id="1998" w:name="_Toc484449015"/>
      <w:bookmarkStart w:id="1999" w:name="_Toc484449139"/>
      <w:bookmarkStart w:id="2000" w:name="_Toc484526634"/>
      <w:bookmarkStart w:id="2001" w:name="_Toc484605354"/>
      <w:bookmarkStart w:id="2002" w:name="_Toc484605478"/>
      <w:bookmarkStart w:id="2003" w:name="_Toc484688347"/>
      <w:bookmarkStart w:id="2004" w:name="_Toc484688902"/>
      <w:bookmarkStart w:id="2005" w:name="_Toc485218337"/>
      <w:bookmarkStart w:id="2006" w:name="_Toc482025757"/>
      <w:bookmarkStart w:id="2007" w:name="_Toc482097581"/>
      <w:bookmarkStart w:id="2008" w:name="_Toc482097670"/>
      <w:bookmarkStart w:id="2009" w:name="_Toc482097759"/>
      <w:bookmarkStart w:id="2010" w:name="_Toc482097951"/>
      <w:bookmarkStart w:id="2011" w:name="_Toc482099053"/>
      <w:bookmarkStart w:id="2012" w:name="_Toc482100770"/>
      <w:bookmarkStart w:id="2013" w:name="_Toc482100927"/>
      <w:bookmarkStart w:id="2014" w:name="_Toc482101353"/>
      <w:bookmarkStart w:id="2015" w:name="_Toc482101490"/>
      <w:bookmarkStart w:id="2016" w:name="_Toc482101605"/>
      <w:bookmarkStart w:id="2017" w:name="_Toc482101780"/>
      <w:bookmarkStart w:id="2018" w:name="_Toc482101873"/>
      <w:bookmarkStart w:id="2019" w:name="_Toc482101968"/>
      <w:bookmarkStart w:id="2020" w:name="_Toc482102063"/>
      <w:bookmarkStart w:id="2021" w:name="_Toc482102157"/>
      <w:bookmarkStart w:id="2022" w:name="_Toc482352021"/>
      <w:bookmarkStart w:id="2023" w:name="_Toc482352111"/>
      <w:bookmarkStart w:id="2024" w:name="_Toc482352201"/>
      <w:bookmarkStart w:id="2025" w:name="_Toc482352291"/>
      <w:bookmarkStart w:id="2026" w:name="_Toc482633132"/>
      <w:bookmarkStart w:id="2027" w:name="_Toc482641309"/>
      <w:bookmarkStart w:id="2028" w:name="_Toc482712755"/>
      <w:bookmarkStart w:id="2029" w:name="_Toc482959543"/>
      <w:bookmarkStart w:id="2030" w:name="_Toc482959653"/>
      <w:bookmarkStart w:id="2031" w:name="_Toc482959763"/>
      <w:bookmarkStart w:id="2032" w:name="_Toc482978882"/>
      <w:bookmarkStart w:id="2033" w:name="_Toc482978991"/>
      <w:bookmarkStart w:id="2034" w:name="_Toc482979099"/>
      <w:bookmarkStart w:id="2035" w:name="_Toc482979210"/>
      <w:bookmarkStart w:id="2036" w:name="_Toc482979319"/>
      <w:bookmarkStart w:id="2037" w:name="_Toc482979428"/>
      <w:bookmarkStart w:id="2038" w:name="_Toc482979536"/>
      <w:bookmarkStart w:id="2039" w:name="_Toc482979634"/>
      <w:bookmarkStart w:id="2040" w:name="_Toc482979732"/>
      <w:bookmarkStart w:id="2041" w:name="_Toc483233692"/>
      <w:bookmarkStart w:id="2042" w:name="_Toc483302409"/>
      <w:bookmarkStart w:id="2043" w:name="_Toc483316030"/>
      <w:bookmarkStart w:id="2044" w:name="_Toc483316235"/>
      <w:bookmarkStart w:id="2045" w:name="_Toc483316367"/>
      <w:bookmarkStart w:id="2046" w:name="_Toc483316498"/>
      <w:bookmarkStart w:id="2047" w:name="_Toc483325801"/>
      <w:bookmarkStart w:id="2048" w:name="_Toc483401279"/>
      <w:bookmarkStart w:id="2049" w:name="_Toc483474075"/>
      <w:bookmarkStart w:id="2050" w:name="_Toc483571506"/>
      <w:bookmarkStart w:id="2051" w:name="_Toc483571628"/>
      <w:bookmarkStart w:id="2052" w:name="_Toc483907006"/>
      <w:bookmarkStart w:id="2053" w:name="_Toc484010756"/>
      <w:bookmarkStart w:id="2054" w:name="_Toc484010878"/>
      <w:bookmarkStart w:id="2055" w:name="_Toc484011002"/>
      <w:bookmarkStart w:id="2056" w:name="_Toc484011124"/>
      <w:bookmarkStart w:id="2057" w:name="_Toc484011246"/>
      <w:bookmarkStart w:id="2058" w:name="_Toc484011721"/>
      <w:bookmarkStart w:id="2059" w:name="_Toc484097795"/>
      <w:bookmarkStart w:id="2060" w:name="_Toc484428969"/>
      <w:bookmarkStart w:id="2061" w:name="_Toc484429139"/>
      <w:bookmarkStart w:id="2062" w:name="_Toc484438714"/>
      <w:bookmarkStart w:id="2063" w:name="_Toc484438838"/>
      <w:bookmarkStart w:id="2064" w:name="_Toc484438962"/>
      <w:bookmarkStart w:id="2065" w:name="_Toc484439882"/>
      <w:bookmarkStart w:id="2066" w:name="_Toc484440005"/>
      <w:bookmarkStart w:id="2067" w:name="_Toc484440129"/>
      <w:bookmarkStart w:id="2068" w:name="_Toc484440489"/>
      <w:bookmarkStart w:id="2069" w:name="_Toc484448149"/>
      <w:bookmarkStart w:id="2070" w:name="_Toc484448273"/>
      <w:bookmarkStart w:id="2071" w:name="_Toc484448397"/>
      <w:bookmarkStart w:id="2072" w:name="_Toc484448521"/>
      <w:bookmarkStart w:id="2073" w:name="_Toc484448645"/>
      <w:bookmarkStart w:id="2074" w:name="_Toc484448769"/>
      <w:bookmarkStart w:id="2075" w:name="_Toc484448892"/>
      <w:bookmarkStart w:id="2076" w:name="_Toc484449016"/>
      <w:bookmarkStart w:id="2077" w:name="_Toc484449140"/>
      <w:bookmarkStart w:id="2078" w:name="_Toc484526635"/>
      <w:bookmarkStart w:id="2079" w:name="_Toc484605355"/>
      <w:bookmarkStart w:id="2080" w:name="_Toc484605479"/>
      <w:bookmarkStart w:id="2081" w:name="_Toc484688348"/>
      <w:bookmarkStart w:id="2082" w:name="_Toc484688903"/>
      <w:bookmarkStart w:id="2083" w:name="_Toc485218338"/>
      <w:bookmarkStart w:id="2084" w:name="_Toc482025758"/>
      <w:bookmarkStart w:id="2085" w:name="_Toc482097582"/>
      <w:bookmarkStart w:id="2086" w:name="_Toc482097671"/>
      <w:bookmarkStart w:id="2087" w:name="_Toc482097760"/>
      <w:bookmarkStart w:id="2088" w:name="_Toc482097952"/>
      <w:bookmarkStart w:id="2089" w:name="_Toc482099054"/>
      <w:bookmarkStart w:id="2090" w:name="_Toc482100771"/>
      <w:bookmarkStart w:id="2091" w:name="_Toc482100928"/>
      <w:bookmarkStart w:id="2092" w:name="_Toc482101354"/>
      <w:bookmarkStart w:id="2093" w:name="_Toc482101491"/>
      <w:bookmarkStart w:id="2094" w:name="_Toc482101606"/>
      <w:bookmarkStart w:id="2095" w:name="_Toc482101781"/>
      <w:bookmarkStart w:id="2096" w:name="_Toc482101874"/>
      <w:bookmarkStart w:id="2097" w:name="_Toc482101969"/>
      <w:bookmarkStart w:id="2098" w:name="_Toc482102064"/>
      <w:bookmarkStart w:id="2099" w:name="_Toc482102158"/>
      <w:bookmarkStart w:id="2100" w:name="_Toc482352022"/>
      <w:bookmarkStart w:id="2101" w:name="_Toc482352112"/>
      <w:bookmarkStart w:id="2102" w:name="_Toc482352202"/>
      <w:bookmarkStart w:id="2103" w:name="_Toc482352292"/>
      <w:bookmarkStart w:id="2104" w:name="_Toc482633133"/>
      <w:bookmarkStart w:id="2105" w:name="_Toc482641310"/>
      <w:bookmarkStart w:id="2106" w:name="_Toc482712756"/>
      <w:bookmarkStart w:id="2107" w:name="_Toc482959544"/>
      <w:bookmarkStart w:id="2108" w:name="_Toc482959654"/>
      <w:bookmarkStart w:id="2109" w:name="_Toc482959764"/>
      <w:bookmarkStart w:id="2110" w:name="_Toc482978883"/>
      <w:bookmarkStart w:id="2111" w:name="_Toc482978992"/>
      <w:bookmarkStart w:id="2112" w:name="_Toc482979100"/>
      <w:bookmarkStart w:id="2113" w:name="_Toc482979211"/>
      <w:bookmarkStart w:id="2114" w:name="_Toc482979320"/>
      <w:bookmarkStart w:id="2115" w:name="_Toc482979429"/>
      <w:bookmarkStart w:id="2116" w:name="_Toc482979537"/>
      <w:bookmarkStart w:id="2117" w:name="_Toc482979635"/>
      <w:bookmarkStart w:id="2118" w:name="_Toc482979733"/>
      <w:bookmarkStart w:id="2119" w:name="_Toc483233693"/>
      <w:bookmarkStart w:id="2120" w:name="_Toc483302410"/>
      <w:bookmarkStart w:id="2121" w:name="_Toc483316031"/>
      <w:bookmarkStart w:id="2122" w:name="_Toc483316236"/>
      <w:bookmarkStart w:id="2123" w:name="_Toc483316368"/>
      <w:bookmarkStart w:id="2124" w:name="_Toc483316499"/>
      <w:bookmarkStart w:id="2125" w:name="_Toc483325802"/>
      <w:bookmarkStart w:id="2126" w:name="_Toc483401280"/>
      <w:bookmarkStart w:id="2127" w:name="_Toc483474076"/>
      <w:bookmarkStart w:id="2128" w:name="_Toc483571507"/>
      <w:bookmarkStart w:id="2129" w:name="_Toc483571629"/>
      <w:bookmarkStart w:id="2130" w:name="_Toc483907007"/>
      <w:bookmarkStart w:id="2131" w:name="_Toc484010757"/>
      <w:bookmarkStart w:id="2132" w:name="_Toc484010879"/>
      <w:bookmarkStart w:id="2133" w:name="_Toc484011003"/>
      <w:bookmarkStart w:id="2134" w:name="_Toc484011125"/>
      <w:bookmarkStart w:id="2135" w:name="_Toc484011247"/>
      <w:bookmarkStart w:id="2136" w:name="_Toc484011722"/>
      <w:bookmarkStart w:id="2137" w:name="_Toc484097796"/>
      <w:bookmarkStart w:id="2138" w:name="_Toc484428970"/>
      <w:bookmarkStart w:id="2139" w:name="_Toc484429140"/>
      <w:bookmarkStart w:id="2140" w:name="_Toc484438715"/>
      <w:bookmarkStart w:id="2141" w:name="_Toc484438839"/>
      <w:bookmarkStart w:id="2142" w:name="_Toc484438963"/>
      <w:bookmarkStart w:id="2143" w:name="_Toc484439883"/>
      <w:bookmarkStart w:id="2144" w:name="_Toc484440006"/>
      <w:bookmarkStart w:id="2145" w:name="_Toc484440130"/>
      <w:bookmarkStart w:id="2146" w:name="_Toc484440490"/>
      <w:bookmarkStart w:id="2147" w:name="_Toc484448150"/>
      <w:bookmarkStart w:id="2148" w:name="_Toc484448274"/>
      <w:bookmarkStart w:id="2149" w:name="_Toc484448398"/>
      <w:bookmarkStart w:id="2150" w:name="_Toc484448522"/>
      <w:bookmarkStart w:id="2151" w:name="_Toc484448646"/>
      <w:bookmarkStart w:id="2152" w:name="_Toc484448770"/>
      <w:bookmarkStart w:id="2153" w:name="_Toc484448893"/>
      <w:bookmarkStart w:id="2154" w:name="_Toc484449017"/>
      <w:bookmarkStart w:id="2155" w:name="_Toc484449141"/>
      <w:bookmarkStart w:id="2156" w:name="_Toc484526636"/>
      <w:bookmarkStart w:id="2157" w:name="_Toc484605356"/>
      <w:bookmarkStart w:id="2158" w:name="_Toc484605480"/>
      <w:bookmarkStart w:id="2159" w:name="_Toc484688349"/>
      <w:bookmarkStart w:id="2160" w:name="_Toc484688904"/>
      <w:bookmarkStart w:id="2161" w:name="_Toc485218339"/>
      <w:bookmarkStart w:id="2162" w:name="_Toc482025759"/>
      <w:bookmarkStart w:id="2163" w:name="_Toc482097583"/>
      <w:bookmarkStart w:id="2164" w:name="_Toc482097672"/>
      <w:bookmarkStart w:id="2165" w:name="_Toc482097761"/>
      <w:bookmarkStart w:id="2166" w:name="_Toc482097953"/>
      <w:bookmarkStart w:id="2167" w:name="_Toc482099055"/>
      <w:bookmarkStart w:id="2168" w:name="_Toc482100772"/>
      <w:bookmarkStart w:id="2169" w:name="_Toc482100929"/>
      <w:bookmarkStart w:id="2170" w:name="_Toc482101355"/>
      <w:bookmarkStart w:id="2171" w:name="_Toc482101492"/>
      <w:bookmarkStart w:id="2172" w:name="_Toc482101607"/>
      <w:bookmarkStart w:id="2173" w:name="_Toc482101782"/>
      <w:bookmarkStart w:id="2174" w:name="_Toc482101875"/>
      <w:bookmarkStart w:id="2175" w:name="_Toc482101970"/>
      <w:bookmarkStart w:id="2176" w:name="_Toc482102065"/>
      <w:bookmarkStart w:id="2177" w:name="_Toc482102159"/>
      <w:bookmarkStart w:id="2178" w:name="_Toc482352023"/>
      <w:bookmarkStart w:id="2179" w:name="_Toc482352113"/>
      <w:bookmarkStart w:id="2180" w:name="_Toc482352203"/>
      <w:bookmarkStart w:id="2181" w:name="_Toc482352293"/>
      <w:bookmarkStart w:id="2182" w:name="_Toc482633134"/>
      <w:bookmarkStart w:id="2183" w:name="_Toc482641311"/>
      <w:bookmarkStart w:id="2184" w:name="_Toc482712757"/>
      <w:bookmarkStart w:id="2185" w:name="_Toc482959545"/>
      <w:bookmarkStart w:id="2186" w:name="_Toc482959655"/>
      <w:bookmarkStart w:id="2187" w:name="_Toc482959765"/>
      <w:bookmarkStart w:id="2188" w:name="_Toc482978884"/>
      <w:bookmarkStart w:id="2189" w:name="_Toc482978993"/>
      <w:bookmarkStart w:id="2190" w:name="_Toc482979101"/>
      <w:bookmarkStart w:id="2191" w:name="_Toc482979212"/>
      <w:bookmarkStart w:id="2192" w:name="_Toc482979321"/>
      <w:bookmarkStart w:id="2193" w:name="_Toc482979430"/>
      <w:bookmarkStart w:id="2194" w:name="_Toc482979538"/>
      <w:bookmarkStart w:id="2195" w:name="_Toc482979636"/>
      <w:bookmarkStart w:id="2196" w:name="_Toc482979734"/>
      <w:bookmarkStart w:id="2197" w:name="_Toc483233694"/>
      <w:bookmarkStart w:id="2198" w:name="_Toc483302411"/>
      <w:bookmarkStart w:id="2199" w:name="_Toc483316032"/>
      <w:bookmarkStart w:id="2200" w:name="_Toc483316237"/>
      <w:bookmarkStart w:id="2201" w:name="_Toc483316369"/>
      <w:bookmarkStart w:id="2202" w:name="_Toc483316500"/>
      <w:bookmarkStart w:id="2203" w:name="_Toc483325803"/>
      <w:bookmarkStart w:id="2204" w:name="_Toc483401281"/>
      <w:bookmarkStart w:id="2205" w:name="_Toc483474077"/>
      <w:bookmarkStart w:id="2206" w:name="_Toc483571508"/>
      <w:bookmarkStart w:id="2207" w:name="_Toc483571630"/>
      <w:bookmarkStart w:id="2208" w:name="_Toc483907008"/>
      <w:bookmarkStart w:id="2209" w:name="_Toc484010758"/>
      <w:bookmarkStart w:id="2210" w:name="_Toc484010880"/>
      <w:bookmarkStart w:id="2211" w:name="_Toc484011004"/>
      <w:bookmarkStart w:id="2212" w:name="_Toc484011126"/>
      <w:bookmarkStart w:id="2213" w:name="_Toc484011248"/>
      <w:bookmarkStart w:id="2214" w:name="_Toc484011723"/>
      <w:bookmarkStart w:id="2215" w:name="_Toc484097797"/>
      <w:bookmarkStart w:id="2216" w:name="_Toc484428971"/>
      <w:bookmarkStart w:id="2217" w:name="_Toc484429141"/>
      <w:bookmarkStart w:id="2218" w:name="_Toc484438716"/>
      <w:bookmarkStart w:id="2219" w:name="_Toc484438840"/>
      <w:bookmarkStart w:id="2220" w:name="_Toc484438964"/>
      <w:bookmarkStart w:id="2221" w:name="_Toc484439884"/>
      <w:bookmarkStart w:id="2222" w:name="_Toc484440007"/>
      <w:bookmarkStart w:id="2223" w:name="_Toc484440131"/>
      <w:bookmarkStart w:id="2224" w:name="_Toc484440491"/>
      <w:bookmarkStart w:id="2225" w:name="_Toc484448151"/>
      <w:bookmarkStart w:id="2226" w:name="_Toc484448275"/>
      <w:bookmarkStart w:id="2227" w:name="_Toc484448399"/>
      <w:bookmarkStart w:id="2228" w:name="_Toc484448523"/>
      <w:bookmarkStart w:id="2229" w:name="_Toc484448647"/>
      <w:bookmarkStart w:id="2230" w:name="_Toc484448771"/>
      <w:bookmarkStart w:id="2231" w:name="_Toc484448894"/>
      <w:bookmarkStart w:id="2232" w:name="_Toc484449018"/>
      <w:bookmarkStart w:id="2233" w:name="_Toc484449142"/>
      <w:bookmarkStart w:id="2234" w:name="_Toc484526637"/>
      <w:bookmarkStart w:id="2235" w:name="_Toc484605357"/>
      <w:bookmarkStart w:id="2236" w:name="_Toc484605481"/>
      <w:bookmarkStart w:id="2237" w:name="_Toc484688350"/>
      <w:bookmarkStart w:id="2238" w:name="_Toc484688905"/>
      <w:bookmarkStart w:id="2239" w:name="_Toc485218340"/>
      <w:bookmarkStart w:id="2240" w:name="_Toc482025760"/>
      <w:bookmarkStart w:id="2241" w:name="_Toc482097584"/>
      <w:bookmarkStart w:id="2242" w:name="_Toc482097673"/>
      <w:bookmarkStart w:id="2243" w:name="_Toc482097762"/>
      <w:bookmarkStart w:id="2244" w:name="_Toc482097954"/>
      <w:bookmarkStart w:id="2245" w:name="_Toc482099056"/>
      <w:bookmarkStart w:id="2246" w:name="_Toc482100773"/>
      <w:bookmarkStart w:id="2247" w:name="_Toc482100930"/>
      <w:bookmarkStart w:id="2248" w:name="_Toc482101356"/>
      <w:bookmarkStart w:id="2249" w:name="_Toc482101493"/>
      <w:bookmarkStart w:id="2250" w:name="_Toc482101608"/>
      <w:bookmarkStart w:id="2251" w:name="_Toc482101783"/>
      <w:bookmarkStart w:id="2252" w:name="_Toc482101876"/>
      <w:bookmarkStart w:id="2253" w:name="_Toc482101971"/>
      <w:bookmarkStart w:id="2254" w:name="_Toc482102066"/>
      <w:bookmarkStart w:id="2255" w:name="_Toc482102160"/>
      <w:bookmarkStart w:id="2256" w:name="_Toc482352024"/>
      <w:bookmarkStart w:id="2257" w:name="_Toc482352114"/>
      <w:bookmarkStart w:id="2258" w:name="_Toc482352204"/>
      <w:bookmarkStart w:id="2259" w:name="_Toc482352294"/>
      <w:bookmarkStart w:id="2260" w:name="_Toc482633135"/>
      <w:bookmarkStart w:id="2261" w:name="_Toc482641312"/>
      <w:bookmarkStart w:id="2262" w:name="_Toc482712758"/>
      <w:bookmarkStart w:id="2263" w:name="_Toc482959546"/>
      <w:bookmarkStart w:id="2264" w:name="_Toc482959656"/>
      <w:bookmarkStart w:id="2265" w:name="_Toc482959766"/>
      <w:bookmarkStart w:id="2266" w:name="_Toc482978885"/>
      <w:bookmarkStart w:id="2267" w:name="_Toc482978994"/>
      <w:bookmarkStart w:id="2268" w:name="_Toc482979102"/>
      <w:bookmarkStart w:id="2269" w:name="_Toc482979213"/>
      <w:bookmarkStart w:id="2270" w:name="_Toc482979322"/>
      <w:bookmarkStart w:id="2271" w:name="_Toc482979431"/>
      <w:bookmarkStart w:id="2272" w:name="_Toc482979539"/>
      <w:bookmarkStart w:id="2273" w:name="_Toc482979637"/>
      <w:bookmarkStart w:id="2274" w:name="_Toc482979735"/>
      <w:bookmarkStart w:id="2275" w:name="_Toc483233695"/>
      <w:bookmarkStart w:id="2276" w:name="_Toc483302412"/>
      <w:bookmarkStart w:id="2277" w:name="_Toc483316033"/>
      <w:bookmarkStart w:id="2278" w:name="_Toc483316238"/>
      <w:bookmarkStart w:id="2279" w:name="_Toc483316370"/>
      <w:bookmarkStart w:id="2280" w:name="_Toc483316501"/>
      <w:bookmarkStart w:id="2281" w:name="_Toc483325804"/>
      <w:bookmarkStart w:id="2282" w:name="_Toc483401282"/>
      <w:bookmarkStart w:id="2283" w:name="_Toc483474078"/>
      <w:bookmarkStart w:id="2284" w:name="_Toc483571509"/>
      <w:bookmarkStart w:id="2285" w:name="_Toc483571631"/>
      <w:bookmarkStart w:id="2286" w:name="_Toc483907009"/>
      <w:bookmarkStart w:id="2287" w:name="_Toc484010759"/>
      <w:bookmarkStart w:id="2288" w:name="_Toc484010881"/>
      <w:bookmarkStart w:id="2289" w:name="_Toc484011005"/>
      <w:bookmarkStart w:id="2290" w:name="_Toc484011127"/>
      <w:bookmarkStart w:id="2291" w:name="_Toc484011249"/>
      <w:bookmarkStart w:id="2292" w:name="_Toc484011724"/>
      <w:bookmarkStart w:id="2293" w:name="_Toc484097798"/>
      <w:bookmarkStart w:id="2294" w:name="_Toc484428972"/>
      <w:bookmarkStart w:id="2295" w:name="_Toc484429142"/>
      <w:bookmarkStart w:id="2296" w:name="_Toc484438717"/>
      <w:bookmarkStart w:id="2297" w:name="_Toc484438841"/>
      <w:bookmarkStart w:id="2298" w:name="_Toc484438965"/>
      <w:bookmarkStart w:id="2299" w:name="_Toc484439885"/>
      <w:bookmarkStart w:id="2300" w:name="_Toc484440008"/>
      <w:bookmarkStart w:id="2301" w:name="_Toc484440132"/>
      <w:bookmarkStart w:id="2302" w:name="_Toc484440492"/>
      <w:bookmarkStart w:id="2303" w:name="_Toc484448152"/>
      <w:bookmarkStart w:id="2304" w:name="_Toc484448276"/>
      <w:bookmarkStart w:id="2305" w:name="_Toc484448400"/>
      <w:bookmarkStart w:id="2306" w:name="_Toc484448524"/>
      <w:bookmarkStart w:id="2307" w:name="_Toc484448648"/>
      <w:bookmarkStart w:id="2308" w:name="_Toc484448772"/>
      <w:bookmarkStart w:id="2309" w:name="_Toc484448895"/>
      <w:bookmarkStart w:id="2310" w:name="_Toc484449019"/>
      <w:bookmarkStart w:id="2311" w:name="_Toc484449143"/>
      <w:bookmarkStart w:id="2312" w:name="_Toc484526638"/>
      <w:bookmarkStart w:id="2313" w:name="_Toc484605358"/>
      <w:bookmarkStart w:id="2314" w:name="_Toc484605482"/>
      <w:bookmarkStart w:id="2315" w:name="_Toc484688351"/>
      <w:bookmarkStart w:id="2316" w:name="_Toc484688906"/>
      <w:bookmarkStart w:id="2317" w:name="_Toc485218341"/>
      <w:bookmarkStart w:id="2318" w:name="_Toc482025761"/>
      <w:bookmarkStart w:id="2319" w:name="_Toc482097585"/>
      <w:bookmarkStart w:id="2320" w:name="_Toc482097674"/>
      <w:bookmarkStart w:id="2321" w:name="_Toc482097763"/>
      <w:bookmarkStart w:id="2322" w:name="_Toc482097955"/>
      <w:bookmarkStart w:id="2323" w:name="_Toc482099057"/>
      <w:bookmarkStart w:id="2324" w:name="_Toc482100774"/>
      <w:bookmarkStart w:id="2325" w:name="_Toc482100931"/>
      <w:bookmarkStart w:id="2326" w:name="_Toc482101357"/>
      <w:bookmarkStart w:id="2327" w:name="_Toc482101494"/>
      <w:bookmarkStart w:id="2328" w:name="_Toc482101609"/>
      <w:bookmarkStart w:id="2329" w:name="_Toc482101784"/>
      <w:bookmarkStart w:id="2330" w:name="_Toc482101877"/>
      <w:bookmarkStart w:id="2331" w:name="_Toc482101972"/>
      <w:bookmarkStart w:id="2332" w:name="_Toc482102067"/>
      <w:bookmarkStart w:id="2333" w:name="_Toc482102161"/>
      <w:bookmarkStart w:id="2334" w:name="_Toc482352025"/>
      <w:bookmarkStart w:id="2335" w:name="_Toc482352115"/>
      <w:bookmarkStart w:id="2336" w:name="_Toc482352205"/>
      <w:bookmarkStart w:id="2337" w:name="_Toc482352295"/>
      <w:bookmarkStart w:id="2338" w:name="_Toc482633136"/>
      <w:bookmarkStart w:id="2339" w:name="_Toc482641313"/>
      <w:bookmarkStart w:id="2340" w:name="_Toc482712759"/>
      <w:bookmarkStart w:id="2341" w:name="_Toc482959547"/>
      <w:bookmarkStart w:id="2342" w:name="_Toc482959657"/>
      <w:bookmarkStart w:id="2343" w:name="_Toc482959767"/>
      <w:bookmarkStart w:id="2344" w:name="_Toc482978886"/>
      <w:bookmarkStart w:id="2345" w:name="_Toc482978995"/>
      <w:bookmarkStart w:id="2346" w:name="_Toc482979103"/>
      <w:bookmarkStart w:id="2347" w:name="_Toc482979214"/>
      <w:bookmarkStart w:id="2348" w:name="_Toc482979323"/>
      <w:bookmarkStart w:id="2349" w:name="_Toc482979432"/>
      <w:bookmarkStart w:id="2350" w:name="_Toc482979540"/>
      <w:bookmarkStart w:id="2351" w:name="_Toc482979638"/>
      <w:bookmarkStart w:id="2352" w:name="_Toc482979736"/>
      <w:bookmarkStart w:id="2353" w:name="_Toc483233696"/>
      <w:bookmarkStart w:id="2354" w:name="_Toc483302413"/>
      <w:bookmarkStart w:id="2355" w:name="_Toc483316034"/>
      <w:bookmarkStart w:id="2356" w:name="_Toc483316239"/>
      <w:bookmarkStart w:id="2357" w:name="_Toc483316371"/>
      <w:bookmarkStart w:id="2358" w:name="_Toc483316502"/>
      <w:bookmarkStart w:id="2359" w:name="_Toc483325805"/>
      <w:bookmarkStart w:id="2360" w:name="_Toc483401283"/>
      <w:bookmarkStart w:id="2361" w:name="_Toc483474079"/>
      <w:bookmarkStart w:id="2362" w:name="_Toc483571510"/>
      <w:bookmarkStart w:id="2363" w:name="_Toc483571632"/>
      <w:bookmarkStart w:id="2364" w:name="_Toc483907010"/>
      <w:bookmarkStart w:id="2365" w:name="_Toc484010760"/>
      <w:bookmarkStart w:id="2366" w:name="_Toc484010882"/>
      <w:bookmarkStart w:id="2367" w:name="_Toc484011006"/>
      <w:bookmarkStart w:id="2368" w:name="_Toc484011128"/>
      <w:bookmarkStart w:id="2369" w:name="_Toc484011250"/>
      <w:bookmarkStart w:id="2370" w:name="_Toc484011725"/>
      <w:bookmarkStart w:id="2371" w:name="_Toc484097799"/>
      <w:bookmarkStart w:id="2372" w:name="_Toc484428973"/>
      <w:bookmarkStart w:id="2373" w:name="_Toc484429143"/>
      <w:bookmarkStart w:id="2374" w:name="_Toc484438718"/>
      <w:bookmarkStart w:id="2375" w:name="_Toc484438842"/>
      <w:bookmarkStart w:id="2376" w:name="_Toc484438966"/>
      <w:bookmarkStart w:id="2377" w:name="_Toc484439886"/>
      <w:bookmarkStart w:id="2378" w:name="_Toc484440009"/>
      <w:bookmarkStart w:id="2379" w:name="_Toc484440133"/>
      <w:bookmarkStart w:id="2380" w:name="_Toc484440493"/>
      <w:bookmarkStart w:id="2381" w:name="_Toc484448153"/>
      <w:bookmarkStart w:id="2382" w:name="_Toc484448277"/>
      <w:bookmarkStart w:id="2383" w:name="_Toc484448401"/>
      <w:bookmarkStart w:id="2384" w:name="_Toc484448525"/>
      <w:bookmarkStart w:id="2385" w:name="_Toc484448649"/>
      <w:bookmarkStart w:id="2386" w:name="_Toc484448773"/>
      <w:bookmarkStart w:id="2387" w:name="_Toc484448896"/>
      <w:bookmarkStart w:id="2388" w:name="_Toc484449020"/>
      <w:bookmarkStart w:id="2389" w:name="_Toc484449144"/>
      <w:bookmarkStart w:id="2390" w:name="_Toc484526639"/>
      <w:bookmarkStart w:id="2391" w:name="_Toc484605359"/>
      <w:bookmarkStart w:id="2392" w:name="_Toc484605483"/>
      <w:bookmarkStart w:id="2393" w:name="_Toc484688352"/>
      <w:bookmarkStart w:id="2394" w:name="_Toc484688907"/>
      <w:bookmarkStart w:id="2395" w:name="_Toc485218342"/>
      <w:bookmarkStart w:id="2396" w:name="_Toc482025762"/>
      <w:bookmarkStart w:id="2397" w:name="_Toc482097586"/>
      <w:bookmarkStart w:id="2398" w:name="_Toc482097675"/>
      <w:bookmarkStart w:id="2399" w:name="_Toc482097764"/>
      <w:bookmarkStart w:id="2400" w:name="_Toc482097956"/>
      <w:bookmarkStart w:id="2401" w:name="_Toc482099058"/>
      <w:bookmarkStart w:id="2402" w:name="_Toc482100775"/>
      <w:bookmarkStart w:id="2403" w:name="_Toc482100932"/>
      <w:bookmarkStart w:id="2404" w:name="_Toc482101358"/>
      <w:bookmarkStart w:id="2405" w:name="_Toc482101495"/>
      <w:bookmarkStart w:id="2406" w:name="_Toc482101610"/>
      <w:bookmarkStart w:id="2407" w:name="_Toc482101785"/>
      <w:bookmarkStart w:id="2408" w:name="_Toc482101878"/>
      <w:bookmarkStart w:id="2409" w:name="_Toc482101973"/>
      <w:bookmarkStart w:id="2410" w:name="_Toc482102068"/>
      <w:bookmarkStart w:id="2411" w:name="_Toc482102162"/>
      <w:bookmarkStart w:id="2412" w:name="_Toc482352026"/>
      <w:bookmarkStart w:id="2413" w:name="_Toc482352116"/>
      <w:bookmarkStart w:id="2414" w:name="_Toc482352206"/>
      <w:bookmarkStart w:id="2415" w:name="_Toc482352296"/>
      <w:bookmarkStart w:id="2416" w:name="_Toc482633137"/>
      <w:bookmarkStart w:id="2417" w:name="_Toc482641314"/>
      <w:bookmarkStart w:id="2418" w:name="_Toc482712760"/>
      <w:bookmarkStart w:id="2419" w:name="_Toc482959548"/>
      <w:bookmarkStart w:id="2420" w:name="_Toc482959658"/>
      <w:bookmarkStart w:id="2421" w:name="_Toc482959768"/>
      <w:bookmarkStart w:id="2422" w:name="_Toc482978887"/>
      <w:bookmarkStart w:id="2423" w:name="_Toc482978996"/>
      <w:bookmarkStart w:id="2424" w:name="_Toc482979104"/>
      <w:bookmarkStart w:id="2425" w:name="_Toc482979215"/>
      <w:bookmarkStart w:id="2426" w:name="_Toc482979324"/>
      <w:bookmarkStart w:id="2427" w:name="_Toc482979433"/>
      <w:bookmarkStart w:id="2428" w:name="_Toc482979541"/>
      <w:bookmarkStart w:id="2429" w:name="_Toc482979639"/>
      <w:bookmarkStart w:id="2430" w:name="_Toc482979737"/>
      <w:bookmarkStart w:id="2431" w:name="_Toc483233697"/>
      <w:bookmarkStart w:id="2432" w:name="_Toc483302414"/>
      <w:bookmarkStart w:id="2433" w:name="_Toc483316035"/>
      <w:bookmarkStart w:id="2434" w:name="_Toc483316240"/>
      <w:bookmarkStart w:id="2435" w:name="_Toc483316372"/>
      <w:bookmarkStart w:id="2436" w:name="_Toc483316503"/>
      <w:bookmarkStart w:id="2437" w:name="_Toc483325806"/>
      <w:bookmarkStart w:id="2438" w:name="_Toc483401284"/>
      <w:bookmarkStart w:id="2439" w:name="_Toc483474080"/>
      <w:bookmarkStart w:id="2440" w:name="_Toc483571511"/>
      <w:bookmarkStart w:id="2441" w:name="_Toc483571633"/>
      <w:bookmarkStart w:id="2442" w:name="_Toc483907011"/>
      <w:bookmarkStart w:id="2443" w:name="_Toc484010761"/>
      <w:bookmarkStart w:id="2444" w:name="_Toc484010883"/>
      <w:bookmarkStart w:id="2445" w:name="_Toc484011007"/>
      <w:bookmarkStart w:id="2446" w:name="_Toc484011129"/>
      <w:bookmarkStart w:id="2447" w:name="_Toc484011251"/>
      <w:bookmarkStart w:id="2448" w:name="_Toc484011726"/>
      <w:bookmarkStart w:id="2449" w:name="_Toc484097800"/>
      <w:bookmarkStart w:id="2450" w:name="_Toc484428974"/>
      <w:bookmarkStart w:id="2451" w:name="_Toc484429144"/>
      <w:bookmarkStart w:id="2452" w:name="_Toc484438719"/>
      <w:bookmarkStart w:id="2453" w:name="_Toc484438843"/>
      <w:bookmarkStart w:id="2454" w:name="_Toc484438967"/>
      <w:bookmarkStart w:id="2455" w:name="_Toc484439887"/>
      <w:bookmarkStart w:id="2456" w:name="_Toc484440010"/>
      <w:bookmarkStart w:id="2457" w:name="_Toc484440134"/>
      <w:bookmarkStart w:id="2458" w:name="_Toc484440494"/>
      <w:bookmarkStart w:id="2459" w:name="_Toc484448154"/>
      <w:bookmarkStart w:id="2460" w:name="_Toc484448278"/>
      <w:bookmarkStart w:id="2461" w:name="_Toc484448402"/>
      <w:bookmarkStart w:id="2462" w:name="_Toc484448526"/>
      <w:bookmarkStart w:id="2463" w:name="_Toc484448650"/>
      <w:bookmarkStart w:id="2464" w:name="_Toc484448774"/>
      <w:bookmarkStart w:id="2465" w:name="_Toc484448897"/>
      <w:bookmarkStart w:id="2466" w:name="_Toc484449021"/>
      <w:bookmarkStart w:id="2467" w:name="_Toc484449145"/>
      <w:bookmarkStart w:id="2468" w:name="_Toc484526640"/>
      <w:bookmarkStart w:id="2469" w:name="_Toc484605360"/>
      <w:bookmarkStart w:id="2470" w:name="_Toc484605484"/>
      <w:bookmarkStart w:id="2471" w:name="_Toc484688353"/>
      <w:bookmarkStart w:id="2472" w:name="_Toc484688908"/>
      <w:bookmarkStart w:id="2473" w:name="_Toc485218343"/>
      <w:bookmarkStart w:id="2474" w:name="_Toc482025763"/>
      <w:bookmarkStart w:id="2475" w:name="_Toc482097587"/>
      <w:bookmarkStart w:id="2476" w:name="_Toc482097676"/>
      <w:bookmarkStart w:id="2477" w:name="_Toc482097765"/>
      <w:bookmarkStart w:id="2478" w:name="_Toc482097957"/>
      <w:bookmarkStart w:id="2479" w:name="_Toc482099059"/>
      <w:bookmarkStart w:id="2480" w:name="_Toc482100776"/>
      <w:bookmarkStart w:id="2481" w:name="_Toc482100933"/>
      <w:bookmarkStart w:id="2482" w:name="_Toc482101359"/>
      <w:bookmarkStart w:id="2483" w:name="_Toc482101496"/>
      <w:bookmarkStart w:id="2484" w:name="_Toc482101611"/>
      <w:bookmarkStart w:id="2485" w:name="_Toc482101786"/>
      <w:bookmarkStart w:id="2486" w:name="_Toc482101879"/>
      <w:bookmarkStart w:id="2487" w:name="_Toc482101974"/>
      <w:bookmarkStart w:id="2488" w:name="_Toc482102069"/>
      <w:bookmarkStart w:id="2489" w:name="_Toc482102163"/>
      <w:bookmarkStart w:id="2490" w:name="_Toc482352027"/>
      <w:bookmarkStart w:id="2491" w:name="_Toc482352117"/>
      <w:bookmarkStart w:id="2492" w:name="_Toc482352207"/>
      <w:bookmarkStart w:id="2493" w:name="_Toc482352297"/>
      <w:bookmarkStart w:id="2494" w:name="_Toc482633138"/>
      <w:bookmarkStart w:id="2495" w:name="_Toc482641315"/>
      <w:bookmarkStart w:id="2496" w:name="_Toc482712761"/>
      <w:bookmarkStart w:id="2497" w:name="_Toc482959549"/>
      <w:bookmarkStart w:id="2498" w:name="_Toc482959659"/>
      <w:bookmarkStart w:id="2499" w:name="_Toc482959769"/>
      <w:bookmarkStart w:id="2500" w:name="_Toc482978888"/>
      <w:bookmarkStart w:id="2501" w:name="_Toc482978997"/>
      <w:bookmarkStart w:id="2502" w:name="_Toc482979105"/>
      <w:bookmarkStart w:id="2503" w:name="_Toc482979216"/>
      <w:bookmarkStart w:id="2504" w:name="_Toc482979325"/>
      <w:bookmarkStart w:id="2505" w:name="_Toc482979434"/>
      <w:bookmarkStart w:id="2506" w:name="_Toc482979542"/>
      <w:bookmarkStart w:id="2507" w:name="_Toc482979640"/>
      <w:bookmarkStart w:id="2508" w:name="_Toc482979738"/>
      <w:bookmarkStart w:id="2509" w:name="_Toc483233698"/>
      <w:bookmarkStart w:id="2510" w:name="_Toc483302415"/>
      <w:bookmarkStart w:id="2511" w:name="_Toc483316036"/>
      <w:bookmarkStart w:id="2512" w:name="_Toc483316241"/>
      <w:bookmarkStart w:id="2513" w:name="_Toc483316373"/>
      <w:bookmarkStart w:id="2514" w:name="_Toc483316504"/>
      <w:bookmarkStart w:id="2515" w:name="_Toc483325807"/>
      <w:bookmarkStart w:id="2516" w:name="_Toc483401285"/>
      <w:bookmarkStart w:id="2517" w:name="_Toc483474081"/>
      <w:bookmarkStart w:id="2518" w:name="_Toc483571512"/>
      <w:bookmarkStart w:id="2519" w:name="_Toc483571634"/>
      <w:bookmarkStart w:id="2520" w:name="_Toc483907012"/>
      <w:bookmarkStart w:id="2521" w:name="_Toc484010762"/>
      <w:bookmarkStart w:id="2522" w:name="_Toc484010884"/>
      <w:bookmarkStart w:id="2523" w:name="_Toc484011008"/>
      <w:bookmarkStart w:id="2524" w:name="_Toc484011130"/>
      <w:bookmarkStart w:id="2525" w:name="_Toc484011252"/>
      <w:bookmarkStart w:id="2526" w:name="_Toc484011727"/>
      <w:bookmarkStart w:id="2527" w:name="_Toc484097801"/>
      <w:bookmarkStart w:id="2528" w:name="_Toc484428975"/>
      <w:bookmarkStart w:id="2529" w:name="_Toc484429145"/>
      <w:bookmarkStart w:id="2530" w:name="_Toc484438720"/>
      <w:bookmarkStart w:id="2531" w:name="_Toc484438844"/>
      <w:bookmarkStart w:id="2532" w:name="_Toc484438968"/>
      <w:bookmarkStart w:id="2533" w:name="_Toc484439888"/>
      <w:bookmarkStart w:id="2534" w:name="_Toc484440011"/>
      <w:bookmarkStart w:id="2535" w:name="_Toc484440135"/>
      <w:bookmarkStart w:id="2536" w:name="_Toc484440495"/>
      <w:bookmarkStart w:id="2537" w:name="_Toc484448155"/>
      <w:bookmarkStart w:id="2538" w:name="_Toc484448279"/>
      <w:bookmarkStart w:id="2539" w:name="_Toc484448403"/>
      <w:bookmarkStart w:id="2540" w:name="_Toc484448527"/>
      <w:bookmarkStart w:id="2541" w:name="_Toc484448651"/>
      <w:bookmarkStart w:id="2542" w:name="_Toc484448775"/>
      <w:bookmarkStart w:id="2543" w:name="_Toc484448898"/>
      <w:bookmarkStart w:id="2544" w:name="_Toc484449022"/>
      <w:bookmarkStart w:id="2545" w:name="_Toc484449146"/>
      <w:bookmarkStart w:id="2546" w:name="_Toc484526641"/>
      <w:bookmarkStart w:id="2547" w:name="_Toc484605361"/>
      <w:bookmarkStart w:id="2548" w:name="_Toc484605485"/>
      <w:bookmarkStart w:id="2549" w:name="_Toc484688354"/>
      <w:bookmarkStart w:id="2550" w:name="_Toc484688909"/>
      <w:bookmarkStart w:id="2551" w:name="_Toc485218344"/>
      <w:bookmarkStart w:id="2552" w:name="_Toc482025764"/>
      <w:bookmarkStart w:id="2553" w:name="_Toc482097588"/>
      <w:bookmarkStart w:id="2554" w:name="_Toc482097677"/>
      <w:bookmarkStart w:id="2555" w:name="_Toc482097766"/>
      <w:bookmarkStart w:id="2556" w:name="_Toc482097958"/>
      <w:bookmarkStart w:id="2557" w:name="_Toc482099060"/>
      <w:bookmarkStart w:id="2558" w:name="_Toc482100777"/>
      <w:bookmarkStart w:id="2559" w:name="_Toc482100934"/>
      <w:bookmarkStart w:id="2560" w:name="_Toc482101360"/>
      <w:bookmarkStart w:id="2561" w:name="_Toc482101497"/>
      <w:bookmarkStart w:id="2562" w:name="_Toc482101612"/>
      <w:bookmarkStart w:id="2563" w:name="_Toc482101787"/>
      <w:bookmarkStart w:id="2564" w:name="_Toc482101880"/>
      <w:bookmarkStart w:id="2565" w:name="_Toc482101975"/>
      <w:bookmarkStart w:id="2566" w:name="_Toc482102070"/>
      <w:bookmarkStart w:id="2567" w:name="_Toc482102164"/>
      <w:bookmarkStart w:id="2568" w:name="_Toc482352028"/>
      <w:bookmarkStart w:id="2569" w:name="_Toc482352118"/>
      <w:bookmarkStart w:id="2570" w:name="_Toc482352208"/>
      <w:bookmarkStart w:id="2571" w:name="_Toc482352298"/>
      <w:bookmarkStart w:id="2572" w:name="_Toc482633139"/>
      <w:bookmarkStart w:id="2573" w:name="_Toc482641316"/>
      <w:bookmarkStart w:id="2574" w:name="_Toc482712762"/>
      <w:bookmarkStart w:id="2575" w:name="_Toc482959550"/>
      <w:bookmarkStart w:id="2576" w:name="_Toc482959660"/>
      <w:bookmarkStart w:id="2577" w:name="_Toc482959770"/>
      <w:bookmarkStart w:id="2578" w:name="_Toc482978889"/>
      <w:bookmarkStart w:id="2579" w:name="_Toc482978998"/>
      <w:bookmarkStart w:id="2580" w:name="_Toc482979106"/>
      <w:bookmarkStart w:id="2581" w:name="_Toc482979217"/>
      <w:bookmarkStart w:id="2582" w:name="_Toc482979326"/>
      <w:bookmarkStart w:id="2583" w:name="_Toc482979435"/>
      <w:bookmarkStart w:id="2584" w:name="_Toc482979543"/>
      <w:bookmarkStart w:id="2585" w:name="_Toc482979641"/>
      <w:bookmarkStart w:id="2586" w:name="_Toc482979739"/>
      <w:bookmarkStart w:id="2587" w:name="_Toc483233699"/>
      <w:bookmarkStart w:id="2588" w:name="_Toc483302416"/>
      <w:bookmarkStart w:id="2589" w:name="_Toc483316037"/>
      <w:bookmarkStart w:id="2590" w:name="_Toc483316242"/>
      <w:bookmarkStart w:id="2591" w:name="_Toc483316374"/>
      <w:bookmarkStart w:id="2592" w:name="_Toc483316505"/>
      <w:bookmarkStart w:id="2593" w:name="_Toc483325808"/>
      <w:bookmarkStart w:id="2594" w:name="_Toc483401286"/>
      <w:bookmarkStart w:id="2595" w:name="_Toc483474082"/>
      <w:bookmarkStart w:id="2596" w:name="_Toc483571513"/>
      <w:bookmarkStart w:id="2597" w:name="_Toc483571635"/>
      <w:bookmarkStart w:id="2598" w:name="_Toc483907013"/>
      <w:bookmarkStart w:id="2599" w:name="_Toc484010763"/>
      <w:bookmarkStart w:id="2600" w:name="_Toc484010885"/>
      <w:bookmarkStart w:id="2601" w:name="_Toc484011009"/>
      <w:bookmarkStart w:id="2602" w:name="_Toc484011131"/>
      <w:bookmarkStart w:id="2603" w:name="_Toc484011253"/>
      <w:bookmarkStart w:id="2604" w:name="_Toc484011728"/>
      <w:bookmarkStart w:id="2605" w:name="_Toc484097802"/>
      <w:bookmarkStart w:id="2606" w:name="_Toc484428976"/>
      <w:bookmarkStart w:id="2607" w:name="_Toc484429146"/>
      <w:bookmarkStart w:id="2608" w:name="_Toc484438721"/>
      <w:bookmarkStart w:id="2609" w:name="_Toc484438845"/>
      <w:bookmarkStart w:id="2610" w:name="_Toc484438969"/>
      <w:bookmarkStart w:id="2611" w:name="_Toc484439889"/>
      <w:bookmarkStart w:id="2612" w:name="_Toc484440012"/>
      <w:bookmarkStart w:id="2613" w:name="_Toc484440136"/>
      <w:bookmarkStart w:id="2614" w:name="_Toc484440496"/>
      <w:bookmarkStart w:id="2615" w:name="_Toc484448156"/>
      <w:bookmarkStart w:id="2616" w:name="_Toc484448280"/>
      <w:bookmarkStart w:id="2617" w:name="_Toc484448404"/>
      <w:bookmarkStart w:id="2618" w:name="_Toc484448528"/>
      <w:bookmarkStart w:id="2619" w:name="_Toc484448652"/>
      <w:bookmarkStart w:id="2620" w:name="_Toc484448776"/>
      <w:bookmarkStart w:id="2621" w:name="_Toc484448899"/>
      <w:bookmarkStart w:id="2622" w:name="_Toc484449023"/>
      <w:bookmarkStart w:id="2623" w:name="_Toc484449147"/>
      <w:bookmarkStart w:id="2624" w:name="_Toc484526642"/>
      <w:bookmarkStart w:id="2625" w:name="_Toc484605362"/>
      <w:bookmarkStart w:id="2626" w:name="_Toc484605486"/>
      <w:bookmarkStart w:id="2627" w:name="_Toc484688355"/>
      <w:bookmarkStart w:id="2628" w:name="_Toc484688910"/>
      <w:bookmarkStart w:id="2629" w:name="_Toc485218345"/>
      <w:bookmarkStart w:id="2630" w:name="_Toc482025765"/>
      <w:bookmarkStart w:id="2631" w:name="_Toc482097589"/>
      <w:bookmarkStart w:id="2632" w:name="_Toc482097678"/>
      <w:bookmarkStart w:id="2633" w:name="_Toc482097767"/>
      <w:bookmarkStart w:id="2634" w:name="_Toc482097959"/>
      <w:bookmarkStart w:id="2635" w:name="_Toc482099061"/>
      <w:bookmarkStart w:id="2636" w:name="_Toc482100778"/>
      <w:bookmarkStart w:id="2637" w:name="_Toc482100935"/>
      <w:bookmarkStart w:id="2638" w:name="_Toc482101361"/>
      <w:bookmarkStart w:id="2639" w:name="_Toc482101498"/>
      <w:bookmarkStart w:id="2640" w:name="_Toc482101613"/>
      <w:bookmarkStart w:id="2641" w:name="_Toc482101788"/>
      <w:bookmarkStart w:id="2642" w:name="_Toc482101881"/>
      <w:bookmarkStart w:id="2643" w:name="_Toc482101976"/>
      <w:bookmarkStart w:id="2644" w:name="_Toc482102071"/>
      <w:bookmarkStart w:id="2645" w:name="_Toc482102165"/>
      <w:bookmarkStart w:id="2646" w:name="_Toc482352029"/>
      <w:bookmarkStart w:id="2647" w:name="_Toc482352119"/>
      <w:bookmarkStart w:id="2648" w:name="_Toc482352209"/>
      <w:bookmarkStart w:id="2649" w:name="_Toc482352299"/>
      <w:bookmarkStart w:id="2650" w:name="_Toc482633140"/>
      <w:bookmarkStart w:id="2651" w:name="_Toc482641317"/>
      <w:bookmarkStart w:id="2652" w:name="_Toc482712763"/>
      <w:bookmarkStart w:id="2653" w:name="_Toc482959551"/>
      <w:bookmarkStart w:id="2654" w:name="_Toc482959661"/>
      <w:bookmarkStart w:id="2655" w:name="_Toc482959771"/>
      <w:bookmarkStart w:id="2656" w:name="_Toc482978890"/>
      <w:bookmarkStart w:id="2657" w:name="_Toc482978999"/>
      <w:bookmarkStart w:id="2658" w:name="_Toc482979107"/>
      <w:bookmarkStart w:id="2659" w:name="_Toc482979218"/>
      <w:bookmarkStart w:id="2660" w:name="_Toc482979327"/>
      <w:bookmarkStart w:id="2661" w:name="_Toc482979436"/>
      <w:bookmarkStart w:id="2662" w:name="_Toc482979544"/>
      <w:bookmarkStart w:id="2663" w:name="_Toc482979642"/>
      <w:bookmarkStart w:id="2664" w:name="_Toc482979740"/>
      <w:bookmarkStart w:id="2665" w:name="_Toc483233700"/>
      <w:bookmarkStart w:id="2666" w:name="_Toc483302417"/>
      <w:bookmarkStart w:id="2667" w:name="_Toc483316038"/>
      <w:bookmarkStart w:id="2668" w:name="_Toc483316243"/>
      <w:bookmarkStart w:id="2669" w:name="_Toc483316375"/>
      <w:bookmarkStart w:id="2670" w:name="_Toc483316506"/>
      <w:bookmarkStart w:id="2671" w:name="_Toc483325809"/>
      <w:bookmarkStart w:id="2672" w:name="_Toc483401287"/>
      <w:bookmarkStart w:id="2673" w:name="_Toc483474083"/>
      <w:bookmarkStart w:id="2674" w:name="_Toc483571514"/>
      <w:bookmarkStart w:id="2675" w:name="_Toc483571636"/>
      <w:bookmarkStart w:id="2676" w:name="_Toc483907014"/>
      <w:bookmarkStart w:id="2677" w:name="_Toc484010764"/>
      <w:bookmarkStart w:id="2678" w:name="_Toc484010886"/>
      <w:bookmarkStart w:id="2679" w:name="_Toc484011010"/>
      <w:bookmarkStart w:id="2680" w:name="_Toc484011132"/>
      <w:bookmarkStart w:id="2681" w:name="_Toc484011254"/>
      <w:bookmarkStart w:id="2682" w:name="_Toc484011729"/>
      <w:bookmarkStart w:id="2683" w:name="_Toc484097803"/>
      <w:bookmarkStart w:id="2684" w:name="_Toc484428977"/>
      <w:bookmarkStart w:id="2685" w:name="_Toc484429147"/>
      <w:bookmarkStart w:id="2686" w:name="_Toc484438722"/>
      <w:bookmarkStart w:id="2687" w:name="_Toc484438846"/>
      <w:bookmarkStart w:id="2688" w:name="_Toc484438970"/>
      <w:bookmarkStart w:id="2689" w:name="_Toc484439890"/>
      <w:bookmarkStart w:id="2690" w:name="_Toc484440013"/>
      <w:bookmarkStart w:id="2691" w:name="_Toc484440137"/>
      <w:bookmarkStart w:id="2692" w:name="_Toc484440497"/>
      <w:bookmarkStart w:id="2693" w:name="_Toc484448157"/>
      <w:bookmarkStart w:id="2694" w:name="_Toc484448281"/>
      <w:bookmarkStart w:id="2695" w:name="_Toc484448405"/>
      <w:bookmarkStart w:id="2696" w:name="_Toc484448529"/>
      <w:bookmarkStart w:id="2697" w:name="_Toc484448653"/>
      <w:bookmarkStart w:id="2698" w:name="_Toc484448777"/>
      <w:bookmarkStart w:id="2699" w:name="_Toc484448900"/>
      <w:bookmarkStart w:id="2700" w:name="_Toc484449024"/>
      <w:bookmarkStart w:id="2701" w:name="_Toc484449148"/>
      <w:bookmarkStart w:id="2702" w:name="_Toc484526643"/>
      <w:bookmarkStart w:id="2703" w:name="_Toc484605363"/>
      <w:bookmarkStart w:id="2704" w:name="_Toc484605487"/>
      <w:bookmarkStart w:id="2705" w:name="_Toc484688356"/>
      <w:bookmarkStart w:id="2706" w:name="_Toc484688911"/>
      <w:bookmarkStart w:id="2707" w:name="_Toc485218346"/>
      <w:bookmarkStart w:id="2708" w:name="_Toc482025766"/>
      <w:bookmarkStart w:id="2709" w:name="_Toc482097590"/>
      <w:bookmarkStart w:id="2710" w:name="_Toc482097679"/>
      <w:bookmarkStart w:id="2711" w:name="_Toc482097768"/>
      <w:bookmarkStart w:id="2712" w:name="_Toc482097960"/>
      <w:bookmarkStart w:id="2713" w:name="_Toc482099062"/>
      <w:bookmarkStart w:id="2714" w:name="_Toc482100779"/>
      <w:bookmarkStart w:id="2715" w:name="_Toc482100936"/>
      <w:bookmarkStart w:id="2716" w:name="_Toc482101362"/>
      <w:bookmarkStart w:id="2717" w:name="_Toc482101499"/>
      <w:bookmarkStart w:id="2718" w:name="_Toc482101614"/>
      <w:bookmarkStart w:id="2719" w:name="_Toc482101789"/>
      <w:bookmarkStart w:id="2720" w:name="_Toc482101882"/>
      <w:bookmarkStart w:id="2721" w:name="_Toc482101977"/>
      <w:bookmarkStart w:id="2722" w:name="_Toc482102072"/>
      <w:bookmarkStart w:id="2723" w:name="_Toc482102166"/>
      <w:bookmarkStart w:id="2724" w:name="_Toc482352030"/>
      <w:bookmarkStart w:id="2725" w:name="_Toc482352120"/>
      <w:bookmarkStart w:id="2726" w:name="_Toc482352210"/>
      <w:bookmarkStart w:id="2727" w:name="_Toc482352300"/>
      <w:bookmarkStart w:id="2728" w:name="_Toc482633141"/>
      <w:bookmarkStart w:id="2729" w:name="_Toc482641318"/>
      <w:bookmarkStart w:id="2730" w:name="_Toc482712764"/>
      <w:bookmarkStart w:id="2731" w:name="_Toc482959552"/>
      <w:bookmarkStart w:id="2732" w:name="_Toc482959662"/>
      <w:bookmarkStart w:id="2733" w:name="_Toc482959772"/>
      <w:bookmarkStart w:id="2734" w:name="_Toc482978891"/>
      <w:bookmarkStart w:id="2735" w:name="_Toc482979000"/>
      <w:bookmarkStart w:id="2736" w:name="_Toc482979108"/>
      <w:bookmarkStart w:id="2737" w:name="_Toc482979219"/>
      <w:bookmarkStart w:id="2738" w:name="_Toc482979328"/>
      <w:bookmarkStart w:id="2739" w:name="_Toc482979437"/>
      <w:bookmarkStart w:id="2740" w:name="_Toc482979545"/>
      <w:bookmarkStart w:id="2741" w:name="_Toc482979643"/>
      <w:bookmarkStart w:id="2742" w:name="_Toc482979741"/>
      <w:bookmarkStart w:id="2743" w:name="_Toc483233701"/>
      <w:bookmarkStart w:id="2744" w:name="_Toc483302418"/>
      <w:bookmarkStart w:id="2745" w:name="_Toc483316039"/>
      <w:bookmarkStart w:id="2746" w:name="_Toc483316244"/>
      <w:bookmarkStart w:id="2747" w:name="_Toc483316376"/>
      <w:bookmarkStart w:id="2748" w:name="_Toc483316507"/>
      <w:bookmarkStart w:id="2749" w:name="_Toc483325810"/>
      <w:bookmarkStart w:id="2750" w:name="_Toc483401288"/>
      <w:bookmarkStart w:id="2751" w:name="_Toc483474084"/>
      <w:bookmarkStart w:id="2752" w:name="_Toc483571515"/>
      <w:bookmarkStart w:id="2753" w:name="_Toc483571637"/>
      <w:bookmarkStart w:id="2754" w:name="_Toc483907015"/>
      <w:bookmarkStart w:id="2755" w:name="_Toc484010765"/>
      <w:bookmarkStart w:id="2756" w:name="_Toc484010887"/>
      <w:bookmarkStart w:id="2757" w:name="_Toc484011011"/>
      <w:bookmarkStart w:id="2758" w:name="_Toc484011133"/>
      <w:bookmarkStart w:id="2759" w:name="_Toc484011255"/>
      <w:bookmarkStart w:id="2760" w:name="_Toc484011730"/>
      <w:bookmarkStart w:id="2761" w:name="_Toc484097804"/>
      <w:bookmarkStart w:id="2762" w:name="_Toc484428978"/>
      <w:bookmarkStart w:id="2763" w:name="_Toc484429148"/>
      <w:bookmarkStart w:id="2764" w:name="_Toc484438723"/>
      <w:bookmarkStart w:id="2765" w:name="_Toc484438847"/>
      <w:bookmarkStart w:id="2766" w:name="_Toc484438971"/>
      <w:bookmarkStart w:id="2767" w:name="_Toc484439891"/>
      <w:bookmarkStart w:id="2768" w:name="_Toc484440014"/>
      <w:bookmarkStart w:id="2769" w:name="_Toc484440138"/>
      <w:bookmarkStart w:id="2770" w:name="_Toc484440498"/>
      <w:bookmarkStart w:id="2771" w:name="_Toc484448158"/>
      <w:bookmarkStart w:id="2772" w:name="_Toc484448282"/>
      <w:bookmarkStart w:id="2773" w:name="_Toc484448406"/>
      <w:bookmarkStart w:id="2774" w:name="_Toc484448530"/>
      <w:bookmarkStart w:id="2775" w:name="_Toc484448654"/>
      <w:bookmarkStart w:id="2776" w:name="_Toc484448778"/>
      <w:bookmarkStart w:id="2777" w:name="_Toc484448901"/>
      <w:bookmarkStart w:id="2778" w:name="_Toc484449025"/>
      <w:bookmarkStart w:id="2779" w:name="_Toc484449149"/>
      <w:bookmarkStart w:id="2780" w:name="_Toc484526644"/>
      <w:bookmarkStart w:id="2781" w:name="_Toc484605364"/>
      <w:bookmarkStart w:id="2782" w:name="_Toc484605488"/>
      <w:bookmarkStart w:id="2783" w:name="_Toc484688357"/>
      <w:bookmarkStart w:id="2784" w:name="_Toc484688912"/>
      <w:bookmarkStart w:id="2785" w:name="_Toc485218347"/>
      <w:bookmarkStart w:id="2786" w:name="_Toc482025767"/>
      <w:bookmarkStart w:id="2787" w:name="_Toc482097591"/>
      <w:bookmarkStart w:id="2788" w:name="_Toc482097680"/>
      <w:bookmarkStart w:id="2789" w:name="_Toc482097769"/>
      <w:bookmarkStart w:id="2790" w:name="_Toc482097961"/>
      <w:bookmarkStart w:id="2791" w:name="_Toc482099063"/>
      <w:bookmarkStart w:id="2792" w:name="_Toc482100780"/>
      <w:bookmarkStart w:id="2793" w:name="_Toc482100937"/>
      <w:bookmarkStart w:id="2794" w:name="_Toc482101363"/>
      <w:bookmarkStart w:id="2795" w:name="_Toc482101500"/>
      <w:bookmarkStart w:id="2796" w:name="_Toc482101615"/>
      <w:bookmarkStart w:id="2797" w:name="_Toc482101790"/>
      <w:bookmarkStart w:id="2798" w:name="_Toc482101883"/>
      <w:bookmarkStart w:id="2799" w:name="_Toc482101978"/>
      <w:bookmarkStart w:id="2800" w:name="_Toc482102073"/>
      <w:bookmarkStart w:id="2801" w:name="_Toc482102167"/>
      <w:bookmarkStart w:id="2802" w:name="_Toc482352031"/>
      <w:bookmarkStart w:id="2803" w:name="_Toc482352121"/>
      <w:bookmarkStart w:id="2804" w:name="_Toc482352211"/>
      <w:bookmarkStart w:id="2805" w:name="_Toc482352301"/>
      <w:bookmarkStart w:id="2806" w:name="_Toc482633142"/>
      <w:bookmarkStart w:id="2807" w:name="_Toc482641319"/>
      <w:bookmarkStart w:id="2808" w:name="_Toc482712765"/>
      <w:bookmarkStart w:id="2809" w:name="_Toc482959553"/>
      <w:bookmarkStart w:id="2810" w:name="_Toc482959663"/>
      <w:bookmarkStart w:id="2811" w:name="_Toc482959773"/>
      <w:bookmarkStart w:id="2812" w:name="_Toc482978892"/>
      <w:bookmarkStart w:id="2813" w:name="_Toc482979001"/>
      <w:bookmarkStart w:id="2814" w:name="_Toc482979109"/>
      <w:bookmarkStart w:id="2815" w:name="_Toc482979220"/>
      <w:bookmarkStart w:id="2816" w:name="_Toc482979329"/>
      <w:bookmarkStart w:id="2817" w:name="_Toc482979438"/>
      <w:bookmarkStart w:id="2818" w:name="_Toc482979546"/>
      <w:bookmarkStart w:id="2819" w:name="_Toc482979644"/>
      <w:bookmarkStart w:id="2820" w:name="_Toc482979742"/>
      <w:bookmarkStart w:id="2821" w:name="_Toc483233702"/>
      <w:bookmarkStart w:id="2822" w:name="_Toc483302419"/>
      <w:bookmarkStart w:id="2823" w:name="_Toc483316040"/>
      <w:bookmarkStart w:id="2824" w:name="_Toc483316245"/>
      <w:bookmarkStart w:id="2825" w:name="_Toc483316377"/>
      <w:bookmarkStart w:id="2826" w:name="_Toc483316508"/>
      <w:bookmarkStart w:id="2827" w:name="_Toc483325811"/>
      <w:bookmarkStart w:id="2828" w:name="_Toc483401289"/>
      <w:bookmarkStart w:id="2829" w:name="_Toc483474085"/>
      <w:bookmarkStart w:id="2830" w:name="_Toc483571516"/>
      <w:bookmarkStart w:id="2831" w:name="_Toc483571638"/>
      <w:bookmarkStart w:id="2832" w:name="_Toc483907016"/>
      <w:bookmarkStart w:id="2833" w:name="_Toc484010766"/>
      <w:bookmarkStart w:id="2834" w:name="_Toc484010888"/>
      <w:bookmarkStart w:id="2835" w:name="_Toc484011012"/>
      <w:bookmarkStart w:id="2836" w:name="_Toc484011134"/>
      <w:bookmarkStart w:id="2837" w:name="_Toc484011256"/>
      <w:bookmarkStart w:id="2838" w:name="_Toc484011731"/>
      <w:bookmarkStart w:id="2839" w:name="_Toc484097805"/>
      <w:bookmarkStart w:id="2840" w:name="_Toc484428979"/>
      <w:bookmarkStart w:id="2841" w:name="_Toc484429149"/>
      <w:bookmarkStart w:id="2842" w:name="_Toc484438724"/>
      <w:bookmarkStart w:id="2843" w:name="_Toc484438848"/>
      <w:bookmarkStart w:id="2844" w:name="_Toc484438972"/>
      <w:bookmarkStart w:id="2845" w:name="_Toc484439892"/>
      <w:bookmarkStart w:id="2846" w:name="_Toc484440015"/>
      <w:bookmarkStart w:id="2847" w:name="_Toc484440139"/>
      <w:bookmarkStart w:id="2848" w:name="_Toc484440499"/>
      <w:bookmarkStart w:id="2849" w:name="_Toc484448159"/>
      <w:bookmarkStart w:id="2850" w:name="_Toc484448283"/>
      <w:bookmarkStart w:id="2851" w:name="_Toc484448407"/>
      <w:bookmarkStart w:id="2852" w:name="_Toc484448531"/>
      <w:bookmarkStart w:id="2853" w:name="_Toc484448655"/>
      <w:bookmarkStart w:id="2854" w:name="_Toc484448779"/>
      <w:bookmarkStart w:id="2855" w:name="_Toc484448902"/>
      <w:bookmarkStart w:id="2856" w:name="_Toc484449026"/>
      <w:bookmarkStart w:id="2857" w:name="_Toc484449150"/>
      <w:bookmarkStart w:id="2858" w:name="_Toc484526645"/>
      <w:bookmarkStart w:id="2859" w:name="_Toc484605365"/>
      <w:bookmarkStart w:id="2860" w:name="_Toc484605489"/>
      <w:bookmarkStart w:id="2861" w:name="_Toc484688358"/>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r>
        <w:rPr/>
        <w:t>AGGIUDICAZIONE DELL’APPALTO E STIPULA DEL CONTRATTO</w:t>
      </w:r>
      <w:bookmarkStart w:id="2862" w:name="_Ref531265966"/>
      <w:bookmarkEnd w:id="1924"/>
      <w:bookmarkEnd w:id="1925"/>
      <w:bookmarkEnd w:id="2862"/>
    </w:p>
    <w:p>
      <w:pPr>
        <w:pStyle w:val="Normal"/>
        <w:spacing w:before="60" w:after="60"/>
        <w:rPr>
          <w:rFonts w:ascii="Titillium" w:hAnsi="Titillium" w:cs="Calibri"/>
          <w:sz w:val="18"/>
          <w:szCs w:val="18"/>
        </w:rPr>
      </w:pPr>
      <w:r>
        <w:rPr>
          <w:rFonts w:cs="Calibri" w:ascii="Titillium" w:hAnsi="Titillium"/>
          <w:sz w:val="18"/>
          <w:szCs w:val="18"/>
        </w:rPr>
        <w:t xml:space="preserve">La proposta di aggiudicazione è formulata in favore del concorrente che ha presentato la migliore offerta. </w:t>
      </w:r>
    </w:p>
    <w:p>
      <w:pPr>
        <w:pStyle w:val="Normal"/>
        <w:rPr>
          <w:rFonts w:ascii="Titillium" w:hAnsi="Titillium" w:cs="Calibri"/>
          <w:sz w:val="18"/>
          <w:szCs w:val="18"/>
        </w:rPr>
      </w:pPr>
      <w:r>
        <w:rPr>
          <w:rFonts w:cs="Calibri" w:ascii="Titillium" w:hAnsi="Titillium"/>
          <w:sz w:val="18"/>
          <w:szCs w:val="18"/>
        </w:rPr>
        <w:t>Qualora nessuna offerta risulti conveniente o idonea in relazione all’oggetto del contratto, la stazione appaltante può decidere, entro 30 giorni dalla conclusione delle valutazioni delle offerte, di non procedere all’aggiudicazione.</w:t>
      </w:r>
    </w:p>
    <w:p>
      <w:pPr>
        <w:pStyle w:val="Normal"/>
        <w:rPr>
          <w:rFonts w:ascii="Titillium" w:hAnsi="Titillium" w:cs="Calibri"/>
          <w:sz w:val="18"/>
          <w:szCs w:val="18"/>
        </w:rPr>
      </w:pPr>
      <w:r>
        <w:rPr>
          <w:rFonts w:cs="Calibri" w:ascii="Titillium" w:hAnsi="Titillium"/>
          <w:sz w:val="18"/>
          <w:szCs w:val="18"/>
        </w:rPr>
      </w:r>
    </w:p>
    <w:p>
      <w:pPr>
        <w:pStyle w:val="Normal"/>
        <w:rPr>
          <w:rFonts w:ascii="Titillium" w:hAnsi="Titillium" w:cs="Calibri"/>
          <w:bCs/>
          <w:iCs/>
          <w:sz w:val="18"/>
          <w:szCs w:val="18"/>
        </w:rPr>
      </w:pPr>
      <w:r>
        <w:rPr>
          <w:rFonts w:cs="Calibri" w:ascii="Titillium" w:hAnsi="Titillium"/>
          <w:bCs/>
          <w:iCs/>
          <w:sz w:val="18"/>
          <w:szCs w:val="18"/>
        </w:rPr>
        <w:t xml:space="preserve">La stazione appaltante si riserva di procedere all’aggiudicazione anche in caso di presentazione di una sola offerta. </w:t>
      </w:r>
    </w:p>
    <w:p>
      <w:pPr>
        <w:pStyle w:val="BodyText"/>
        <w:tabs>
          <w:tab w:val="clear" w:pos="708"/>
          <w:tab w:val="left" w:pos="9639" w:leader="none"/>
        </w:tabs>
        <w:spacing w:lineRule="auto" w:line="276"/>
        <w:rPr>
          <w:rFonts w:ascii="Arial Narrow" w:hAnsi="Arial Narrow" w:cs="Arial"/>
          <w:sz w:val="22"/>
          <w:szCs w:val="22"/>
        </w:rPr>
      </w:pPr>
      <w:r>
        <w:rPr>
          <w:rFonts w:cs="Calibri" w:ascii="Titillium" w:hAnsi="Titillium"/>
          <w:sz w:val="18"/>
          <w:szCs w:val="18"/>
        </w:rPr>
        <w:t>Il RUPA procede, laddove non effettuata in sede di verifica di congruità dell’offerta, a verificare, ai sensi dell’</w:t>
      </w:r>
      <w:r>
        <w:rPr>
          <w:rFonts w:cs="Calibri" w:ascii="Titillium" w:hAnsi="Titillium"/>
          <w:sz w:val="18"/>
          <w:szCs w:val="18"/>
          <w:lang w:val="it-IT"/>
        </w:rPr>
        <w:t>Allegato</w:t>
      </w:r>
      <w:r>
        <w:rPr>
          <w:rFonts w:cs="Calibri" w:ascii="Titillium" w:hAnsi="Titillium"/>
          <w:sz w:val="18"/>
          <w:szCs w:val="18"/>
        </w:rPr>
        <w:t xml:space="preserve"> I.01 del Codice:</w:t>
      </w:r>
    </w:p>
    <w:p>
      <w:pPr>
        <w:pStyle w:val="ListParagraph"/>
        <w:numPr>
          <w:ilvl w:val="0"/>
          <w:numId w:val="36"/>
        </w:numPr>
        <w:spacing w:before="60" w:after="60"/>
        <w:ind w:hanging="360" w:left="426"/>
        <w:contextualSpacing/>
        <w:rPr>
          <w:rFonts w:ascii="Titillium" w:hAnsi="Titillium" w:cs="Calibri"/>
          <w:sz w:val="18"/>
          <w:szCs w:val="18"/>
        </w:rPr>
      </w:pPr>
      <w:r>
        <w:rPr>
          <w:rFonts w:cs="Calibri" w:ascii="Titillium" w:hAnsi="Titillium"/>
          <w:sz w:val="18"/>
          <w:szCs w:val="18"/>
        </w:rPr>
        <w:t xml:space="preserve">l’equivalenza delle tutele nel caso in cui l’aggiudicatario abbia dichiarato di applicare un diverso contratto collettivo nazionale rispetto a quello/i indicato/i dalla stazione appaltante e il rispetto di quanto indicato nella clausola sociale per l’applicazione dei contratti collettivi nazionali e territoriali di cui al paragrafo  </w:t>
      </w:r>
      <w:r>
        <w:rPr>
          <w:rFonts w:cs="Calibri" w:ascii="Titillium" w:hAnsi="Titillium"/>
          <w:sz w:val="18"/>
          <w:szCs w:val="18"/>
        </w:rPr>
        <w:fldChar w:fldCharType="begin"/>
      </w:r>
      <w:r>
        <w:rPr>
          <w:rFonts w:cs="Calibri" w:ascii="Titillium" w:hAnsi="Titillium"/>
          <w:sz w:val="18"/>
          <w:szCs w:val="18"/>
        </w:rPr>
        <w:instrText xml:space="preserve"> REF _Ref132050689 \r \r \h </w:instrText>
      </w:r>
      <w:r>
        <w:rPr>
          <w:rFonts w:cs="Calibri" w:ascii="Titillium" w:hAnsi="Titillium"/>
          <w:sz w:val="18"/>
          <w:szCs w:val="18"/>
        </w:rPr>
        <w:fldChar w:fldCharType="separate"/>
      </w:r>
      <w:r>
        <w:rPr>
          <w:rFonts w:cs="Calibri" w:ascii="Titillium" w:hAnsi="Titillium"/>
          <w:sz w:val="18"/>
          <w:szCs w:val="18"/>
        </w:rPr>
        <w:t>9</w:t>
      </w:r>
      <w:r>
        <w:rPr>
          <w:rFonts w:cs="Calibri" w:ascii="Titillium" w:hAnsi="Titillium"/>
          <w:sz w:val="18"/>
          <w:szCs w:val="18"/>
        </w:rPr>
        <w:fldChar w:fldCharType="end"/>
      </w:r>
      <w:r>
        <w:rPr>
          <w:rFonts w:cs="Calibri" w:ascii="Titillium" w:hAnsi="Titillium"/>
          <w:sz w:val="18"/>
          <w:szCs w:val="18"/>
        </w:rPr>
        <w:t xml:space="preserve"> ;</w:t>
      </w:r>
    </w:p>
    <w:p>
      <w:pPr>
        <w:pStyle w:val="ListParagraph"/>
        <w:numPr>
          <w:ilvl w:val="0"/>
          <w:numId w:val="36"/>
        </w:numPr>
        <w:spacing w:before="60" w:after="60"/>
        <w:ind w:hanging="360" w:left="426"/>
        <w:contextualSpacing/>
        <w:rPr/>
      </w:pPr>
      <w:r>
        <w:rPr>
          <w:rFonts w:cs="Calibri" w:ascii="Titillium" w:hAnsi="Titillium"/>
          <w:sz w:val="18"/>
          <w:szCs w:val="18"/>
        </w:rPr>
        <w:t>l’attendibilità degli impegni assunti dall’appaltatore in relazione a quanto richiesto dal paragrafo 9 e riguardante la stabilità occupazionale e le pari opportunità generazionali, di genere e di inclusione lavorativa per le persone con disabilità o svantaggiate.</w:t>
      </w:r>
    </w:p>
    <w:p>
      <w:pPr>
        <w:pStyle w:val="Normal"/>
        <w:spacing w:before="60" w:after="60"/>
        <w:rPr>
          <w:rFonts w:ascii="Titillium" w:hAnsi="Titillium" w:cs="Calibri"/>
          <w:sz w:val="18"/>
          <w:szCs w:val="18"/>
        </w:rPr>
      </w:pPr>
      <w:r>
        <w:rPr>
          <w:rFonts w:cs="Calibri" w:ascii="Titillium" w:hAnsi="Titillium"/>
          <w:sz w:val="18"/>
          <w:szCs w:val="18"/>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pPr>
        <w:pStyle w:val="Normal"/>
        <w:spacing w:before="60" w:after="60"/>
        <w:rPr>
          <w:rFonts w:ascii="Titillium" w:hAnsi="Titillium" w:eastAsia="SimSun"/>
          <w:sz w:val="18"/>
          <w:szCs w:val="18"/>
        </w:rPr>
      </w:pPr>
      <w:r>
        <w:rPr>
          <w:rFonts w:cs="Calibri" w:ascii="Titillium" w:hAnsi="Titillium"/>
          <w:sz w:val="18"/>
          <w:szCs w:val="18"/>
        </w:rPr>
        <w:t>Gli eventuali provvedimenti di esclusione dalla procedura di gara sono comunicati</w:t>
      </w:r>
      <w:r>
        <w:rPr>
          <w:rFonts w:eastAsia="SimSun" w:ascii="Titillium" w:hAnsi="Titillium"/>
          <w:sz w:val="18"/>
          <w:szCs w:val="18"/>
        </w:rPr>
        <w:t xml:space="preserve"> entro cinque giorni dalla loro adozione.</w:t>
      </w:r>
    </w:p>
    <w:p>
      <w:pPr>
        <w:pStyle w:val="ListParagraph"/>
        <w:ind w:left="0"/>
        <w:rPr>
          <w:rFonts w:ascii="Titillium" w:hAnsi="Titillium" w:eastAsia="SimSun"/>
          <w:sz w:val="18"/>
          <w:szCs w:val="18"/>
        </w:rPr>
      </w:pPr>
      <w:r>
        <w:rPr>
          <w:rFonts w:cs="Calibri" w:ascii="Titillium" w:hAnsi="Titillium"/>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pPr>
        <w:pStyle w:val="BodyText"/>
        <w:tabs>
          <w:tab w:val="clear" w:pos="708"/>
          <w:tab w:val="left" w:pos="9639" w:leader="none"/>
        </w:tabs>
        <w:spacing w:lineRule="auto" w:line="276"/>
        <w:rPr>
          <w:rFonts w:ascii="Titillium" w:hAnsi="Titillium" w:cs="Calibri"/>
          <w:sz w:val="18"/>
          <w:szCs w:val="18"/>
          <w:lang w:val="it-IT" w:eastAsia="en-US"/>
        </w:rPr>
      </w:pPr>
      <w:r>
        <w:rPr>
          <w:rFonts w:cs="Calibri" w:ascii="Titillium" w:hAnsi="Titillium"/>
          <w:sz w:val="18"/>
          <w:szCs w:val="18"/>
          <w:lang w:val="it-IT" w:eastAsia="en-US"/>
        </w:rPr>
        <w:t xml:space="preserve">La verifica è effettuata tramite il FVOE. In caso di malfunzionamento, anche parziale, del fascicolo virtuale dell’operatore economico o delle piattaforme, banche dati o sistemi di interoperabilità ad esso connessi, la stazione appaltante si riserva di aggiudicare dopo che sono trascorsi trenta giorni dalla proposta di aggiudicazione. In tal caso richiede un’autocertificazione all’offerente, resa ai sensi del d.P.R. 28 dicembre 2000, n. 445, che attesti il possesso dei requisiti e l’assenza delle cause di esclusione che, a causa del predetto malfunzionamento, non è stato possibile verificare. </w:t>
      </w:r>
    </w:p>
    <w:p>
      <w:pPr>
        <w:pStyle w:val="BodyText"/>
        <w:tabs>
          <w:tab w:val="clear" w:pos="708"/>
          <w:tab w:val="left" w:pos="9639" w:leader="none"/>
        </w:tabs>
        <w:spacing w:lineRule="auto" w:line="276"/>
        <w:rPr>
          <w:rFonts w:ascii="Titillium" w:hAnsi="Titillium" w:cs="Calibri"/>
          <w:sz w:val="18"/>
          <w:szCs w:val="18"/>
          <w:lang w:val="it-IT" w:eastAsia="en-US"/>
        </w:rPr>
      </w:pPr>
      <w:r>
        <w:rPr>
          <w:rFonts w:cs="Calibri" w:ascii="Titillium" w:hAnsi="Titillium"/>
          <w:sz w:val="18"/>
          <w:szCs w:val="18"/>
          <w:lang w:val="it-IT" w:eastAsia="en-US"/>
        </w:rPr>
        <w:t xml:space="preserve">Per le certificazioni che, allo stato, non sono ancora verificabili tramite il fascicolo virtuale dell’operatore economico, la stazione appaltante procede direttamente alla verifica presso gli Enti certificatori e, </w:t>
      </w:r>
      <w:bookmarkStart w:id="2863" w:name="_Hlk194056818"/>
      <w:r>
        <w:rPr>
          <w:rFonts w:cs="Calibri" w:ascii="Titillium" w:hAnsi="Titillium"/>
          <w:sz w:val="18"/>
          <w:szCs w:val="18"/>
          <w:lang w:val="it-IT" w:eastAsia="en-US"/>
        </w:rPr>
        <w:t>decorsi inutilmente 30 giorni dalla richiesta, si riserva di aggiudicare previa acquisizione di un’autocertificazione dall’operatore economico</w:t>
      </w:r>
      <w:bookmarkEnd w:id="2863"/>
      <w:r>
        <w:rPr>
          <w:rFonts w:cs="Calibri" w:ascii="Titillium" w:hAnsi="Titillium"/>
          <w:sz w:val="18"/>
          <w:szCs w:val="18"/>
          <w:lang w:val="it-IT" w:eastAsia="en-US"/>
        </w:rPr>
        <w:t xml:space="preserve">, resa ai sensi del d.P.R. 28 dicembre 2000, n. 445, che attesti il possesso dei requisiti e l’assenza delle cause di esclusione che non è stato possibile verificare. </w:t>
      </w:r>
    </w:p>
    <w:p>
      <w:pPr>
        <w:pStyle w:val="Normal"/>
        <w:spacing w:before="60" w:after="60"/>
        <w:rPr>
          <w:rFonts w:ascii="Titillium" w:hAnsi="Titillium" w:cs="Calibri"/>
          <w:sz w:val="18"/>
          <w:szCs w:val="18"/>
        </w:rPr>
      </w:pPr>
      <w:r>
        <w:rPr>
          <w:rFonts w:cs="Calibri" w:ascii="Titillium" w:hAnsi="Titillium"/>
          <w:sz w:val="18"/>
          <w:szCs w:val="18"/>
        </w:rPr>
        <w:t>In caso di esito negativo delle verifiche, si procede all’esclusione e all’eventuale segnalazione all’ANAC in presenza delle condizioni di cui all’articolo 96, comma 15. Ove ne ricorrano le condizioni, si procede altresì all’incameramento della garanzia provvisoria.</w:t>
      </w:r>
    </w:p>
    <w:p>
      <w:pPr>
        <w:pStyle w:val="Normal"/>
        <w:spacing w:before="60" w:after="60"/>
        <w:rPr>
          <w:rFonts w:ascii="Titillium" w:hAnsi="Titillium" w:cs="Calibri"/>
          <w:sz w:val="18"/>
          <w:szCs w:val="18"/>
        </w:rPr>
      </w:pPr>
      <w:r>
        <w:rPr>
          <w:rFonts w:cs="Calibri" w:ascii="Titillium" w:hAnsi="Titillium"/>
          <w:sz w:val="18"/>
          <w:szCs w:val="18"/>
        </w:rPr>
        <w:t>Successivamente si procede a ricalcolare i punteggi e a riformulare la graduatoria procedendo altresì, alle verifiche nei termini sopra indicati. Nell’ipotesi di ulteriore esito negativo delle verifiche si procede nei termini sopra detti.</w:t>
      </w:r>
    </w:p>
    <w:p>
      <w:pPr>
        <w:pStyle w:val="Normal"/>
        <w:spacing w:before="60" w:after="60"/>
        <w:rPr/>
      </w:pPr>
      <w:r>
        <w:rPr>
          <w:rFonts w:cs="Calibri" w:ascii="Titillium" w:hAnsi="Titillium"/>
          <w:sz w:val="18"/>
          <w:szCs w:val="18"/>
        </w:rPr>
        <w:t>Il contratto è stipulato non prima di 32 giorni dall’invio dell’ultima delle comunicazioni del provvedimento di aggiudicazione e comunque entro 60</w:t>
      </w:r>
      <w:r>
        <w:rPr>
          <w:rFonts w:cs="Calibri" w:ascii="Titillium" w:hAnsi="Titillium"/>
          <w:i/>
          <w:iCs/>
          <w:sz w:val="18"/>
          <w:szCs w:val="18"/>
        </w:rPr>
        <w:t xml:space="preserve"> </w:t>
      </w:r>
      <w:r>
        <w:rPr>
          <w:rFonts w:cs="Calibri" w:ascii="Titillium" w:hAnsi="Titillium"/>
          <w:sz w:val="18"/>
          <w:szCs w:val="18"/>
        </w:rPr>
        <w:t xml:space="preserve">giorni dall’aggiudicazione, salvo quanto previsto dall’articolo 18 comma 2 del Codice. </w:t>
      </w:r>
    </w:p>
    <w:p>
      <w:pPr>
        <w:pStyle w:val="Normal"/>
        <w:spacing w:before="60" w:after="60"/>
        <w:rPr>
          <w:rFonts w:ascii="Titillium" w:hAnsi="Titillium" w:cs="Calibri"/>
          <w:sz w:val="18"/>
          <w:szCs w:val="18"/>
        </w:rPr>
      </w:pPr>
      <w:r>
        <w:rPr>
          <w:rFonts w:cs="Calibri" w:ascii="Titillium" w:hAnsi="Titillium"/>
          <w:sz w:val="18"/>
          <w:szCs w:val="18"/>
        </w:rPr>
        <w:t>A seguito di richiesta motivata proveniente dall’aggiudicatario la data di stipula del contratto può essere differita purché ritenuta compatibile con la sollecita esecuzione del contratto stesso.</w:t>
      </w:r>
    </w:p>
    <w:p>
      <w:pPr>
        <w:pStyle w:val="Normal"/>
        <w:spacing w:before="60" w:after="60"/>
        <w:rPr>
          <w:rFonts w:ascii="Titillium" w:hAnsi="Titillium" w:cs="Calibri"/>
          <w:sz w:val="18"/>
          <w:szCs w:val="18"/>
        </w:rPr>
      </w:pPr>
      <w:r>
        <w:rPr>
          <w:rFonts w:cs="Calibri" w:ascii="Titillium" w:hAnsi="Titillium"/>
          <w:sz w:val="18"/>
          <w:szCs w:val="18"/>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pPr>
        <w:pStyle w:val="Normal"/>
        <w:spacing w:before="60" w:after="60"/>
        <w:rPr>
          <w:rFonts w:ascii="Titillium" w:hAnsi="Titillium" w:cs="Calibri"/>
          <w:sz w:val="18"/>
          <w:szCs w:val="18"/>
        </w:rPr>
      </w:pPr>
      <w:r>
        <w:rPr>
          <w:rFonts w:cs="Calibri" w:ascii="Titillium" w:hAnsi="Titillium"/>
          <w:sz w:val="18"/>
          <w:szCs w:val="18"/>
        </w:rPr>
        <w:t>All’atto della stipulazione del contratto, l’aggiudicatario deve presentare la garanzia definitiva da calcolare sull’importo contrattuale, secondo le misure e le modalità previste dall’articolo 117 del Codice.</w:t>
      </w:r>
    </w:p>
    <w:p>
      <w:pPr>
        <w:pStyle w:val="Normal"/>
        <w:spacing w:before="60" w:after="60"/>
        <w:rPr>
          <w:rFonts w:ascii="Titillium" w:hAnsi="Titillium" w:cs="Calibri"/>
          <w:sz w:val="18"/>
          <w:szCs w:val="18"/>
        </w:rPr>
      </w:pPr>
      <w:r>
        <w:rPr>
          <w:rFonts w:cs="Calibri" w:ascii="Titillium" w:hAnsi="Titillium"/>
          <w:sz w:val="18"/>
          <w:szCs w:val="18"/>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pPr>
        <w:pStyle w:val="Normal"/>
        <w:spacing w:before="60" w:after="60"/>
        <w:rPr>
          <w:rFonts w:ascii="Titillium" w:hAnsi="Titillium" w:cs="Calibri"/>
          <w:sz w:val="18"/>
          <w:szCs w:val="18"/>
        </w:rPr>
      </w:pPr>
      <w:r>
        <w:rPr>
          <w:rFonts w:cs="Calibri" w:ascii="Titillium" w:hAnsi="Titillium"/>
          <w:sz w:val="18"/>
          <w:szCs w:val="18"/>
        </w:rPr>
        <w:t xml:space="preserve">Se la stipula del contratto non avviene nel termine fissato per fatto dell’aggiudicatario può costituire motivo di revoca dell’aggiudicazione. </w:t>
      </w:r>
    </w:p>
    <w:p>
      <w:pPr>
        <w:pStyle w:val="Normal"/>
        <w:spacing w:before="60" w:after="60"/>
        <w:rPr>
          <w:rFonts w:ascii="Titillium" w:hAnsi="Titillium" w:cs="Calibri"/>
          <w:sz w:val="18"/>
          <w:szCs w:val="18"/>
        </w:rPr>
      </w:pPr>
      <w:r>
        <w:rPr>
          <w:rFonts w:cs="Calibri" w:ascii="Titillium" w:hAnsi="Titillium"/>
          <w:sz w:val="18"/>
          <w:szCs w:val="18"/>
        </w:rPr>
        <w:t>La mancata o tardiva stipula del contratto al di fuori delle ipotesi predette, costituisce violazione del dovere di buona fede, anche in pendenza di contenzioso.</w:t>
      </w:r>
    </w:p>
    <w:p>
      <w:pPr>
        <w:pStyle w:val="Normal"/>
        <w:spacing w:before="60" w:after="60"/>
        <w:rPr>
          <w:rFonts w:ascii="Titillium" w:hAnsi="Titillium" w:cs="Calibri"/>
          <w:sz w:val="18"/>
          <w:szCs w:val="18"/>
        </w:rPr>
      </w:pPr>
      <w:r>
        <w:rPr>
          <w:rFonts w:cs="Calibri" w:ascii="Titillium" w:hAnsi="Titillium"/>
          <w:sz w:val="18"/>
          <w:szCs w:val="18"/>
        </w:rPr>
        <w:t>L’aggiudicatario deposita, prima o contestualmente alla sottoscrizione del contratto di appalto, i contratti continuativi di cooperazione, servizio e/o fornitura di cui all’articolo 119, comma 3, lett. d) del Codice.</w:t>
      </w:r>
    </w:p>
    <w:p>
      <w:pPr>
        <w:pStyle w:val="Normal"/>
        <w:spacing w:before="60" w:after="60"/>
        <w:rPr>
          <w:rFonts w:ascii="Titillium" w:hAnsi="Titillium" w:cs="Calibri"/>
          <w:sz w:val="18"/>
          <w:szCs w:val="18"/>
        </w:rPr>
      </w:pPr>
      <w:r>
        <w:rPr>
          <w:rFonts w:cs="Calibri" w:ascii="Titillium" w:hAnsi="Titillium"/>
          <w:sz w:val="18"/>
          <w:szCs w:val="18"/>
        </w:rPr>
        <w:t>L’affidatario comunica, per ogni sub-contratto che non costituisce subappalto, l’importo e l’oggetto del medesimo, nonché il nome del sub-contraente, prima dell’inizio della prestazione.</w:t>
      </w:r>
    </w:p>
    <w:p>
      <w:pPr>
        <w:pStyle w:val="Normal"/>
        <w:spacing w:before="60" w:after="60"/>
        <w:rPr>
          <w:rFonts w:ascii="Titillium" w:hAnsi="Titillium" w:cs="Calibri"/>
          <w:iCs/>
          <w:sz w:val="18"/>
          <w:szCs w:val="18"/>
        </w:rPr>
      </w:pPr>
      <w:r>
        <w:rPr>
          <w:rFonts w:cs="Calibri" w:ascii="Titillium" w:hAnsi="Titillium"/>
          <w:sz w:val="18"/>
          <w:szCs w:val="18"/>
        </w:rPr>
        <w:t xml:space="preserve">Il contratto è stipulato mediante le </w:t>
      </w:r>
      <w:r>
        <w:rPr>
          <w:rFonts w:cs="Calibri" w:ascii="Titillium" w:hAnsi="Titillium"/>
          <w:iCs/>
          <w:sz w:val="18"/>
          <w:szCs w:val="18"/>
        </w:rPr>
        <w:t>modalità individuate dall’articolo 18 del Codice.</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 xml:space="preserve">Sono a carico dell’aggiudicatario tutte le spese contrattuali, gli oneri fiscali quali imposte e tasse - ivi comprese quelle di registro ove dovute - relative alla stipulazione del contratto. </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La stipulazione del contratto è subordinata all’esito positivo delle procedure previste dalla normativa vigente in materia di lotta alla mafia, fatto salvo quanto previsto dall’art. 88 comma 4-bis e 89 e dall’art. 92 comma 3 del d.lgs. 159/2011.</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Come da protocollo di Legalità del 19/06/2018 con la Prefettura di Bologna, in deroga alle soglie di valore previste dalla normativa vigente, quest’Azienda USL procederà a richiedere alla ditta aggiudicataria informazione antimafia ex artt.84 e 91 D.Lgs. 159/2011, tramite Banca Dati Nazionale Antimafia (B.D.N.A.), per tutti gli importi di aggiudicazione superiori a 50.000,00 euro.</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Come da protocollo di Legalità del 19/06/2018 con la Prefettura di Bologna:</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 la sottoscrizione del contratto ovvero le concessioni o le autorizzazioni effettuate prima dell’acquisizione delle informazioni di cui al D.Lgs. 159/2011, anche al di fuori delle soglie di valore ivi previste, sono corrisposte sotto condizione risolutiva e questa Azienda USL procederà alla revoca della concessione e allo scioglimento del contratto qualora dovessero intervenire informazioni interdittive.</w:t>
      </w:r>
    </w:p>
    <w:p>
      <w:pPr>
        <w:pStyle w:val="Normal"/>
        <w:widowControl w:val="false"/>
        <w:spacing w:before="60" w:after="60"/>
        <w:rPr>
          <w:rFonts w:ascii="Titillium" w:hAnsi="Titillium" w:cs="Calibri"/>
          <w:sz w:val="18"/>
          <w:szCs w:val="18"/>
          <w:lang w:eastAsia="it-IT"/>
        </w:rPr>
      </w:pPr>
      <w:r>
        <w:rPr>
          <w:rFonts w:cs="Calibri" w:ascii="Titillium" w:hAnsi="Titillium"/>
          <w:sz w:val="18"/>
          <w:szCs w:val="18"/>
          <w:lang w:eastAsia="it-IT"/>
        </w:rPr>
        <w:t>Il mancato rispetto del protocollo di legalità costituisce causa di risoluzione del contratto, ai sensi dell’articolo 83-bis, del decreto legislativo 159/2011.</w:t>
      </w:r>
    </w:p>
    <w:p>
      <w:pPr>
        <w:pStyle w:val="Normal"/>
        <w:spacing w:before="60" w:after="60"/>
        <w:rPr>
          <w:rFonts w:ascii="Titillium" w:hAnsi="Titillium" w:cs="Calibri"/>
          <w:sz w:val="18"/>
          <w:szCs w:val="18"/>
        </w:rPr>
      </w:pPr>
      <w:r>
        <w:rPr>
          <w:rFonts w:cs="Calibri" w:ascii="Titillium" w:hAnsi="Titillium"/>
          <w:sz w:val="18"/>
          <w:szCs w:val="18"/>
        </w:rPr>
      </w:r>
    </w:p>
    <w:p>
      <w:pPr>
        <w:pStyle w:val="Heading2"/>
        <w:numPr>
          <w:ilvl w:val="0"/>
          <w:numId w:val="3"/>
        </w:numPr>
        <w:rPr/>
      </w:pPr>
      <w:bookmarkStart w:id="2864" w:name="_Toc231396700"/>
      <w:r>
        <w:rPr/>
        <w:t>OBBLIGHI RELATIVI ALLA TRACCIABILITÀ DEI FLUSSI FINANZIARI</w:t>
      </w:r>
      <w:bookmarkEnd w:id="2864"/>
      <w:r>
        <w:rPr/>
        <w:t xml:space="preserve"> </w:t>
      </w:r>
    </w:p>
    <w:p>
      <w:pPr>
        <w:pStyle w:val="Normal"/>
        <w:rPr>
          <w:rFonts w:ascii="Titillium" w:hAnsi="Titillium"/>
          <w:sz w:val="18"/>
          <w:szCs w:val="18"/>
        </w:rPr>
      </w:pPr>
      <w:r>
        <w:rPr>
          <w:rFonts w:ascii="Titillium" w:hAnsi="Titillium"/>
          <w:sz w:val="18"/>
          <w:szCs w:val="18"/>
        </w:rPr>
        <w:t>Il contratto d’appalto, quelli di subappalto e i subcontratti sono soggetti agli obblighi in tema di tracciabilità dei flussi finanziari di cui alla legge 13 agosto 2010, n. 136</w:t>
      </w:r>
    </w:p>
    <w:p>
      <w:pPr>
        <w:pStyle w:val="Normal"/>
        <w:rPr>
          <w:rFonts w:ascii="Titillium" w:hAnsi="Titillium"/>
          <w:sz w:val="18"/>
          <w:szCs w:val="18"/>
        </w:rPr>
      </w:pPr>
      <w:r>
        <w:rPr>
          <w:rFonts w:ascii="Titillium" w:hAnsi="Titillium"/>
          <w:sz w:val="18"/>
          <w:szCs w:val="18"/>
        </w:rPr>
        <w:t>L’affidatario deve comunicare alla stazione appaltante:</w:t>
      </w:r>
    </w:p>
    <w:p>
      <w:pPr>
        <w:pStyle w:val="ListParagraph"/>
        <w:numPr>
          <w:ilvl w:val="0"/>
          <w:numId w:val="38"/>
        </w:numPr>
        <w:ind w:hanging="360" w:left="426"/>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pPr>
        <w:pStyle w:val="ListParagraph"/>
        <w:numPr>
          <w:ilvl w:val="0"/>
          <w:numId w:val="38"/>
        </w:numPr>
        <w:ind w:hanging="360" w:left="426"/>
        <w:rPr>
          <w:rFonts w:ascii="Titillium" w:hAnsi="Titillium"/>
          <w:sz w:val="18"/>
          <w:szCs w:val="18"/>
        </w:rPr>
      </w:pPr>
      <w:r>
        <w:rPr>
          <w:rFonts w:ascii="Titillium" w:hAnsi="Titillium"/>
          <w:sz w:val="18"/>
          <w:szCs w:val="18"/>
        </w:rPr>
        <w:t>le generalità e il codice fiscale delle persone delegate ad operare sugli stessi;</w:t>
      </w:r>
    </w:p>
    <w:p>
      <w:pPr>
        <w:pStyle w:val="ListParagraph"/>
        <w:numPr>
          <w:ilvl w:val="0"/>
          <w:numId w:val="38"/>
        </w:numPr>
        <w:ind w:hanging="360" w:left="426"/>
        <w:rPr>
          <w:rFonts w:ascii="Titillium" w:hAnsi="Titillium"/>
          <w:sz w:val="18"/>
          <w:szCs w:val="18"/>
        </w:rPr>
      </w:pPr>
      <w:r>
        <w:rPr>
          <w:rFonts w:ascii="Titillium" w:hAnsi="Titillium"/>
          <w:sz w:val="18"/>
          <w:szCs w:val="18"/>
        </w:rPr>
        <w:t xml:space="preserve">ogni modifica relativa ai dati trasmessi. </w:t>
      </w:r>
    </w:p>
    <w:p>
      <w:pPr>
        <w:pStyle w:val="Normal"/>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pPr>
        <w:pStyle w:val="Normal"/>
        <w:rPr>
          <w:rFonts w:ascii="Titillium" w:hAnsi="Titillium"/>
          <w:sz w:val="18"/>
          <w:szCs w:val="18"/>
        </w:rPr>
      </w:pPr>
      <w:r>
        <w:rPr>
          <w:rFonts w:ascii="Titillium" w:hAnsi="Titillium"/>
          <w:sz w:val="18"/>
          <w:szCs w:val="18"/>
        </w:rPr>
        <w:t xml:space="preserve">Il mancato adempimento agli obblighi previsti per la tracciabilità dei flussi finanziari relativi all’appalto comporta la risoluzione di diritto del contratto. </w:t>
      </w:r>
    </w:p>
    <w:p>
      <w:pPr>
        <w:pStyle w:val="Normal"/>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pPr>
        <w:pStyle w:val="Normal"/>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contratto.</w:t>
      </w:r>
    </w:p>
    <w:p>
      <w:pPr>
        <w:pStyle w:val="Normal"/>
        <w:rPr>
          <w:rFonts w:ascii="Titillium" w:hAnsi="Titillium"/>
          <w:sz w:val="18"/>
          <w:szCs w:val="18"/>
        </w:rPr>
      </w:pPr>
      <w:r>
        <w:rPr>
          <w:rFonts w:ascii="Titillium" w:hAnsi="Titillium"/>
          <w:sz w:val="18"/>
          <w:szCs w:val="18"/>
        </w:rPr>
      </w:r>
    </w:p>
    <w:p>
      <w:pPr>
        <w:pStyle w:val="Heading2"/>
        <w:numPr>
          <w:ilvl w:val="0"/>
          <w:numId w:val="3"/>
        </w:numPr>
        <w:rPr/>
      </w:pPr>
      <w:bookmarkStart w:id="2865" w:name="_Toc231396701"/>
      <w:r>
        <w:rPr/>
        <w:t>CODICE DI COMPORTAMENTO</w:t>
      </w:r>
      <w:bookmarkEnd w:id="2865"/>
      <w:r>
        <w:rPr/>
        <w:t xml:space="preserve">  </w:t>
      </w:r>
    </w:p>
    <w:p>
      <w:pPr>
        <w:pStyle w:val="Normal"/>
        <w:widowControl w:val="false"/>
        <w:spacing w:lineRule="exact" w:line="280"/>
        <w:rPr/>
      </w:pPr>
      <w:r>
        <w:rPr>
          <w:rFonts w:ascii="Titillium" w:hAnsi="Titillium"/>
          <w:sz w:val="18"/>
          <w:szCs w:val="18"/>
          <w:lang w:eastAsia="it-IT"/>
        </w:rPr>
        <w:t>Nello svolgimento delle attività oggetto del contratto di appalto, l’aggiudicatario deve uniformarsi ai principi e, per quanto compatibili, ai doveri di condotta richiamati nel Decreto del Presidente della Repubblica 16 aprile 2013 n. 62  e nel codice di comportamento di questa stazione appaltante e n</w:t>
      </w:r>
      <w:r>
        <w:rPr>
          <w:rFonts w:ascii="Titillium" w:hAnsi="Titillium"/>
          <w:iCs/>
          <w:sz w:val="18"/>
          <w:szCs w:val="18"/>
          <w:lang w:eastAsia="it-IT"/>
        </w:rPr>
        <w:t>el Piano Triennale di Prevenzione della Corruzione e della Trasparenza</w:t>
      </w:r>
      <w:r>
        <w:rPr>
          <w:rFonts w:ascii="Titillium" w:hAnsi="Titillium"/>
          <w:i/>
          <w:iCs/>
          <w:sz w:val="18"/>
          <w:szCs w:val="18"/>
          <w:lang w:eastAsia="it-IT"/>
        </w:rPr>
        <w:t xml:space="preserve">, </w:t>
      </w:r>
      <w:r>
        <w:rPr>
          <w:rFonts w:ascii="Titillium" w:hAnsi="Titillium"/>
          <w:sz w:val="18"/>
          <w:szCs w:val="18"/>
          <w:lang w:eastAsia="it-IT"/>
        </w:rPr>
        <w:t>nonché nella</w:t>
      </w:r>
      <w:r>
        <w:rPr>
          <w:rFonts w:ascii="Titillium" w:hAnsi="Titillium"/>
          <w:iCs/>
          <w:sz w:val="18"/>
          <w:szCs w:val="18"/>
          <w:lang w:eastAsia="it-IT"/>
        </w:rPr>
        <w:t xml:space="preserve"> sottosezione Rischi corruttivi e trasparenza del PIAO</w:t>
      </w:r>
      <w:r>
        <w:rPr>
          <w:rFonts w:ascii="Titillium" w:hAnsi="Titillium"/>
          <w:sz w:val="18"/>
          <w:szCs w:val="18"/>
          <w:lang w:eastAsia="it-IT"/>
        </w:rPr>
        <w:t xml:space="preserve">. </w:t>
      </w:r>
    </w:p>
    <w:p>
      <w:pPr>
        <w:pStyle w:val="Normal"/>
        <w:widowControl w:val="false"/>
        <w:spacing w:lineRule="exact" w:line="280"/>
        <w:rPr>
          <w:rFonts w:ascii="Titillium" w:hAnsi="Titillium"/>
          <w:sz w:val="18"/>
          <w:szCs w:val="18"/>
          <w:lang w:eastAsia="it-IT"/>
        </w:rPr>
      </w:pPr>
      <w:r>
        <w:rPr>
          <w:rFonts w:ascii="Titillium" w:hAnsi="Titillium"/>
          <w:sz w:val="18"/>
          <w:szCs w:val="18"/>
          <w:lang w:eastAsia="it-IT"/>
        </w:rPr>
        <w:t>In seguito alla comunicazione di aggiudicazione e prima della stipula del contratto, l’aggiudicatario</w:t>
      </w:r>
      <w:r>
        <w:rPr>
          <w:rFonts w:ascii="Titillium" w:hAnsi="Titillium"/>
          <w:i/>
          <w:sz w:val="18"/>
          <w:szCs w:val="18"/>
          <w:lang w:eastAsia="it-IT"/>
        </w:rPr>
        <w:t xml:space="preserve"> </w:t>
      </w:r>
      <w:r>
        <w:rPr>
          <w:rFonts w:ascii="Titillium" w:hAnsi="Titillium"/>
          <w:sz w:val="18"/>
          <w:szCs w:val="18"/>
          <w:lang w:eastAsia="it-IT"/>
        </w:rPr>
        <w:t>ha l’onere di prendere visione dei già menzionati documenti pubblicati sul sito della stazione appaltante:</w:t>
      </w:r>
    </w:p>
    <w:p>
      <w:pPr>
        <w:pStyle w:val="Normal"/>
        <w:widowControl w:val="false"/>
        <w:spacing w:lineRule="exact" w:line="280"/>
        <w:rPr>
          <w:rFonts w:ascii="Titillium" w:hAnsi="Titillium"/>
          <w:sz w:val="18"/>
          <w:szCs w:val="18"/>
          <w:lang w:eastAsia="it-IT"/>
        </w:rPr>
      </w:pPr>
      <w:r>
        <w:rPr>
          <w:rFonts w:ascii="Titillium" w:hAnsi="Titillium"/>
          <w:sz w:val="18"/>
          <w:szCs w:val="18"/>
          <w:lang w:eastAsia="it-IT"/>
        </w:rPr>
        <w:t>- Codice di comportamento - https://www.ausl.bologna.it/amministrazione-trasparente/disposizioni-generali/atti-generali/cdcc</w:t>
      </w:r>
    </w:p>
    <w:p>
      <w:pPr>
        <w:pStyle w:val="Normal"/>
        <w:widowControl w:val="false"/>
        <w:spacing w:lineRule="exact" w:line="280"/>
        <w:rPr>
          <w:rFonts w:ascii="Titillium" w:hAnsi="Titillium"/>
          <w:sz w:val="18"/>
          <w:szCs w:val="18"/>
          <w:lang w:eastAsia="it-IT"/>
        </w:rPr>
      </w:pPr>
      <w:r>
        <w:rPr>
          <w:rFonts w:ascii="Titillium" w:hAnsi="Titillium"/>
          <w:sz w:val="18"/>
          <w:szCs w:val="18"/>
          <w:lang w:eastAsia="it-IT"/>
        </w:rPr>
        <w:t>- Piano Triennale di Prevenzione della Corruzione e della Trasparenza e sottosezione Rischi corruttivi e trasparenza PIAO https://www.ausl.bologna.it/amministrazione-trasparente/altri-contenuti-dati-ulteriori/ac/corruzione</w:t>
      </w:r>
    </w:p>
    <w:p>
      <w:pPr>
        <w:pStyle w:val="Normal"/>
        <w:widowControl w:val="false"/>
        <w:spacing w:lineRule="exact" w:line="280"/>
        <w:rPr/>
      </w:pPr>
      <w:r>
        <w:rPr/>
      </w:r>
    </w:p>
    <w:p>
      <w:pPr>
        <w:pStyle w:val="Heading2"/>
        <w:numPr>
          <w:ilvl w:val="0"/>
          <w:numId w:val="3"/>
        </w:numPr>
        <w:rPr/>
      </w:pPr>
      <w:bookmarkStart w:id="2866" w:name="_Toc231396702"/>
      <w:r>
        <w:rPr/>
        <w:t>ACCESSO AGLI ATTI</w:t>
      </w:r>
      <w:bookmarkEnd w:id="2866"/>
    </w:p>
    <w:p>
      <w:pPr>
        <w:pStyle w:val="Normal"/>
        <w:widowControl w:val="false"/>
        <w:spacing w:lineRule="exact" w:line="280"/>
        <w:rPr>
          <w:rFonts w:ascii="Titillium" w:hAnsi="Titillium"/>
          <w:sz w:val="18"/>
          <w:szCs w:val="18"/>
        </w:rPr>
      </w:pPr>
      <w:r>
        <w:rPr>
          <w:rFonts w:ascii="Titillium" w:hAnsi="Titillium"/>
          <w:sz w:val="18"/>
          <w:szCs w:val="18"/>
        </w:rPr>
        <w:t>L’accesso agli atti della procedura è assicurato in modalità digitale mediante acquisizione diretta dei dati e delle informazioni inseriti nelle PAD a decorrere dalla comunicazione digitale dell’aggiudicazione.</w:t>
      </w:r>
    </w:p>
    <w:p>
      <w:pPr>
        <w:pStyle w:val="Normal"/>
        <w:widowControl w:val="false"/>
        <w:spacing w:lineRule="exact" w:line="280"/>
        <w:rPr>
          <w:rFonts w:ascii="Titillium" w:hAnsi="Titillium"/>
          <w:sz w:val="18"/>
          <w:szCs w:val="18"/>
        </w:rPr>
      </w:pPr>
      <w:r>
        <w:rPr>
          <w:rFonts w:ascii="Titillium" w:hAnsi="Titillium"/>
          <w:sz w:val="18"/>
          <w:szCs w:val="18"/>
        </w:rPr>
        <w:t>A tutti i partecipanti non esclusi in via definitiva sono messi a disposizione, mediante la PAD, l’offerta dell’operatore economico risultato aggiudicatario, i verbali di gara e gli atti, i dati e le informazioni che sono stati valutati ai fini dell’aggiudicazione. La disponibilità dei documenti è garantita secondo le modalità indicate all’articolo 36 del Codice.</w:t>
      </w:r>
    </w:p>
    <w:p>
      <w:pPr>
        <w:pStyle w:val="Normal"/>
        <w:widowControl w:val="false"/>
        <w:spacing w:lineRule="exact" w:line="280"/>
        <w:rPr>
          <w:rFonts w:ascii="Titillium" w:hAnsi="Titillium"/>
          <w:sz w:val="18"/>
          <w:szCs w:val="18"/>
        </w:rPr>
      </w:pPr>
      <w:r>
        <w:rPr>
          <w:rFonts w:ascii="Titillium" w:hAnsi="Titillium"/>
          <w:sz w:val="18"/>
          <w:szCs w:val="18"/>
        </w:rPr>
        <w:t>Ai partecipanti collocatisi nei primi cinque posti della graduatoria sono rese disponibili, reciprocamente, le offerte presentate dagli stessi mediante indicate all’articolo 36 del Codice.</w:t>
      </w:r>
    </w:p>
    <w:p>
      <w:pPr>
        <w:pStyle w:val="Normal"/>
        <w:widowControl w:val="false"/>
        <w:spacing w:lineRule="exact" w:line="280"/>
        <w:rPr>
          <w:rFonts w:ascii="Titillium" w:hAnsi="Titillium"/>
          <w:sz w:val="18"/>
          <w:szCs w:val="18"/>
        </w:rPr>
      </w:pPr>
      <w:r>
        <w:rPr>
          <w:rFonts w:ascii="Titillium" w:hAnsi="Titillium"/>
          <w:sz w:val="18"/>
          <w:szCs w:val="18"/>
        </w:rPr>
        <w:t xml:space="preserve">La disponibilità della documentazione è comunicata agli interessati mediante la Piattaforma.  </w:t>
      </w:r>
    </w:p>
    <w:p>
      <w:pPr>
        <w:pStyle w:val="Normal"/>
        <w:widowControl w:val="false"/>
        <w:spacing w:lineRule="exact" w:line="280"/>
        <w:rPr>
          <w:rFonts w:ascii="Titillium" w:hAnsi="Titillium"/>
          <w:sz w:val="18"/>
          <w:szCs w:val="18"/>
        </w:rPr>
      </w:pPr>
      <w:r>
        <w:rPr>
          <w:rFonts w:ascii="Titillium" w:hAnsi="Titillium"/>
          <w:sz w:val="18"/>
          <w:szCs w:val="18"/>
        </w:rPr>
        <w:t xml:space="preserve">I partecipanti collocatisi oltre il quinto posto della graduatoria possono accedere alle offerte dei concorrenti diversi dal primo presentando apposita istanza ai sensi degli articoli 3 bis e 22 della legge n. 241/90. </w:t>
      </w:r>
    </w:p>
    <w:p>
      <w:pPr>
        <w:pStyle w:val="Normal"/>
        <w:widowControl w:val="false"/>
        <w:spacing w:lineRule="exact" w:line="280"/>
        <w:rPr>
          <w:rFonts w:ascii="Titillium" w:hAnsi="Titillium"/>
          <w:sz w:val="18"/>
          <w:szCs w:val="18"/>
        </w:rPr>
      </w:pPr>
      <w:r>
        <w:rPr>
          <w:rFonts w:ascii="Titillium" w:hAnsi="Titillium"/>
          <w:sz w:val="18"/>
          <w:szCs w:val="18"/>
        </w:rPr>
        <w:t>Nel caso in cui sia richiesto l’oscuramento di parti delle offerte e dei giustificativi, le decisioni in ordine all’accoglimento o al rigetto della richiesta sono rese note dal Responsabile unico di progetto al momento della comunicazione digitale dell’aggiudicazione.  Le decisioni di cui sopra possono essere impugnate innanzi al Tribunale amministrativo di competenza nel termine di dieci giorni dalla comunicazione. Prima del decorso di tale termine le offerte e i giustificativi dei primi cinque classificati sono messi reciprocamente a disposizione, con le modalità suindicate, nella versione oscurata.</w:t>
      </w:r>
    </w:p>
    <w:p>
      <w:pPr>
        <w:pStyle w:val="Normal"/>
        <w:widowControl w:val="false"/>
        <w:spacing w:lineRule="exact" w:line="280"/>
        <w:rPr>
          <w:rFonts w:ascii="Titillium" w:hAnsi="Titillium"/>
          <w:sz w:val="18"/>
          <w:szCs w:val="18"/>
        </w:rPr>
      </w:pPr>
      <w:r>
        <w:rPr>
          <w:rFonts w:ascii="Titillium" w:hAnsi="Titillium"/>
          <w:sz w:val="18"/>
          <w:szCs w:val="18"/>
        </w:rPr>
        <w:t>Fatti salvi i casi di esclusione di cui all’articolo 35, comma 4, del codice, gli atti della procedura sono resi accessibili ai soggetti che presentino apposita istanza di accesso civico ai sensi dell’articolo 5 del decreto legislativo 14/3/2013, n. 33. L’esercizio del diritto di accesso è differito nei casi indicati al comma 2 dell’articolo 35 del codice.</w:t>
      </w:r>
    </w:p>
    <w:p>
      <w:pPr>
        <w:pStyle w:val="Normal"/>
        <w:widowControl w:val="false"/>
        <w:spacing w:lineRule="exact" w:line="280"/>
        <w:rPr>
          <w:rFonts w:ascii="Titillium" w:hAnsi="Titillium"/>
          <w:sz w:val="18"/>
          <w:szCs w:val="18"/>
        </w:rPr>
      </w:pPr>
      <w:r>
        <w:rPr>
          <w:rFonts w:ascii="Titillium" w:hAnsi="Titillium"/>
          <w:sz w:val="18"/>
          <w:szCs w:val="18"/>
        </w:rPr>
      </w:r>
    </w:p>
    <w:p>
      <w:pPr>
        <w:pStyle w:val="Heading2"/>
        <w:numPr>
          <w:ilvl w:val="0"/>
          <w:numId w:val="3"/>
        </w:numPr>
        <w:rPr/>
      </w:pPr>
      <w:bookmarkStart w:id="2867" w:name="_Toc231396703"/>
      <w:bookmarkStart w:id="2868" w:name="_Toc406754194"/>
      <w:bookmarkStart w:id="2869" w:name="_Toc416423377"/>
      <w:bookmarkStart w:id="2870" w:name="_Toc354038182"/>
      <w:bookmarkStart w:id="2871" w:name="_Toc380501885"/>
      <w:bookmarkStart w:id="2872" w:name="_Toc391035998"/>
      <w:bookmarkStart w:id="2873" w:name="_Toc391036071"/>
      <w:bookmarkStart w:id="2874" w:name="_Toc392577512"/>
      <w:bookmarkStart w:id="2875" w:name="_Toc393110579"/>
      <w:bookmarkStart w:id="2876" w:name="_Toc393112143"/>
      <w:bookmarkStart w:id="2877" w:name="_Toc393187860"/>
      <w:bookmarkStart w:id="2878" w:name="_Toc393272616"/>
      <w:bookmarkStart w:id="2879" w:name="_Toc393272674"/>
      <w:bookmarkStart w:id="2880" w:name="_Toc393283190"/>
      <w:bookmarkStart w:id="2881" w:name="_Toc393700849"/>
      <w:bookmarkStart w:id="2882" w:name="_Toc393706922"/>
      <w:bookmarkStart w:id="2883" w:name="_Toc397346837"/>
      <w:bookmarkStart w:id="2884" w:name="_Toc397422878"/>
      <w:bookmarkStart w:id="2885" w:name="_Toc403471285"/>
      <w:bookmarkStart w:id="2886" w:name="_Toc406058393"/>
      <w:r>
        <w:rPr/>
        <w:t>DEFINIZIONE DELLE CONTROVERSIE</w:t>
      </w:r>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r>
        <w:rPr/>
        <w:t xml:space="preserve"> </w:t>
      </w:r>
    </w:p>
    <w:p>
      <w:pPr>
        <w:pStyle w:val="Normal"/>
        <w:spacing w:before="60" w:after="60"/>
        <w:rPr/>
      </w:pPr>
      <w:r>
        <w:rPr>
          <w:rFonts w:ascii="Titillium" w:hAnsi="Titillium"/>
          <w:sz w:val="18"/>
          <w:szCs w:val="18"/>
          <w:lang w:eastAsia="it-IT"/>
        </w:rPr>
        <w:t xml:space="preserve">Per le controversie derivanti dalla presente procedura di gara è competente il Tribunale Amministrativo di Bologna. </w:t>
      </w:r>
    </w:p>
    <w:p>
      <w:pPr>
        <w:pStyle w:val="Normal"/>
        <w:spacing w:before="60" w:after="60"/>
        <w:rPr>
          <w:rFonts w:ascii="Titillium" w:hAnsi="Titillium"/>
          <w:bCs/>
          <w:iCs/>
          <w:sz w:val="18"/>
          <w:szCs w:val="18"/>
          <w:lang w:eastAsia="it-IT"/>
        </w:rPr>
      </w:pPr>
      <w:r>
        <w:rPr>
          <w:rFonts w:ascii="Titillium" w:hAnsi="Titillium"/>
          <w:bCs/>
          <w:iCs/>
          <w:sz w:val="18"/>
          <w:szCs w:val="18"/>
          <w:lang w:eastAsia="it-IT"/>
        </w:rPr>
        <w:t xml:space="preserve">Si precisa che il contratto non conterrà la clausola compromissoria. </w:t>
      </w:r>
    </w:p>
    <w:p>
      <w:pPr>
        <w:pStyle w:val="Normal"/>
        <w:spacing w:before="60" w:after="60"/>
        <w:rPr>
          <w:rFonts w:ascii="Titillium" w:hAnsi="Titillium"/>
          <w:sz w:val="18"/>
          <w:szCs w:val="18"/>
          <w:lang w:eastAsia="it-IT"/>
        </w:rPr>
      </w:pPr>
      <w:r>
        <w:rPr>
          <w:rFonts w:ascii="Titillium" w:hAnsi="Titillium"/>
          <w:sz w:val="18"/>
          <w:szCs w:val="18"/>
          <w:lang w:eastAsia="it-IT"/>
        </w:rPr>
      </w:r>
    </w:p>
    <w:p>
      <w:pPr>
        <w:pStyle w:val="Heading2"/>
        <w:numPr>
          <w:ilvl w:val="0"/>
          <w:numId w:val="3"/>
        </w:numPr>
        <w:rPr/>
      </w:pPr>
      <w:bookmarkStart w:id="2887" w:name="_Toc231396704"/>
      <w:bookmarkStart w:id="2888" w:name="_Ref132066072"/>
      <w:bookmarkStart w:id="2889" w:name="_Toc406754195"/>
      <w:bookmarkStart w:id="2890" w:name="_Toc416423378"/>
      <w:bookmarkStart w:id="2891" w:name="_Toc354038183"/>
      <w:bookmarkStart w:id="2892" w:name="_Toc380501886"/>
      <w:bookmarkStart w:id="2893" w:name="_Toc391035999"/>
      <w:bookmarkStart w:id="2894" w:name="_Toc391036072"/>
      <w:bookmarkStart w:id="2895" w:name="_Toc392577513"/>
      <w:bookmarkStart w:id="2896" w:name="_Toc393110580"/>
      <w:bookmarkStart w:id="2897" w:name="_Toc393112144"/>
      <w:bookmarkStart w:id="2898" w:name="_Toc393187861"/>
      <w:bookmarkStart w:id="2899" w:name="_Toc393272617"/>
      <w:bookmarkStart w:id="2900" w:name="_Toc393272675"/>
      <w:bookmarkStart w:id="2901" w:name="_Toc393283191"/>
      <w:bookmarkStart w:id="2902" w:name="_Toc393700850"/>
      <w:bookmarkStart w:id="2903" w:name="_Toc393706923"/>
      <w:bookmarkStart w:id="2904" w:name="_Toc397346838"/>
      <w:bookmarkStart w:id="2905" w:name="_Toc397422879"/>
      <w:bookmarkStart w:id="2906" w:name="_Toc403471286"/>
      <w:bookmarkStart w:id="2907" w:name="_Toc406058394"/>
      <w:r>
        <w:rPr/>
        <w:t>TRATTAMENTO DEI DATI PERSONALI</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Ai sensi dell’art.13 del Regolamento UE/2016/679 (GDPR) si informa che il trattamento dei dati personali conferiti nell’ambito della procedura di acquisizione di beni o servizi, o comunque raccolti dall’Azienda USL di Bologna a tale scopo, è finalizzato unicamente all’espletamento della predetta procedura, nonché delle attività ad essa correlate e conseguenti.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L’Azienda, per le finalità sopra descritte, raccoglie e tratta: Dati personali di cui all’art. 4 paragrafo 1, Categorie particolari di dati personali di cui all’art.9 paragrafo 1 e Dati giudiziari, di cui all’art. 10 del Regolamento UE, relativi a condanne penali o a reati, il cui trattamento è effettuato esclusivamente per valutare il possesso dei requisiti e delle qualità previsti dalla vigente normativa per permettere la partecipazione alla procedura di gara e l’eventuale aggiudicazione. </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 I dati potranno essere trattati anche in base ai criteri qualitativi, quantitativi e temporali di volta in volta individuati.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Il conferimento dei dati richiesti dall’Azienda è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dati conferiti sono trattati dagli operatori dell’Azienda individuati quali Incaricati del trattamento, a cui sono impartite idonee istruzioni in ordine a misure, accorgimenti, modus operandi, tutti volti alla concreta tutela dei dati personali.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dati raccolti potranno altresì essere conosciuti da: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Soggetti esterni, i cui nominativi sono a disposizione degli interessati, facenti parte della Commissione;</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Soggetti terzi fornitori di servizi per l’Azienda, o comunque ad essa legati da rapporto contrattuale, unicamente per le finalità sopra descritte, previa designazione in qualità di Responsabili del trattamento e comunque garantendo il medesimo livello di protezione;</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Altre Amministrazioni pubbliche, cui i dati potranno essere comunicati per adempimenti legali e procedimentali;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Altri concorrenti che facciano richiesta di accesso ai documenti di gara, secondo le modalità e nei limiti di quanto previsto dalla vigente normativa in materia di appalti;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Legali incaricati per la tutela dell’Azienda in sede giudiziaria.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dati relativi al concorrente aggiudicatario della gara ed il prezzo di aggiudicazione dell’appalto saranno pubblicati, come da normativa sugli appalti, sul profilo del committente dell’Azienda USL di Bologna www.ausl.bologna.it - bandi di gara e contratti -.</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dati personali non saranno trasferiti al di fuori dell’Unione Europea.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dati verranno conservati per un arco di tempo non superiore a quello necessario al raggiungimento delle finalità per i quali essi sono trattati.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Il periodo di conservazione dei dati, ad esclusione di quelli soggetti a conservazione illimitata ai sensi di leggi, è di norma 10 anni dalla conclusione dell’esecuzione del contratto, comunque, per un arco di tempo non superiore a quello necessario all’adempimento degli obblighi normativi.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In qualunque momento l’interessato può esercitare i diritti previsti dagli artt. 15 e seguenti del Regolamento UE/2016/679.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all’Azienda USL di Bologna – Via Castiglione 29 – 40124 Bologna.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L’interessato ha altresì il diritto di proporre reclamo all’autorità Garante per la protezione dei Dati personali (www.garanteprivacy.it).</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Titolare del trattamento dei dati personali di cui alla presente informativa è l’Azienda USL di Bologna, con sede in Bologna, Via Castiglione 29, CAP 40124.</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Il Referente privacy della procedura di gara è la Dott.ssa Antonia Crugliano, Direttore del Servizio Acquisti Area di Vasta.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 recapiti del Responsabile della protezione dei dati (DPO) sono: dpo@aosp.bo.it; PEC  dpo@pec.aosp.bo.it) .</w:t>
      </w:r>
    </w:p>
    <w:p>
      <w:pPr>
        <w:pStyle w:val="Heading2"/>
        <w:rPr/>
      </w:pPr>
      <w:bookmarkStart w:id="2908" w:name="_Toc231396705"/>
      <w:bookmarkStart w:id="2909" w:name="_Toc151633713"/>
      <w:bookmarkStart w:id="2910" w:name="_Toc93052602"/>
      <w:bookmarkStart w:id="2911" w:name="_Toc521067708"/>
      <w:r>
        <w:rPr/>
        <w:t>29.1 Responsabile del trattamento dei dati personali ai sensi del Regolamento U.E. 679/2016</w:t>
      </w:r>
      <w:bookmarkEnd w:id="2908"/>
      <w:bookmarkEnd w:id="2909"/>
      <w:bookmarkEnd w:id="2910"/>
      <w:bookmarkEnd w:id="2911"/>
      <w:r>
        <w:rPr/>
        <w:t xml:space="preserve"> </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In esecuzione del presente contratto, codesta ditta effettua trattamento di dati personali di titolarità dell’Azienda e pertanto assume il ruolo di Responsabile del Trattamento ai sensi dell’art.28 del Regolamento UE.</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In virtù di tale trattamento, le Parti si impegnano a formalizzare l’atto di nomina a Responsabile del trattamento al fine di disciplinare oneri e responsabilità in aderenza al Regolamento (UE) del Parlamento e del Consiglio europeo n. 2016/679 (di seguito, anche “GDPR”) e da ogni altra normativa applicabile, secondo le modalità individuate dalle singole Aziende Sanitarie in qualità di Titolari del Trattamento.</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Con riferimento all’attività di trattamento dei dati personali cui concorre la Ditta, la stessa assicura massima cooperazione e assistenza al fine di consentire la redazione da parte del Titolare della eventuale DPIA e, in ogni caso, garantisce l’applicazione delle azioni di mitigazione previste nella DPIA o comunque ritenute idonee dall’Azienda</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La Ditta dovrà garantire all’Azienda, tenuto conto dello stato della tecnica, dei costi, della natura, dell’ambito e della finalità del relativo trattamento, l’adozione, sia nella fase iniziale di determinazione dei mezzi di trattamento, che durante il trattamento stesso, di ogni misura tecnica ed organizzativa che riterrà opportuna per garantire ed attuare i principi previsti in materia di protezione dati e a tutelare i diritti degli interessati.</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 xml:space="preserve">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 </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La Ditta assicura, altresì, la tenuta di apposito registro dei trattamenti che, su richiesta, viene messo a disposizione dell’Azienda e/o dell’Autorità di controllo.</w:t>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r>
    </w:p>
    <w:p>
      <w:pPr>
        <w:pStyle w:val="Normal"/>
        <w:tabs>
          <w:tab w:val="clear" w:pos="708"/>
          <w:tab w:val="left" w:pos="2004" w:leader="none"/>
        </w:tabs>
        <w:rPr>
          <w:rFonts w:ascii="Titillium" w:hAnsi="Titillium" w:cs="Calibri"/>
          <w:sz w:val="18"/>
          <w:szCs w:val="18"/>
          <w:lang w:eastAsia="it-IT"/>
        </w:rPr>
      </w:pPr>
      <w:r>
        <w:rPr>
          <w:rFonts w:cs="Calibri" w:ascii="Titillium" w:hAnsi="Titillium"/>
          <w:sz w:val="18"/>
          <w:szCs w:val="18"/>
          <w:lang w:eastAsia="it-IT"/>
        </w:rPr>
        <w:t xml:space="preserve"> </w:t>
      </w:r>
      <w:r>
        <w:rPr>
          <w:rFonts w:cs="Calibri" w:ascii="Titillium" w:hAnsi="Titillium"/>
          <w:sz w:val="18"/>
          <w:szCs w:val="18"/>
          <w:lang w:eastAsia="it-IT"/>
        </w:rPr>
        <w:t>Le Parti riconoscono e convengono che il rispetto delle istruzioni di cui all’atto di nomina, nonché alle prescrizioni della normativa applicabile, non producono l’insorgere di un diritto in capo al Responsabile del trattamento al rimborso delle eventuali spese che lo stesso potrebbe dover sostenere per conformarsi.</w:t>
      </w:r>
    </w:p>
    <w:p>
      <w:pPr>
        <w:pStyle w:val="Normal"/>
        <w:tabs>
          <w:tab w:val="clear" w:pos="708"/>
          <w:tab w:val="left" w:pos="2004" w:leader="none"/>
        </w:tabs>
        <w:rPr/>
      </w:pPr>
      <w:r>
        <w:rPr/>
      </w:r>
    </w:p>
    <w:p>
      <w:pPr>
        <w:pStyle w:val="Normal"/>
        <w:tabs>
          <w:tab w:val="clear" w:pos="708"/>
          <w:tab w:val="left" w:pos="2004" w:leader="none"/>
        </w:tabs>
        <w:rPr/>
      </w:pPr>
      <w:r>
        <w:rPr/>
      </w:r>
    </w:p>
    <w:p>
      <w:pPr>
        <w:pStyle w:val="ListParagraph"/>
        <w:numPr>
          <w:ilvl w:val="0"/>
          <w:numId w:val="3"/>
        </w:numPr>
        <w:tabs>
          <w:tab w:val="clear" w:pos="708"/>
          <w:tab w:val="left" w:pos="2004" w:leader="none"/>
        </w:tabs>
        <w:rPr>
          <w:rFonts w:ascii="Titillium" w:hAnsi="Titillium"/>
          <w:b/>
          <w:bCs/>
          <w:sz w:val="18"/>
          <w:szCs w:val="18"/>
        </w:rPr>
      </w:pPr>
      <w:r>
        <w:rPr>
          <w:rFonts w:ascii="Titillium" w:hAnsi="Titillium"/>
          <w:b/>
          <w:bCs/>
          <w:sz w:val="18"/>
          <w:szCs w:val="18"/>
        </w:rPr>
        <w:t>DISPOSIZIONI FINALI</w:t>
      </w:r>
    </w:p>
    <w:p>
      <w:pPr>
        <w:pStyle w:val="Normal"/>
        <w:tabs>
          <w:tab w:val="clear" w:pos="708"/>
          <w:tab w:val="left" w:pos="2004" w:leader="none"/>
        </w:tabs>
        <w:rPr>
          <w:rFonts w:ascii="Titillium" w:hAnsi="Titillium"/>
          <w:sz w:val="18"/>
          <w:szCs w:val="18"/>
        </w:rPr>
      </w:pPr>
      <w:r>
        <w:rPr>
          <w:rFonts w:ascii="Titillium" w:hAnsi="Titillium"/>
          <w:sz w:val="18"/>
          <w:szCs w:val="18"/>
        </w:rPr>
        <w:t>In caso di modificazione dell’assetto societario o gestionale dell’impresa la ditta aggiudicataria, nel termine di trenta giorni dall’intervenuta modificazione, dovrà trasmettere all’Ufficio Territoriale del Governo di Bologna, copia degli atti dai quali risulta l’intervenuta modificazione relativamente ai soggetti destinatari di verifiche antimafia (art. 86 D.Lgs. 6/9/11 n.159).</w:t>
      </w:r>
    </w:p>
    <w:p>
      <w:pPr>
        <w:pStyle w:val="Normal"/>
        <w:tabs>
          <w:tab w:val="clear" w:pos="708"/>
          <w:tab w:val="left" w:pos="2004" w:leader="none"/>
        </w:tabs>
        <w:rPr>
          <w:rFonts w:ascii="Titillium" w:hAnsi="Titillium"/>
          <w:sz w:val="18"/>
          <w:szCs w:val="18"/>
        </w:rPr>
      </w:pPr>
      <w:r>
        <w:rPr>
          <w:rFonts w:ascii="Titillium" w:hAnsi="Titillium"/>
          <w:sz w:val="18"/>
          <w:szCs w:val="18"/>
        </w:rPr>
        <w:t xml:space="preserve">La Ditta aggiudicataria è tenuta a inoltrare tale comunicazione anche all'Azienda USL di Bologna. </w:t>
      </w:r>
    </w:p>
    <w:p>
      <w:pPr>
        <w:pStyle w:val="Normal"/>
        <w:tabs>
          <w:tab w:val="clear" w:pos="708"/>
          <w:tab w:val="left" w:pos="2004" w:leader="none"/>
        </w:tabs>
        <w:rPr>
          <w:rFonts w:ascii="Titillium" w:hAnsi="Titillium"/>
          <w:sz w:val="18"/>
          <w:szCs w:val="18"/>
        </w:rPr>
      </w:pPr>
      <w:r>
        <w:rPr>
          <w:rFonts w:ascii="Titillium" w:hAnsi="Titillium"/>
          <w:sz w:val="18"/>
          <w:szCs w:val="18"/>
        </w:rPr>
        <w:t>S’informa, inoltre, che gli atti amministrativi sono resi pubblici, per opportuna conoscenza, dalla data di pubblicazione all’Albo Informatico consultabile sul sito istituzionale dell’Azienda USL di Bologna.</w:t>
      </w:r>
    </w:p>
    <w:p>
      <w:pPr>
        <w:pStyle w:val="Normal"/>
        <w:tabs>
          <w:tab w:val="clear" w:pos="708"/>
          <w:tab w:val="left" w:pos="2004" w:leader="none"/>
        </w:tabs>
        <w:rPr>
          <w:rFonts w:ascii="Titillium" w:hAnsi="Titillium"/>
          <w:sz w:val="18"/>
          <w:szCs w:val="18"/>
        </w:rPr>
      </w:pPr>
      <w:r>
        <w:rPr>
          <w:rFonts w:ascii="Titillium" w:hAnsi="Titillium"/>
          <w:sz w:val="18"/>
          <w:szCs w:val="18"/>
        </w:rPr>
      </w:r>
    </w:p>
    <w:p>
      <w:pPr>
        <w:pStyle w:val="Normal"/>
        <w:tabs>
          <w:tab w:val="clear" w:pos="708"/>
          <w:tab w:val="left" w:pos="2004" w:leader="none"/>
        </w:tabs>
        <w:rPr>
          <w:rFonts w:ascii="Titillium" w:hAnsi="Titillium"/>
          <w:sz w:val="18"/>
          <w:szCs w:val="18"/>
        </w:rPr>
      </w:pPr>
      <w:r>
        <w:rPr>
          <w:rFonts w:ascii="Titillium" w:hAnsi="Titillium"/>
          <w:sz w:val="18"/>
          <w:szCs w:val="18"/>
        </w:rPr>
        <w:t xml:space="preserve">                                                                                                                                                           </w:t>
      </w:r>
      <w:r>
        <w:rPr>
          <w:rFonts w:ascii="Titillium" w:hAnsi="Titillium"/>
          <w:sz w:val="18"/>
          <w:szCs w:val="18"/>
        </w:rPr>
        <w:t>IL DIRETTORE DEL</w:t>
      </w:r>
    </w:p>
    <w:p>
      <w:pPr>
        <w:pStyle w:val="Normal"/>
        <w:tabs>
          <w:tab w:val="clear" w:pos="708"/>
          <w:tab w:val="left" w:pos="2004" w:leader="none"/>
        </w:tabs>
        <w:rPr>
          <w:rFonts w:ascii="Titillium" w:hAnsi="Titillium"/>
          <w:sz w:val="18"/>
          <w:szCs w:val="18"/>
        </w:rPr>
      </w:pPr>
      <w:r>
        <w:rPr>
          <w:rFonts w:ascii="Titillium" w:hAnsi="Titillium"/>
          <w:sz w:val="18"/>
          <w:szCs w:val="18"/>
        </w:rPr>
        <w:tab/>
        <w:tab/>
        <w:t xml:space="preserve">                                                                                           SERVIZIO ACQUISTI AREA VASTA</w:t>
      </w:r>
    </w:p>
    <w:p>
      <w:pPr>
        <w:pStyle w:val="Normal"/>
        <w:tabs>
          <w:tab w:val="clear" w:pos="708"/>
          <w:tab w:val="left" w:pos="2004" w:leader="none"/>
        </w:tabs>
        <w:rPr>
          <w:rFonts w:ascii="Titillium" w:hAnsi="Titillium"/>
          <w:sz w:val="18"/>
          <w:szCs w:val="18"/>
        </w:rPr>
      </w:pPr>
      <w:r>
        <w:rPr>
          <w:rFonts w:ascii="Titillium" w:hAnsi="Titillium"/>
          <w:sz w:val="18"/>
          <w:szCs w:val="18"/>
        </w:rPr>
        <w:t xml:space="preserve">                                                                                                                                                         </w:t>
      </w:r>
      <w:r>
        <w:rPr>
          <w:rFonts w:ascii="Titillium" w:hAnsi="Titillium"/>
          <w:sz w:val="18"/>
          <w:szCs w:val="18"/>
        </w:rPr>
        <w:t>(Dott.ssa Antonia Crugliano)</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548" w:right="1134" w:gutter="0" w:header="851" w:top="1418" w:footer="454" w:bottom="68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Garamond">
    <w:charset w:val="00"/>
    <w:family w:val="roman"/>
    <w:pitch w:val="variable"/>
  </w:font>
  <w:font w:name="Titillium">
    <w:charset w:val="00"/>
    <w:family w:val="roman"/>
    <w:pitch w:val="variable"/>
  </w:font>
  <w:font w:name="Aptos Display">
    <w:charset w:val="00"/>
    <w:family w:val="roman"/>
    <w:pitch w:val="variable"/>
  </w:font>
  <w:font w:name="Tahoma">
    <w:charset w:val="00"/>
    <w:family w:val="swiss"/>
    <w:pitch w:val="variable"/>
  </w:font>
  <w:font w:name="Calibri">
    <w:charset w:val="00"/>
    <w:family w:val="swiss"/>
    <w:pitch w:val="variable"/>
  </w:font>
  <w:font w:name="Calibri Light">
    <w:charset w:val="00"/>
    <w:family w:val="swiss"/>
    <w:pitch w:val="variable"/>
  </w:font>
  <w:font w:name="Gotham Light">
    <w:charset w:val="00"/>
    <w:family w:val="roman"/>
    <w:pitch w:val="variable"/>
  </w:font>
  <w:font w:name="Gotham Book">
    <w:charset w:val="00"/>
    <w:family w:val="roman"/>
    <w:pitch w:val="variable"/>
  </w:font>
  <w:font w:name="Gotham Medium">
    <w:charset w:val="00"/>
    <w:family w:val="roman"/>
    <w:pitch w:val="variable"/>
  </w:font>
  <w:font w:name="Minion Pro">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itillium">
    <w:altName w:val="Cambria"/>
    <w:charset w:val="00"/>
    <w:family w:val="roman"/>
    <w:pitch w:val="variable"/>
  </w:font>
  <w:font w:name="Liberation Sans">
    <w:altName w:val="Arial"/>
    <w:charset w:val="00"/>
    <w:family w:val="swiss"/>
    <w:pitch w:val="variable"/>
  </w:font>
  <w:font w:name="Book-Antiqua">
    <w:altName w:val="Bold"/>
    <w:charset w:val="00"/>
    <w:family w:val="roman"/>
    <w:pitch w:val="variable"/>
  </w:font>
  <w:font w:name="Arial Unicode MS">
    <w:charset w:val="00"/>
    <w:family w:val="swiss"/>
    <w:pitch w:val="variable"/>
  </w:font>
  <w:font w:name="EUAlbertina">
    <w:charset w:val="00"/>
    <w:family w:val="roman"/>
    <w:pitch w:val="variable"/>
  </w:font>
  <w:font w:name="Liberation Mono">
    <w:altName w:val="Courier New"/>
    <w:charset w:val="00"/>
    <w:family w:val="roman"/>
    <w:pitch w:val="variable"/>
  </w:font>
  <w:font w:name="PC Tennessee">
    <w:altName w:val="Cambria"/>
    <w:charset w:val="00"/>
    <w:family w:val="roman"/>
    <w:pitch w:val="variable"/>
  </w:font>
  <w:font w:name="CG Times (W1)">
    <w:altName w:val="Times New Roman"/>
    <w:charset w:val="00"/>
    <w:family w:val="roman"/>
    <w:pitch w:val="variable"/>
  </w:font>
  <w:font w:name="Liberation Sans">
    <w:altName w:val="Arial"/>
    <w:charset w:val="00"/>
    <w:family w:val="roman"/>
    <w:pitch w:val="variable"/>
  </w:font>
  <w:font w:name="Times-Bold">
    <w:charset w:val="00"/>
    <w:family w:val="roman"/>
    <w:pitch w:val="variable"/>
  </w:font>
  <w:font w:name="Arial Narrow">
    <w:charset w:val="00"/>
    <w:family w:val="swiss"/>
    <w:pitch w:val="variable"/>
  </w:font>
  <w:font w:name="Garamond">
    <w:charset w:val="01"/>
    <w:family w:val="roman"/>
    <w:pitch w:val="variable"/>
  </w:font>
  <w:font w:name="Courier New">
    <w:charset w:val="01"/>
    <w:family w:val="modern"/>
    <w:pitch w:val="fixed"/>
  </w:font>
  <w:font w:name="Wingdings">
    <w:charset w:val="02"/>
    <w:family w:val="auto"/>
    <w:pitch w:val="variable"/>
  </w:font>
  <w:font w:name="Titilium">
    <w:charset w:val="01"/>
    <w:family w:val="auto"/>
    <w:pitch w:val="default"/>
  </w:font>
  <w:font w:name="Titillium-Regular">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2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100"/>
      <w:jc w:val="right"/>
      <w:rPr/>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 xml:space="preserve"> PAGE </w:instrText>
    </w:r>
    <w:r>
      <w:rPr>
        <w:rFonts w:ascii="Titillium" w:hAnsi="Titillium"/>
        <w:b/>
        <w:bCs/>
        <w:sz w:val="16"/>
        <w:szCs w:val="16"/>
      </w:rPr>
      <w:fldChar w:fldCharType="separate"/>
    </w:r>
    <w:r>
      <w:rPr>
        <w:rFonts w:ascii="Titillium" w:hAnsi="Titillium"/>
        <w:b/>
        <w:bCs/>
        <w:sz w:val="16"/>
        <w:szCs w:val="16"/>
      </w:rPr>
      <w:t>38</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 xml:space="preserve"> NUMPAGES </w:instrText>
    </w:r>
    <w:r>
      <w:rPr>
        <w:rFonts w:ascii="Titillium" w:hAnsi="Titillium"/>
        <w:b/>
        <w:bCs/>
        <w:sz w:val="16"/>
        <w:szCs w:val="16"/>
      </w:rPr>
      <w:fldChar w:fldCharType="separate"/>
    </w:r>
    <w:r>
      <w:rPr>
        <w:rFonts w:ascii="Titillium" w:hAnsi="Titillium"/>
        <w:b/>
        <w:bCs/>
        <w:sz w:val="16"/>
        <w:szCs w:val="16"/>
      </w:rPr>
      <w:t>38</w:t>
    </w:r>
    <w:r>
      <w:rPr>
        <w:rFonts w:ascii="Titillium" w:hAnsi="Titillium"/>
        <w:b/>
        <w:bCs/>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100"/>
      <w:jc w:val="right"/>
      <w:rPr/>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 xml:space="preserve"> PAGE </w:instrText>
    </w:r>
    <w:r>
      <w:rPr>
        <w:rFonts w:ascii="Titillium" w:hAnsi="Titillium"/>
        <w:b/>
        <w:bCs/>
        <w:sz w:val="16"/>
        <w:szCs w:val="16"/>
      </w:rPr>
      <w:fldChar w:fldCharType="separate"/>
    </w:r>
    <w:r>
      <w:rPr>
        <w:rFonts w:ascii="Titillium" w:hAnsi="Titillium"/>
        <w:b/>
        <w:bCs/>
        <w:sz w:val="16"/>
        <w:szCs w:val="16"/>
      </w:rPr>
      <w:t>38</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 xml:space="preserve"> NUMPAGES </w:instrText>
    </w:r>
    <w:r>
      <w:rPr>
        <w:rFonts w:ascii="Titillium" w:hAnsi="Titillium"/>
        <w:b/>
        <w:bCs/>
        <w:sz w:val="16"/>
        <w:szCs w:val="16"/>
      </w:rPr>
      <w:fldChar w:fldCharType="separate"/>
    </w:r>
    <w:r>
      <w:rPr>
        <w:rFonts w:ascii="Titillium" w:hAnsi="Titillium"/>
        <w:b/>
        <w:bCs/>
        <w:sz w:val="16"/>
        <w:szCs w:val="16"/>
      </w:rPr>
      <w:t>38</w:t>
    </w:r>
    <w:r>
      <w:rPr>
        <w:rFonts w:ascii="Titillium" w:hAnsi="Titillium"/>
        <w:b/>
        <w:bCs/>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80" w:after="2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80" w:after="280"/>
      <w:ind w:left="-567"/>
      <w:rPr>
        <w:color w:val="008749"/>
        <w:szCs w:val="16"/>
      </w:rPr>
    </w:pPr>
    <w:r>
      <w:rPr/>
      <w:drawing>
        <wp:inline distT="0" distB="0" distL="0" distR="0">
          <wp:extent cx="5857240" cy="741680"/>
          <wp:effectExtent l="0" t="0" r="0" b="0"/>
          <wp:docPr id="1"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10;&#10;Descrizione generata automaticamente"/>
                  <pic:cNvPicPr>
                    <a:picLocks noChangeAspect="1" noChangeArrowheads="1"/>
                  </pic:cNvPicPr>
                </pic:nvPicPr>
                <pic:blipFill>
                  <a:blip r:embed="rId1"/>
                  <a:stretch>
                    <a:fillRect/>
                  </a:stretch>
                </pic:blipFill>
                <pic:spPr bwMode="auto">
                  <a:xfrm>
                    <a:off x="0" y="0"/>
                    <a:ext cx="5857240" cy="741680"/>
                  </a:xfrm>
                  <a:prstGeom prst="rect">
                    <a:avLst/>
                  </a:prstGeom>
                  <a:noFill/>
                </pic:spPr>
              </pic:pic>
            </a:graphicData>
          </a:graphic>
        </wp:inline>
      </w:drawing>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t xml:space="preserve">Dipartimento Amministrativo </w:t>
    </w:r>
  </w:p>
  <w:p>
    <w:pPr>
      <w:pStyle w:val="Heading1"/>
      <w:spacing w:lineRule="auto" w:line="240" w:before="0" w:after="0"/>
      <w:rPr>
        <w:rFonts w:ascii="Arial" w:hAnsi="Arial" w:cs="Arial"/>
        <w:color w:val="008749"/>
        <w:sz w:val="14"/>
        <w:szCs w:val="14"/>
      </w:rPr>
    </w:pPr>
    <w:r>
      <w:rPr>
        <w:rFonts w:cs="Arial" w:ascii="Arial" w:hAnsi="Arial"/>
        <w:color w:val="008749"/>
        <w:sz w:val="14"/>
        <w:szCs w:val="14"/>
      </w:rPr>
      <w:t>Servizio Acquisti di Area Vasta</w:t>
    </w:r>
  </w:p>
  <w:p>
    <w:pPr>
      <w:pStyle w:val="Heading1"/>
      <w:spacing w:lineRule="auto" w:line="240" w:before="0" w:after="0"/>
      <w:rPr>
        <w:rFonts w:ascii="Arial" w:hAnsi="Arial" w:cs="Arial"/>
        <w:color w:val="008749"/>
        <w:sz w:val="14"/>
        <w:szCs w:val="14"/>
      </w:rPr>
    </w:pPr>
    <w:r>
      <w:rPr>
        <w:rFonts w:cs="Arial" w:ascii="Arial" w:hAnsi="Arial"/>
        <w:color w:val="008749"/>
        <w:sz w:val="14"/>
        <w:szCs w:val="14"/>
      </w:rPr>
      <w:t>Settore</w:t>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80" w:after="280"/>
      <w:ind w:left="-567"/>
      <w:rPr>
        <w:color w:val="008749"/>
        <w:szCs w:val="16"/>
      </w:rPr>
    </w:pPr>
    <w:r>
      <w:rPr/>
      <w:drawing>
        <wp:inline distT="0" distB="0" distL="0" distR="0">
          <wp:extent cx="5857240" cy="741680"/>
          <wp:effectExtent l="0" t="0" r="0" b="0"/>
          <wp:docPr id="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chermata&#10;&#10;Descrizione generata automaticamente"/>
                  <pic:cNvPicPr>
                    <a:picLocks noChangeAspect="1" noChangeArrowheads="1"/>
                  </pic:cNvPicPr>
                </pic:nvPicPr>
                <pic:blipFill>
                  <a:blip r:embed="rId1"/>
                  <a:stretch>
                    <a:fillRect/>
                  </a:stretch>
                </pic:blipFill>
                <pic:spPr bwMode="auto">
                  <a:xfrm>
                    <a:off x="0" y="0"/>
                    <a:ext cx="5857240" cy="741680"/>
                  </a:xfrm>
                  <a:prstGeom prst="rect">
                    <a:avLst/>
                  </a:prstGeom>
                  <a:noFill/>
                </pic:spPr>
              </pic:pic>
            </a:graphicData>
          </a:graphic>
        </wp:inline>
      </w:drawing>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t xml:space="preserve">Dipartimento Amministrativo </w:t>
    </w:r>
  </w:p>
  <w:p>
    <w:pPr>
      <w:pStyle w:val="Heading1"/>
      <w:spacing w:lineRule="auto" w:line="240" w:before="0" w:after="0"/>
      <w:rPr>
        <w:rFonts w:ascii="Arial" w:hAnsi="Arial" w:cs="Arial"/>
        <w:color w:val="008749"/>
        <w:sz w:val="14"/>
        <w:szCs w:val="14"/>
      </w:rPr>
    </w:pPr>
    <w:r>
      <w:rPr>
        <w:rFonts w:cs="Arial" w:ascii="Arial" w:hAnsi="Arial"/>
        <w:color w:val="008749"/>
        <w:sz w:val="14"/>
        <w:szCs w:val="14"/>
      </w:rPr>
      <w:t>Servizio Acquisti di Area Vasta</w:t>
    </w:r>
  </w:p>
  <w:p>
    <w:pPr>
      <w:pStyle w:val="Heading1"/>
      <w:spacing w:lineRule="auto" w:line="240" w:before="0" w:after="0"/>
      <w:rPr>
        <w:rFonts w:ascii="Arial" w:hAnsi="Arial" w:cs="Arial"/>
        <w:color w:val="008749"/>
        <w:sz w:val="14"/>
        <w:szCs w:val="14"/>
      </w:rPr>
    </w:pPr>
    <w:r>
      <w:rPr>
        <w:rFonts w:cs="Arial" w:ascii="Arial" w:hAnsi="Arial"/>
        <w:color w:val="008749"/>
        <w:sz w:val="14"/>
        <w:szCs w:val="14"/>
      </w:rPr>
      <w:t>Settore</w:t>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p>
    <w:pPr>
      <w:pStyle w:val="Heading1"/>
      <w:spacing w:lineRule="auto" w:line="240" w:before="0" w:after="0"/>
      <w:rPr>
        <w:rFonts w:ascii="Arial" w:hAnsi="Arial" w:cs="Arial"/>
        <w:color w:val="008749"/>
        <w:sz w:val="18"/>
        <w:szCs w:val="18"/>
      </w:rPr>
    </w:pPr>
    <w:r>
      <w:rPr>
        <w:rFonts w:cs="Arial" w:ascii="Arial" w:hAnsi="Arial"/>
        <w:color w:val="008749"/>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i w:val="false"/>
        <w:sz w:val="24"/>
        <w:szCs w:val="24"/>
      </w:rPr>
    </w:lvl>
    <w:lvl w:ilvl="2">
      <w:start w:val="1"/>
      <w:numFmt w:val="decimal"/>
      <w:lvlText w:val="%1.%2.%3."/>
      <w:lvlJc w:val="left"/>
      <w:pPr>
        <w:tabs>
          <w:tab w:val="num" w:pos="0"/>
        </w:tabs>
        <w:ind w:left="788" w:hanging="504"/>
      </w:pPr>
      <w:rPr>
        <w:b w:val="false"/>
        <w:i w:val="false"/>
        <w:strike w:val="false"/>
        <w:dstrike w:val="false"/>
        <w:sz w:val="24"/>
        <w:szCs w:val="24"/>
      </w:rPr>
    </w:lvl>
    <w:lvl w:ilvl="3">
      <w:start w:val="1"/>
      <w:numFmt w:val="decimal"/>
      <w:lvlText w:val="%1.%2.%3.%4."/>
      <w:lvlJc w:val="left"/>
      <w:pPr>
        <w:tabs>
          <w:tab w:val="num" w:pos="0"/>
        </w:tabs>
        <w:ind w:left="932" w:hanging="648"/>
      </w:pPr>
      <w:rPr>
        <w:b w:val="false"/>
        <w:strike w:val="false"/>
        <w:dstrike w:val="false"/>
        <w:color w:val="auto"/>
        <w:sz w:val="24"/>
        <w:szCs w:val="24"/>
      </w:rPr>
    </w:lvl>
    <w:lvl w:ilvl="4">
      <w:start w:val="1"/>
      <w:numFmt w:val="lowerLetter"/>
      <w:lvlText w:val="%5."/>
      <w:lvlJc w:val="left"/>
      <w:pPr>
        <w:tabs>
          <w:tab w:val="num" w:pos="0"/>
        </w:tabs>
        <w:ind w:left="2069" w:hanging="792"/>
      </w:pPr>
      <w:rPr>
        <w:sz w:val="18"/>
        <w:szCs w:val="18"/>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i w:val="false"/>
        <w:sz w:val="24"/>
        <w:szCs w:val="24"/>
      </w:rPr>
    </w:lvl>
    <w:lvl w:ilvl="2">
      <w:start w:val="1"/>
      <w:numFmt w:val="lowerLetter"/>
      <w:lvlText w:val="%3)"/>
      <w:lvlJc w:val="left"/>
      <w:pPr>
        <w:tabs>
          <w:tab w:val="num" w:pos="0"/>
        </w:tabs>
        <w:ind w:left="504" w:hanging="504"/>
      </w:pPr>
      <w:rPr>
        <w:rFonts w:ascii="Titillium" w:hAnsi="Titillium"/>
        <w:b w:val="false"/>
        <w:i w:val="false"/>
        <w:strike w:val="false"/>
        <w:dstrike w:val="false"/>
        <w:sz w:val="18"/>
        <w:szCs w:val="18"/>
      </w:rPr>
    </w:lvl>
    <w:lvl w:ilvl="3">
      <w:start w:val="1"/>
      <w:numFmt w:val="decimal"/>
      <w:lvlText w:val="%1.%2.%3.%4."/>
      <w:lvlJc w:val="left"/>
      <w:pPr>
        <w:tabs>
          <w:tab w:val="num" w:pos="0"/>
        </w:tabs>
        <w:ind w:left="932" w:hanging="648"/>
      </w:pPr>
      <w:rPr>
        <w:b w:val="false"/>
        <w:strike w:val="false"/>
        <w:dstrike w:val="false"/>
        <w:color w:val="auto"/>
        <w:sz w:val="24"/>
        <w:szCs w:val="24"/>
      </w:rPr>
    </w:lvl>
    <w:lvl w:ilvl="4">
      <w:start w:val="1"/>
      <w:numFmt w:val="decimal"/>
      <w:lvlText w:val="%1.%2.%3.%4.%5."/>
      <w:lvlJc w:val="left"/>
      <w:pPr>
        <w:tabs>
          <w:tab w:val="num" w:pos="0"/>
        </w:tabs>
        <w:ind w:left="2069"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rFonts w:ascii="Titillium" w:hAnsi="Titillium"/>
        <w:b/>
        <w:i w:val="false"/>
        <w:sz w:val="18"/>
        <w:szCs w:val="18"/>
      </w:rPr>
    </w:lvl>
    <w:lvl w:ilvl="1">
      <w:start w:val="1"/>
      <w:numFmt w:val="decimal"/>
      <w:lvlText w:val="%1.%2."/>
      <w:lvlJc w:val="left"/>
      <w:pPr>
        <w:tabs>
          <w:tab w:val="num" w:pos="0"/>
        </w:tabs>
        <w:ind w:left="792" w:hanging="432"/>
      </w:pPr>
      <w:rPr>
        <w:rFonts w:ascii="Titillium" w:hAnsi="Titillium"/>
        <w:sz w:val="18"/>
        <w:szCs w:val="18"/>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720" w:hanging="360"/>
      </w:pPr>
      <w:rPr>
        <w:rFonts w:ascii="Titillium" w:hAnsi="Titillium"/>
        <w:b/>
        <w:i w:val="false"/>
        <w:sz w:val="18"/>
        <w:szCs w:val="18"/>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1146" w:hanging="360"/>
      </w:pPr>
      <w:rPr>
        <w:sz w:val="18"/>
        <w:szCs w:val="18"/>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6">
    <w:lvl w:ilvl="0">
      <w:start w:val="1"/>
      <w:numFmt w:val="bullet"/>
      <w:lvlText w:val="-"/>
      <w:lvlJc w:val="left"/>
      <w:pPr>
        <w:tabs>
          <w:tab w:val="num" w:pos="0"/>
        </w:tabs>
        <w:ind w:left="720" w:hanging="360"/>
      </w:pPr>
      <w:rPr>
        <w:rFonts w:ascii="Garamond" w:hAnsi="Garamond" w:cs="Garamond" w:hint="default"/>
        <w:b/>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Garamond" w:hAnsi="Garamond" w:cs="Garamond" w:hint="default"/>
        <w:b/>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Letter"/>
      <w:lvlText w:val="%1."/>
      <w:lvlJc w:val="left"/>
      <w:pPr>
        <w:tabs>
          <w:tab w:val="num" w:pos="0"/>
        </w:tabs>
        <w:ind w:left="1429" w:hanging="360"/>
      </w:pPr>
      <w:rPr>
        <w:i w:val="false"/>
        <w:iCs w:val="false"/>
        <w:sz w:val="18"/>
        <w:szCs w:val="18"/>
      </w:rPr>
    </w:lvl>
    <w:lvl w:ilvl="1">
      <w:start w:val="1"/>
      <w:numFmt w:val="lowerLetter"/>
      <w:lvlText w:val="%2)"/>
      <w:lvlJc w:val="left"/>
      <w:pPr>
        <w:tabs>
          <w:tab w:val="num" w:pos="0"/>
        </w:tabs>
        <w:ind w:left="2149" w:hanging="360"/>
      </w:pPr>
      <w:rPr>
        <w:i w:val="false"/>
        <w:iCs w:val="false"/>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2487"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9">
    <w:lvl w:ilvl="0">
      <w:start w:val="1"/>
      <w:numFmt w:val="bullet"/>
      <w:lvlText w:val="-"/>
      <w:lvlJc w:val="left"/>
      <w:pPr>
        <w:tabs>
          <w:tab w:val="num" w:pos="0"/>
        </w:tabs>
        <w:ind w:left="720" w:hanging="360"/>
      </w:pPr>
      <w:rPr>
        <w:rFonts w:ascii="Garamond" w:hAnsi="Garamond" w:cs="Garamond" w:hint="default"/>
        <w:b/>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360" w:hanging="360"/>
      </w:pPr>
      <w:rPr/>
    </w:lvl>
    <w:lvl w:ilvl="1">
      <w:start w:val="1"/>
      <w:numFmt w:val="lowerLetter"/>
      <w:lvlText w:val="%1.%2)"/>
      <w:lvlJc w:val="left"/>
      <w:pPr>
        <w:tabs>
          <w:tab w:val="num" w:pos="0"/>
        </w:tabs>
        <w:ind w:left="792" w:hanging="432"/>
      </w:pPr>
      <w:rPr/>
    </w:lvl>
    <w:lvl w:ilvl="2">
      <w:start w:val="1"/>
      <w:numFmt w:val="decimal"/>
      <w:lvlText w:val="%1.%2.%3."/>
      <w:lvlJc w:val="left"/>
      <w:pPr>
        <w:tabs>
          <w:tab w:val="num" w:pos="0"/>
        </w:tabs>
        <w:ind w:left="1497" w:hanging="504"/>
      </w:pPr>
      <w:rPr>
        <w:b w:val="false"/>
        <w:i w:val="false"/>
        <w:strike w:val="false"/>
        <w:dstrike w:val="false"/>
        <w:sz w:val="24"/>
        <w:szCs w:val="24"/>
      </w:rPr>
    </w:lvl>
    <w:lvl w:ilvl="3">
      <w:start w:val="1"/>
      <w:numFmt w:val="lowerLetter"/>
      <w:lvlText w:val="%4."/>
      <w:lvlJc w:val="left"/>
      <w:pPr>
        <w:tabs>
          <w:tab w:val="num" w:pos="0"/>
        </w:tabs>
        <w:ind w:left="932" w:hanging="648"/>
      </w:pPr>
      <w:rPr>
        <w:b w:val="false"/>
        <w:strike w:val="false"/>
        <w:dstrike w:val="false"/>
        <w:color w:val="auto"/>
        <w:sz w:val="18"/>
        <w:szCs w:val="18"/>
      </w:rPr>
    </w:lvl>
    <w:lvl w:ilvl="4">
      <w:start w:val="1"/>
      <w:numFmt w:val="decimal"/>
      <w:lvlText w:val="%1.%2.%3.%4.%5."/>
      <w:lvlJc w:val="left"/>
      <w:pPr>
        <w:tabs>
          <w:tab w:val="num" w:pos="0"/>
        </w:tabs>
        <w:ind w:left="2069"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720" w:hanging="360"/>
      </w:pPr>
      <w:rPr>
        <w:rFonts w:ascii="Titillium" w:hAnsi="Titillium"/>
        <w:b w:val="false"/>
        <w:i w:val="false"/>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i w:val="false"/>
        <w:strike w:val="false"/>
        <w:dstrike w:val="false"/>
        <w:sz w:val="24"/>
        <w:szCs w:val="24"/>
      </w:rPr>
    </w:lvl>
    <w:lvl w:ilvl="2">
      <w:start w:val="1"/>
      <w:numFmt w:val="decimal"/>
      <w:lvlText w:val="%3)"/>
      <w:lvlJc w:val="left"/>
      <w:pPr>
        <w:tabs>
          <w:tab w:val="num" w:pos="0"/>
        </w:tabs>
        <w:ind w:left="504" w:hanging="504"/>
      </w:pPr>
      <w:rPr>
        <w:rFonts w:ascii="Titillium" w:hAnsi="Titillium" w:eastAsia="Times New Roman" w:cs="Calibri"/>
        <w:b w:val="false"/>
        <w:i w:val="false"/>
        <w:strike w:val="false"/>
        <w:dstrike w:val="false"/>
        <w:sz w:val="18"/>
        <w:szCs w:val="18"/>
      </w:rPr>
    </w:lvl>
    <w:lvl w:ilvl="3">
      <w:start w:val="1"/>
      <w:numFmt w:val="lowerLetter"/>
      <w:lvlText w:val="%4)"/>
      <w:lvlJc w:val="left"/>
      <w:pPr>
        <w:tabs>
          <w:tab w:val="num" w:pos="0"/>
        </w:tabs>
        <w:ind w:left="932" w:hanging="648"/>
      </w:pPr>
      <w:rPr>
        <w:rFonts w:eastAsia="Times New Roman" w:cs="Arial"/>
        <w:b w:val="false"/>
        <w:strike w:val="false"/>
        <w:dstrike w:val="false"/>
        <w:color w:val="auto"/>
        <w:sz w:val="24"/>
        <w:szCs w:val="24"/>
      </w:rPr>
    </w:lvl>
    <w:lvl w:ilvl="4">
      <w:start w:val="1"/>
      <w:numFmt w:val="decimal"/>
      <w:lvlText w:val="%1.%2.%3.%4.%5."/>
      <w:lvlJc w:val="left"/>
      <w:pPr>
        <w:tabs>
          <w:tab w:val="num" w:pos="0"/>
        </w:tabs>
        <w:ind w:left="2069"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Titilium" w:hAnsi="Titilium" w:cs="Titilium" w:hint="default"/>
        <w:color w:val="auto"/>
        <w:sz w:val="18"/>
      </w:rPr>
    </w:lvl>
    <w:lvl w:ilvl="2">
      <w:start w:val="1"/>
      <w:numFmt w:val="lowerLetter"/>
      <w:lvlText w:val="%3)"/>
      <w:lvlJc w:val="left"/>
      <w:pPr>
        <w:tabs>
          <w:tab w:val="num" w:pos="0"/>
        </w:tabs>
        <w:ind w:left="360" w:hanging="360"/>
      </w:pPr>
      <w:rPr>
        <w:rFonts w:ascii="Titillium" w:hAnsi="Titillium" w:eastAsia="Times New Roman"/>
        <w:i w:val="false"/>
        <w:color w:val="auto"/>
        <w:sz w:val="18"/>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Letter"/>
      <w:lvlText w:val="%3)"/>
      <w:lvlJc w:val="left"/>
      <w:pPr>
        <w:tabs>
          <w:tab w:val="num" w:pos="0"/>
        </w:tabs>
        <w:ind w:left="2591" w:hanging="180"/>
      </w:pPr>
      <w:rPr>
        <w:rFonts w:ascii="Titillium" w:hAnsi="Titillium"/>
        <w:sz w:val="18"/>
        <w:szCs w:val="18"/>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1080" w:hanging="360"/>
      </w:pPr>
      <w:rPr>
        <w:rFonts w:ascii="Titilium" w:hAnsi="Titilium" w:cs="Titilium" w:hint="default"/>
        <w:color w:val="auto"/>
        <w:sz w:val="18"/>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Garamond" w:hAnsi="Garamond" w:cs="Garamond" w:hint="default"/>
        <w:b/>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3600" w:hanging="360"/>
      </w:pPr>
      <w:rPr>
        <w:rFonts w:ascii="Courier New" w:hAnsi="Courier New" w:cs="Courier New" w:hint="default"/>
      </w:rPr>
    </w:lvl>
    <w:lvl w:ilvl="3">
      <w:start w:val="1"/>
      <w:numFmt w:val="bullet"/>
      <w:lvlText w:val="o"/>
      <w:lvlJc w:val="left"/>
      <w:pPr>
        <w:tabs>
          <w:tab w:val="num" w:pos="0"/>
        </w:tabs>
        <w:ind w:left="576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lowerLetter"/>
      <w:lvlText w:val="%1)"/>
      <w:lvlJc w:val="left"/>
      <w:pPr>
        <w:tabs>
          <w:tab w:val="num" w:pos="0"/>
        </w:tabs>
        <w:ind w:left="928" w:hanging="360"/>
      </w:pPr>
      <w:rPr>
        <w:rFonts w:ascii="Titillium" w:hAnsi="Titillium"/>
        <w:i w:val="false"/>
        <w:sz w:val="18"/>
        <w:szCs w:val="18"/>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20">
    <w:lvl w:ilvl="0">
      <w:start w:val="1"/>
      <w:numFmt w:val="none"/>
      <w:suff w:val="nothing"/>
      <w:lvlText w:val="."/>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lowerLetter"/>
      <w:lvlText w:val="%3)"/>
      <w:lvlJc w:val="left"/>
      <w:pPr>
        <w:tabs>
          <w:tab w:val="num" w:pos="360"/>
        </w:tabs>
        <w:ind w:left="360" w:hanging="360"/>
      </w:pPr>
      <w:rPr>
        <w:rFonts w:ascii="Titillium" w:hAnsi="Titillium"/>
        <w:sz w:val="18"/>
        <w:szCs w:val="18"/>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7"/>
      <w:numFmt w:val="lowerLetter"/>
      <w:lvlText w:val="%1)"/>
      <w:lvlJc w:val="left"/>
      <w:pPr>
        <w:tabs>
          <w:tab w:val="num" w:pos="360"/>
        </w:tabs>
        <w:ind w:left="360" w:hanging="360"/>
      </w:pPr>
      <w:rPr>
        <w:rFonts w:ascii="Titillium" w:hAnsi="Titillium"/>
        <w:sz w:val="18"/>
        <w:szCs w:val="18"/>
      </w:rPr>
    </w:lvl>
    <w:lvl w:ilvl="1">
      <w:start w:val="1"/>
      <w:numFmt w:val="lowerLetter"/>
      <w:lvlText w:val="%2)"/>
      <w:lvlJc w:val="left"/>
      <w:pPr>
        <w:tabs>
          <w:tab w:val="num" w:pos="720"/>
        </w:tabs>
        <w:ind w:left="720" w:hanging="360"/>
      </w:pPr>
      <w:rPr/>
    </w:lvl>
    <w:lvl w:ilvl="2">
      <w:start w:val="1"/>
      <w:numFmt w:val="lowerLetter"/>
      <w:lvlText w:val="%3)"/>
      <w:lvlJc w:val="left"/>
      <w:pPr>
        <w:tabs>
          <w:tab w:val="num" w:pos="1080"/>
        </w:tabs>
        <w:ind w:left="1080" w:hanging="360"/>
      </w:pPr>
      <w:rPr/>
    </w:lvl>
    <w:lvl w:ilvl="3">
      <w:start w:val="1"/>
      <w:numFmt w:val="lowerLetter"/>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Letter"/>
      <w:lvlText w:val="%6)"/>
      <w:lvlJc w:val="left"/>
      <w:pPr>
        <w:tabs>
          <w:tab w:val="num" w:pos="2160"/>
        </w:tabs>
        <w:ind w:left="2160" w:hanging="360"/>
      </w:pPr>
      <w:rPr/>
    </w:lvl>
    <w:lvl w:ilvl="6">
      <w:start w:val="1"/>
      <w:numFmt w:val="lowerLetter"/>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Letter"/>
      <w:lvlText w:val="%9)"/>
      <w:lvlJc w:val="left"/>
      <w:pPr>
        <w:tabs>
          <w:tab w:val="num" w:pos="3240"/>
        </w:tabs>
        <w:ind w:left="3240" w:hanging="360"/>
      </w:pPr>
      <w:rPr/>
    </w:lvl>
  </w:abstractNum>
  <w:abstractNum w:abstractNumId="22">
    <w:lvl w:ilvl="0">
      <w:start w:val="1"/>
      <w:numFmt w:val="lowerLetter"/>
      <w:lvlText w:val="%1)"/>
      <w:lvlJc w:val="left"/>
      <w:pPr>
        <w:tabs>
          <w:tab w:val="num" w:pos="0"/>
        </w:tabs>
        <w:ind w:left="1146" w:hanging="360"/>
      </w:pPr>
      <w:rPr/>
    </w:lvl>
    <w:lvl w:ilvl="1">
      <w:start w:val="1"/>
      <w:numFmt w:val="bullet"/>
      <w:lvlText w:val=""/>
      <w:lvlJc w:val="left"/>
      <w:pPr>
        <w:tabs>
          <w:tab w:val="num" w:pos="0"/>
        </w:tabs>
        <w:ind w:left="862" w:hanging="360"/>
      </w:pPr>
      <w:rPr>
        <w:rFonts w:ascii="Symbol" w:hAnsi="Symbol" w:cs="Symbol" w:hint="default"/>
      </w:rPr>
    </w:lvl>
    <w:lvl w:ilvl="2">
      <w:start w:val="1"/>
      <w:numFmt w:val="decimal"/>
      <w:lvlText w:val="%3)"/>
      <w:lvlJc w:val="left"/>
      <w:pPr>
        <w:tabs>
          <w:tab w:val="num" w:pos="0"/>
        </w:tabs>
        <w:ind w:left="2766" w:hanging="360"/>
      </w:pPr>
      <w:rPr/>
    </w:lvl>
    <w:lvl w:ilvl="3">
      <w:start w:val="2"/>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23">
    <w:lvl w:ilvl="0">
      <w:start w:val="1"/>
      <w:numFmt w:val="lowerRoman"/>
      <w:lvlText w:val="%1."/>
      <w:lvlJc w:val="right"/>
      <w:pPr>
        <w:tabs>
          <w:tab w:val="num" w:pos="0"/>
        </w:tabs>
        <w:ind w:left="1637" w:hanging="360"/>
      </w:pPr>
      <w:rPr>
        <w:color w:themeColor="text1" w:val="000000"/>
        <w:sz w:val="18"/>
        <w:szCs w:val="18"/>
      </w:rPr>
    </w:lvl>
    <w:lvl w:ilvl="1">
      <w:start w:val="1"/>
      <w:numFmt w:val="lowerLetter"/>
      <w:lvlText w:val="%2."/>
      <w:lvlJc w:val="left"/>
      <w:pPr>
        <w:tabs>
          <w:tab w:val="num" w:pos="0"/>
        </w:tabs>
        <w:ind w:left="2961" w:hanging="360"/>
      </w:pPr>
      <w:rPr/>
    </w:lvl>
    <w:lvl w:ilvl="2">
      <w:start w:val="1"/>
      <w:numFmt w:val="lowerRoman"/>
      <w:lvlText w:val="%3."/>
      <w:lvlJc w:val="right"/>
      <w:pPr>
        <w:tabs>
          <w:tab w:val="num" w:pos="0"/>
        </w:tabs>
        <w:ind w:left="3681" w:hanging="180"/>
      </w:pPr>
      <w:rPr/>
    </w:lvl>
    <w:lvl w:ilvl="3">
      <w:start w:val="1"/>
      <w:numFmt w:val="decimal"/>
      <w:lvlText w:val="%4."/>
      <w:lvlJc w:val="left"/>
      <w:pPr>
        <w:tabs>
          <w:tab w:val="num" w:pos="0"/>
        </w:tabs>
        <w:ind w:left="4401" w:hanging="360"/>
      </w:pPr>
      <w:rPr/>
    </w:lvl>
    <w:lvl w:ilvl="4">
      <w:start w:val="1"/>
      <w:numFmt w:val="lowerLetter"/>
      <w:lvlText w:val="%5."/>
      <w:lvlJc w:val="left"/>
      <w:pPr>
        <w:tabs>
          <w:tab w:val="num" w:pos="0"/>
        </w:tabs>
        <w:ind w:left="5121" w:hanging="360"/>
      </w:pPr>
      <w:rPr/>
    </w:lvl>
    <w:lvl w:ilvl="5">
      <w:start w:val="1"/>
      <w:numFmt w:val="lowerRoman"/>
      <w:lvlText w:val="%6."/>
      <w:lvlJc w:val="right"/>
      <w:pPr>
        <w:tabs>
          <w:tab w:val="num" w:pos="0"/>
        </w:tabs>
        <w:ind w:left="5841" w:hanging="180"/>
      </w:pPr>
      <w:rPr/>
    </w:lvl>
    <w:lvl w:ilvl="6">
      <w:start w:val="1"/>
      <w:numFmt w:val="decimal"/>
      <w:lvlText w:val="%7."/>
      <w:lvlJc w:val="left"/>
      <w:pPr>
        <w:tabs>
          <w:tab w:val="num" w:pos="0"/>
        </w:tabs>
        <w:ind w:left="6561" w:hanging="360"/>
      </w:pPr>
      <w:rPr/>
    </w:lvl>
    <w:lvl w:ilvl="7">
      <w:start w:val="1"/>
      <w:numFmt w:val="lowerLetter"/>
      <w:lvlText w:val="%8."/>
      <w:lvlJc w:val="left"/>
      <w:pPr>
        <w:tabs>
          <w:tab w:val="num" w:pos="0"/>
        </w:tabs>
        <w:ind w:left="7281" w:hanging="360"/>
      </w:pPr>
      <w:rPr/>
    </w:lvl>
    <w:lvl w:ilvl="8">
      <w:start w:val="1"/>
      <w:numFmt w:val="lowerRoman"/>
      <w:lvlText w:val="%9."/>
      <w:lvlJc w:val="right"/>
      <w:pPr>
        <w:tabs>
          <w:tab w:val="num" w:pos="0"/>
        </w:tabs>
        <w:ind w:left="8001" w:hanging="180"/>
      </w:pPr>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Titilium" w:hAnsi="Titilium" w:cs="Titilium" w:hint="default"/>
        <w:color w:val="auto"/>
        <w:sz w:val="18"/>
      </w:rPr>
    </w:lvl>
    <w:lvl w:ilvl="2">
      <w:start w:val="1"/>
      <w:numFmt w:val="lowerLetter"/>
      <w:lvlText w:val="%3)"/>
      <w:lvlJc w:val="left"/>
      <w:pPr>
        <w:tabs>
          <w:tab w:val="num" w:pos="0"/>
        </w:tabs>
        <w:ind w:left="360" w:hanging="360"/>
      </w:pPr>
      <w:rPr>
        <w:rFonts w:ascii="Titillium" w:hAnsi="Titillium"/>
        <w:sz w:val="18"/>
        <w:szCs w:val="18"/>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Titilium" w:hAnsi="Titilium" w:cs="Titilium" w:hint="default"/>
        <w:color w:val="auto"/>
        <w:sz w:val="18"/>
      </w:rPr>
    </w:lvl>
    <w:lvl w:ilvl="2">
      <w:start w:val="1"/>
      <w:numFmt w:val="lowerLetter"/>
      <w:lvlText w:val="%3)"/>
      <w:lvlJc w:val="left"/>
      <w:pPr>
        <w:tabs>
          <w:tab w:val="num" w:pos="0"/>
        </w:tabs>
        <w:ind w:left="360" w:hanging="360"/>
      </w:pPr>
      <w:rPr>
        <w:rFonts w:ascii="Titillium" w:hAnsi="Titillium"/>
        <w:sz w:val="18"/>
        <w:szCs w:val="18"/>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upperLetter"/>
      <w:lvlText w:val="%1)"/>
      <w:lvlJc w:val="left"/>
      <w:pPr>
        <w:tabs>
          <w:tab w:val="num" w:pos="0"/>
        </w:tabs>
        <w:ind w:left="3468" w:hanging="360"/>
      </w:pPr>
      <w:rPr>
        <w:rFonts w:ascii="Titillium" w:hAnsi="Titillium"/>
        <w:b/>
        <w:sz w:val="18"/>
      </w:rPr>
    </w:lvl>
    <w:lvl w:ilvl="1">
      <w:start w:val="1"/>
      <w:numFmt w:val="lowerLetter"/>
      <w:lvlText w:val="%2."/>
      <w:lvlJc w:val="left"/>
      <w:pPr>
        <w:tabs>
          <w:tab w:val="num" w:pos="0"/>
        </w:tabs>
        <w:ind w:left="4188" w:hanging="360"/>
      </w:pPr>
      <w:rPr/>
    </w:lvl>
    <w:lvl w:ilvl="2">
      <w:start w:val="1"/>
      <w:numFmt w:val="lowerRoman"/>
      <w:lvlText w:val="%3."/>
      <w:lvlJc w:val="right"/>
      <w:pPr>
        <w:tabs>
          <w:tab w:val="num" w:pos="0"/>
        </w:tabs>
        <w:ind w:left="4908" w:hanging="180"/>
      </w:pPr>
      <w:rPr/>
    </w:lvl>
    <w:lvl w:ilvl="3">
      <w:start w:val="1"/>
      <w:numFmt w:val="decimal"/>
      <w:lvlText w:val="%4."/>
      <w:lvlJc w:val="left"/>
      <w:pPr>
        <w:tabs>
          <w:tab w:val="num" w:pos="0"/>
        </w:tabs>
        <w:ind w:left="5628" w:hanging="360"/>
      </w:pPr>
      <w:rPr/>
    </w:lvl>
    <w:lvl w:ilvl="4">
      <w:start w:val="1"/>
      <w:numFmt w:val="lowerLetter"/>
      <w:lvlText w:val="%5."/>
      <w:lvlJc w:val="left"/>
      <w:pPr>
        <w:tabs>
          <w:tab w:val="num" w:pos="0"/>
        </w:tabs>
        <w:ind w:left="6348" w:hanging="360"/>
      </w:pPr>
      <w:rPr/>
    </w:lvl>
    <w:lvl w:ilvl="5">
      <w:start w:val="1"/>
      <w:numFmt w:val="lowerRoman"/>
      <w:lvlText w:val="%6."/>
      <w:lvlJc w:val="right"/>
      <w:pPr>
        <w:tabs>
          <w:tab w:val="num" w:pos="0"/>
        </w:tabs>
        <w:ind w:left="7068" w:hanging="180"/>
      </w:pPr>
      <w:rPr/>
    </w:lvl>
    <w:lvl w:ilvl="6">
      <w:start w:val="1"/>
      <w:numFmt w:val="decimal"/>
      <w:lvlText w:val="%7."/>
      <w:lvlJc w:val="left"/>
      <w:pPr>
        <w:tabs>
          <w:tab w:val="num" w:pos="0"/>
        </w:tabs>
        <w:ind w:left="7788" w:hanging="360"/>
      </w:pPr>
      <w:rPr/>
    </w:lvl>
    <w:lvl w:ilvl="7">
      <w:start w:val="1"/>
      <w:numFmt w:val="lowerLetter"/>
      <w:lvlText w:val="%8."/>
      <w:lvlJc w:val="left"/>
      <w:pPr>
        <w:tabs>
          <w:tab w:val="num" w:pos="0"/>
        </w:tabs>
        <w:ind w:left="8508" w:hanging="360"/>
      </w:pPr>
      <w:rPr/>
    </w:lvl>
    <w:lvl w:ilvl="8">
      <w:start w:val="1"/>
      <w:numFmt w:val="lowerRoman"/>
      <w:lvlText w:val="%9."/>
      <w:lvlJc w:val="right"/>
      <w:pPr>
        <w:tabs>
          <w:tab w:val="num" w:pos="0"/>
        </w:tabs>
        <w:ind w:left="9228" w:hanging="180"/>
      </w:pPr>
      <w:rPr/>
    </w:lvl>
  </w:abstractNum>
  <w:abstractNum w:abstractNumId="2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4"/>
      <w:numFmt w:val="bullet"/>
      <w:lvlText w:val="-"/>
      <w:lvlJc w:val="left"/>
      <w:pPr>
        <w:tabs>
          <w:tab w:val="num" w:pos="0"/>
        </w:tabs>
        <w:ind w:left="1080" w:hanging="360"/>
      </w:pPr>
      <w:rPr>
        <w:rFonts w:ascii="Titillium-Regular" w:hAnsi="Titillium-Regular" w:cs="Titillium-Regular"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Garamond" w:hAnsi="Garamond" w:cs="Garamond" w:hint="default"/>
        <w:b/>
        <w:i w:val="false"/>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numFmt w:val="bullet"/>
      <w:lvlText w:val="-"/>
      <w:lvlJc w:val="left"/>
      <w:pPr>
        <w:tabs>
          <w:tab w:val="num" w:pos="0"/>
        </w:tabs>
        <w:ind w:left="720" w:hanging="360"/>
      </w:pPr>
      <w:rPr>
        <w:rFonts w:ascii="Garamond" w:hAnsi="Garamond" w:cs="Garamond" w:hint="default"/>
      </w:rPr>
    </w:lvl>
    <w:lvl w:ilvl="1">
      <w:start w:val="0"/>
      <w:numFmt w:val="bullet"/>
      <w:lvlText w:val="-"/>
      <w:lvlJc w:val="left"/>
      <w:pPr>
        <w:tabs>
          <w:tab w:val="num" w:pos="0"/>
        </w:tabs>
        <w:ind w:left="1440" w:hanging="360"/>
      </w:pPr>
      <w:rPr>
        <w:rFonts w:ascii="Garamond" w:hAnsi="Garamond" w:cs="Garamond"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numFmt w:val="bullet"/>
      <w:lvlText w:val="-"/>
      <w:lvlJc w:val="left"/>
      <w:pPr>
        <w:tabs>
          <w:tab w:val="num" w:pos="0"/>
        </w:tabs>
        <w:ind w:left="786" w:hanging="360"/>
      </w:pPr>
      <w:rPr>
        <w:rFonts w:ascii="Garamond" w:hAnsi="Garamond" w:cs="Garamond" w:hint="default"/>
        <w:sz w:val="24"/>
      </w:rPr>
    </w:lvl>
    <w:lvl w:ilvl="1">
      <w:start w:val="0"/>
      <w:numFmt w:val="bullet"/>
      <w:lvlText w:val="-"/>
      <w:lvlJc w:val="left"/>
      <w:pPr>
        <w:tabs>
          <w:tab w:val="num" w:pos="0"/>
        </w:tabs>
        <w:ind w:left="720" w:hanging="360"/>
      </w:pPr>
      <w:rPr>
        <w:rFonts w:ascii="Garamond" w:hAnsi="Garamond" w:cs="Garamond"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5">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lowerLetter"/>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lowerLetter"/>
      <w:lvlText w:val="%4)"/>
      <w:lvlJc w:val="left"/>
      <w:pPr>
        <w:tabs>
          <w:tab w:val="num" w:pos="0"/>
        </w:tabs>
        <w:ind w:left="2880"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38">
    <w:lvl w:ilvl="0">
      <w:numFmt w:val="bullet"/>
      <w:lvlText w:val="-"/>
      <w:lvlJc w:val="left"/>
      <w:pPr>
        <w:tabs>
          <w:tab w:val="num" w:pos="0"/>
        </w:tabs>
        <w:ind w:left="1080" w:hanging="360"/>
      </w:pPr>
      <w:rPr>
        <w:rFonts w:ascii="Garamond" w:hAnsi="Garamond" w:cs="Garamond"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lvl w:ilvl="0">
      <w:start w:val="1"/>
      <w:numFmt w:val="decimal"/>
      <w:lvlText w:val="%1."/>
      <w:lvlJc w:val="left"/>
      <w:pPr>
        <w:tabs>
          <w:tab w:val="num" w:pos="360"/>
        </w:tabs>
        <w:ind w:left="340" w:hanging="340"/>
      </w:pPr>
      <w:rPr>
        <w:rFonts w:ascii="Times New Roman" w:hAnsi="Times New Roman" w:cs="Times New Roman"/>
        <w:b/>
        <w:bCs/>
        <w:i w:val="false"/>
        <w:iCs w:val="false"/>
        <w:caps w:val="false"/>
        <w:smallCaps w:val="false"/>
        <w:strike w:val="false"/>
        <w:dstrike w:val="false"/>
        <w:outline w:val="false"/>
        <w:shadow w:val="false"/>
        <w:color w:val="000000"/>
        <w:spacing w:val="0"/>
        <w:w w:val="100"/>
        <w:kern w:val="2"/>
        <w:position w:val="0"/>
        <w:sz w:val="24"/>
        <w:szCs w:val="28"/>
        <w:u w:val="none"/>
        <w:shd w:fill="auto" w:val="clear"/>
        <w:vertAlign w:val="baseline"/>
        <w:em w:val="none"/>
      </w:rPr>
    </w:lvl>
    <w:lvl w:ilvl="1">
      <w:start w:val="1"/>
      <w:numFmt w:val="decimal"/>
      <w:lvlText w:val="%1.%2."/>
      <w:lvlJc w:val="left"/>
      <w:pPr>
        <w:tabs>
          <w:tab w:val="num" w:pos="927"/>
        </w:tabs>
        <w:ind w:left="57" w:firstLine="150"/>
      </w:pPr>
      <w:rPr>
        <w:rFonts w:ascii="Times New Roman" w:hAnsi="Times New Roman" w:cs="Times New Roman"/>
        <w:sz w:val="24"/>
        <w:szCs w:val="24"/>
      </w:rPr>
    </w:lvl>
    <w:lvl w:ilvl="2">
      <w:start w:val="1"/>
      <w:numFmt w:val="decimal"/>
      <w:lvlText w:val="%1.%2.%3."/>
      <w:lvlJc w:val="left"/>
      <w:pPr>
        <w:tabs>
          <w:tab w:val="num" w:pos="1647"/>
        </w:tabs>
        <w:ind w:left="851" w:hanging="284"/>
      </w:pPr>
      <w:rPr/>
    </w:lvl>
    <w:lvl w:ilvl="3">
      <w:start w:val="1"/>
      <w:numFmt w:val="decimal"/>
      <w:lvlText w:val="%1.%2.%3.%4."/>
      <w:lvlJc w:val="left"/>
      <w:pPr>
        <w:tabs>
          <w:tab w:val="num" w:pos="1647"/>
        </w:tabs>
        <w:ind w:left="1575" w:hanging="648"/>
      </w:pPr>
      <w:rPr/>
    </w:lvl>
    <w:lvl w:ilvl="4">
      <w:start w:val="1"/>
      <w:numFmt w:val="decimal"/>
      <w:lvlText w:val="%1.%2.%3.%4.%5."/>
      <w:lvlJc w:val="left"/>
      <w:pPr>
        <w:tabs>
          <w:tab w:val="num" w:pos="2367"/>
        </w:tabs>
        <w:ind w:left="2079" w:hanging="792"/>
      </w:pPr>
      <w:rPr/>
    </w:lvl>
    <w:lvl w:ilvl="5">
      <w:start w:val="1"/>
      <w:numFmt w:val="decimal"/>
      <w:lvlText w:val="%1.%2.%3.%4.%5.%6."/>
      <w:lvlJc w:val="left"/>
      <w:pPr>
        <w:tabs>
          <w:tab w:val="num" w:pos="2727"/>
        </w:tabs>
        <w:ind w:left="2583" w:hanging="936"/>
      </w:pPr>
      <w:rPr/>
    </w:lvl>
    <w:lvl w:ilvl="6">
      <w:start w:val="1"/>
      <w:numFmt w:val="decimal"/>
      <w:lvlText w:val="%1.%2.%3.%4.%5.%6.%7."/>
      <w:lvlJc w:val="left"/>
      <w:pPr>
        <w:tabs>
          <w:tab w:val="num" w:pos="3447"/>
        </w:tabs>
        <w:ind w:left="3087" w:hanging="1080"/>
      </w:pPr>
      <w:rPr/>
    </w:lvl>
    <w:lvl w:ilvl="7">
      <w:start w:val="1"/>
      <w:numFmt w:val="decimal"/>
      <w:lvlText w:val="%1.%2.%3.%4.%5.%6.%7.%8."/>
      <w:lvlJc w:val="left"/>
      <w:pPr>
        <w:tabs>
          <w:tab w:val="num" w:pos="3807"/>
        </w:tabs>
        <w:ind w:left="3591" w:hanging="1224"/>
      </w:pPr>
      <w:rPr/>
    </w:lvl>
    <w:lvl w:ilvl="8">
      <w:start w:val="1"/>
      <w:numFmt w:val="decimal"/>
      <w:lvlText w:val="%1.%2.%3.%4.%5.%6.%7.%8.%9."/>
      <w:lvlJc w:val="left"/>
      <w:pPr>
        <w:tabs>
          <w:tab w:val="num" w:pos="4527"/>
        </w:tabs>
        <w:ind w:left="4167" w:hanging="1440"/>
      </w:pPr>
      <w:rPr/>
    </w:lvl>
  </w:abstractNum>
  <w:abstractNum w:abstractNumId="40">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qFormat="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semiHidden="1" w:unhideWhenUsed="1" w:qFormat="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qFormat="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uiPriority="0"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8ad"/>
    <w:pPr>
      <w:widowControl/>
      <w:suppressAutoHyphens w:val="true"/>
      <w:bidi w:val="0"/>
      <w:spacing w:lineRule="auto" w:line="276" w:before="0" w:after="0"/>
      <w:jc w:val="both"/>
    </w:pPr>
    <w:rPr>
      <w:rFonts w:ascii="Garamond" w:hAnsi="Garamond" w:eastAsia="Times New Roman" w:cs="Times New Roman"/>
      <w:color w:val="auto"/>
      <w:kern w:val="0"/>
      <w:sz w:val="24"/>
      <w:szCs w:val="22"/>
      <w:lang w:val="it-IT" w:eastAsia="en-US" w:bidi="ar-SA"/>
      <w14:ligatures w14:val="none"/>
    </w:rPr>
  </w:style>
  <w:style w:type="paragraph" w:styleId="Heading1">
    <w:name w:val="heading 1"/>
    <w:basedOn w:val="Normal"/>
    <w:next w:val="Normal"/>
    <w:link w:val="Titolo1Carattere"/>
    <w:qFormat/>
    <w:rsid w:val="00604c9a"/>
    <w:pPr>
      <w:keepNext w:val="true"/>
      <w:keepLines/>
      <w:spacing w:before="100" w:after="100"/>
      <w:outlineLvl w:val="0"/>
    </w:pPr>
    <w:rPr>
      <w:rFonts w:ascii="Titillium" w:hAnsi="Titillium" w:eastAsia="" w:cs="" w:cstheme="majorBidi" w:eastAsiaTheme="majorEastAsia"/>
      <w:color w:themeColor="accent1" w:themeShade="bf" w:val="0F4761"/>
      <w:sz w:val="22"/>
    </w:rPr>
  </w:style>
  <w:style w:type="paragraph" w:styleId="Heading2">
    <w:name w:val="heading 2"/>
    <w:basedOn w:val="Normal"/>
    <w:next w:val="Normal"/>
    <w:link w:val="Titolo2Carattere"/>
    <w:unhideWhenUsed/>
    <w:qFormat/>
    <w:rsid w:val="00604c9a"/>
    <w:pPr>
      <w:keepNext w:val="true"/>
      <w:keepLines/>
      <w:spacing w:before="160" w:after="80"/>
      <w:outlineLvl w:val="1"/>
    </w:pPr>
    <w:rPr>
      <w:rFonts w:ascii="Titillium" w:hAnsi="Titillium" w:eastAsia="" w:cs="" w:cstheme="majorBidi" w:eastAsiaTheme="majorEastAsia"/>
      <w:color w:themeColor="accent1" w:themeShade="bf" w:val="0F4761"/>
      <w:sz w:val="20"/>
      <w:szCs w:val="20"/>
    </w:rPr>
  </w:style>
  <w:style w:type="paragraph" w:styleId="Heading3">
    <w:name w:val="heading 3"/>
    <w:basedOn w:val="Normal"/>
    <w:next w:val="Normal"/>
    <w:link w:val="Titolo3Carattere"/>
    <w:unhideWhenUsed/>
    <w:qFormat/>
    <w:rsid w:val="00382f1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nhideWhenUsed/>
    <w:qFormat/>
    <w:rsid w:val="00382f1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nhideWhenUsed/>
    <w:qFormat/>
    <w:rsid w:val="00382f1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382f1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382f1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382f18"/>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382f18"/>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sid w:val="00604c9a"/>
    <w:rPr>
      <w:rFonts w:ascii="Titillium" w:hAnsi="Titillium" w:eastAsia="" w:cs="" w:cstheme="majorBidi" w:eastAsiaTheme="majorEastAsia"/>
      <w:color w:themeColor="accent1" w:themeShade="bf" w:val="0F4761"/>
      <w:kern w:val="0"/>
      <w:sz w:val="22"/>
      <w:szCs w:val="22"/>
      <w14:ligatures w14:val="none"/>
    </w:rPr>
  </w:style>
  <w:style w:type="character" w:styleId="Titolo2Carattere" w:customStyle="1">
    <w:name w:val="Titolo 2 Carattere"/>
    <w:basedOn w:val="DefaultParagraphFont"/>
    <w:qFormat/>
    <w:rsid w:val="00604c9a"/>
    <w:rPr>
      <w:rFonts w:ascii="Titillium" w:hAnsi="Titillium" w:eastAsia="" w:cs="" w:cstheme="majorBidi" w:eastAsiaTheme="majorEastAsia"/>
      <w:color w:themeColor="accent1" w:themeShade="bf" w:val="0F4761"/>
      <w:kern w:val="0"/>
      <w:sz w:val="20"/>
      <w:szCs w:val="20"/>
      <w14:ligatures w14:val="none"/>
    </w:rPr>
  </w:style>
  <w:style w:type="character" w:styleId="Titolo3Carattere" w:customStyle="1">
    <w:name w:val="Titolo 3 Carattere"/>
    <w:basedOn w:val="DefaultParagraphFont"/>
    <w:qFormat/>
    <w:rsid w:val="00382f18"/>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qFormat/>
    <w:rsid w:val="00382f18"/>
    <w:rPr>
      <w:rFonts w:eastAsia="" w:cs="" w:cstheme="majorBidi" w:eastAsiaTheme="majorEastAsia"/>
      <w:i/>
      <w:iCs/>
      <w:color w:themeColor="accent1" w:themeShade="bf" w:val="0F4761"/>
    </w:rPr>
  </w:style>
  <w:style w:type="character" w:styleId="Titolo5Carattere" w:customStyle="1">
    <w:name w:val="Titolo 5 Carattere"/>
    <w:basedOn w:val="DefaultParagraphFont"/>
    <w:qFormat/>
    <w:rsid w:val="00382f18"/>
    <w:rPr>
      <w:rFonts w:eastAsia="" w:cs="" w:cstheme="majorBidi" w:eastAsiaTheme="majorEastAsia"/>
      <w:color w:themeColor="accent1" w:themeShade="bf" w:val="0F4761"/>
    </w:rPr>
  </w:style>
  <w:style w:type="character" w:styleId="Titolo6Carattere" w:customStyle="1">
    <w:name w:val="Titolo 6 Carattere"/>
    <w:basedOn w:val="DefaultParagraphFont"/>
    <w:qFormat/>
    <w:rsid w:val="00382f18"/>
    <w:rPr>
      <w:rFonts w:eastAsia="" w:cs="" w:cstheme="majorBidi" w:eastAsiaTheme="majorEastAsia"/>
      <w:i/>
      <w:iCs/>
      <w:color w:themeColor="text1" w:themeTint="a6" w:val="595959"/>
    </w:rPr>
  </w:style>
  <w:style w:type="character" w:styleId="Titolo7Carattere" w:customStyle="1">
    <w:name w:val="Titolo 7 Carattere"/>
    <w:basedOn w:val="DefaultParagraphFont"/>
    <w:qFormat/>
    <w:rsid w:val="00382f18"/>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382f18"/>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382f18"/>
    <w:rPr>
      <w:rFonts w:eastAsia="" w:cs="" w:cstheme="majorBidi" w:eastAsiaTheme="majorEastAsia"/>
      <w:color w:themeColor="text1" w:themeTint="d8" w:val="272727"/>
    </w:rPr>
  </w:style>
  <w:style w:type="character" w:styleId="TitoloCarattere" w:customStyle="1">
    <w:name w:val="Titolo Carattere"/>
    <w:basedOn w:val="DefaultParagraphFont"/>
    <w:qFormat/>
    <w:rsid w:val="00382f18"/>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qFormat/>
    <w:rsid w:val="00382f18"/>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382f18"/>
    <w:rPr>
      <w:i/>
      <w:iCs/>
      <w:color w:themeColor="text1" w:themeTint="bf" w:val="404040"/>
    </w:rPr>
  </w:style>
  <w:style w:type="character" w:styleId="IntenseEmphasis">
    <w:name w:val="Intense Emphasis"/>
    <w:basedOn w:val="DefaultParagraphFont"/>
    <w:uiPriority w:val="21"/>
    <w:qFormat/>
    <w:rsid w:val="00382f18"/>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382f18"/>
    <w:rPr>
      <w:i/>
      <w:iCs/>
      <w:color w:themeColor="accent1" w:themeShade="bf" w:val="0F4761"/>
    </w:rPr>
  </w:style>
  <w:style w:type="character" w:styleId="IntenseReference">
    <w:name w:val="Intense Reference"/>
    <w:basedOn w:val="DefaultParagraphFont"/>
    <w:uiPriority w:val="32"/>
    <w:qFormat/>
    <w:rsid w:val="00382f18"/>
    <w:rPr>
      <w:b/>
      <w:bCs/>
      <w:smallCaps/>
      <w:color w:themeColor="accent1" w:themeShade="bf" w:val="0F4761"/>
      <w:spacing w:val="5"/>
    </w:rPr>
  </w:style>
  <w:style w:type="character" w:styleId="TestofumettoCarattere" w:customStyle="1">
    <w:name w:val="Testo fumetto Carattere"/>
    <w:qFormat/>
    <w:rsid w:val="00ae28ad"/>
    <w:rPr>
      <w:rFonts w:ascii="Tahoma" w:hAnsi="Tahoma" w:cs="Tahoma"/>
      <w:sz w:val="16"/>
      <w:szCs w:val="16"/>
    </w:rPr>
  </w:style>
  <w:style w:type="character" w:styleId="IntestazioneCarattere" w:customStyle="1">
    <w:name w:val="Intestazione Carattere"/>
    <w:qFormat/>
    <w:rsid w:val="00ae28ad"/>
    <w:rPr>
      <w:rFonts w:eastAsia="Times New Roman" w:cs="Times New Roman"/>
      <w:lang w:val="x-none" w:eastAsia="it-IT"/>
    </w:rPr>
  </w:style>
  <w:style w:type="character" w:styleId="PidipaginaCarattere" w:customStyle="1">
    <w:name w:val="Piè di pagina Carattere"/>
    <w:qFormat/>
    <w:rsid w:val="00ae28ad"/>
    <w:rPr>
      <w:rFonts w:eastAsia="Times New Roman" w:cs="Times New Roman"/>
      <w:lang w:val="x-none" w:eastAsia="it-IT"/>
    </w:rPr>
  </w:style>
  <w:style w:type="character" w:styleId="TestonotaapidipaginaCarattere" w:customStyle="1">
    <w:name w:val="Testo nota a piè di pagina Carattere"/>
    <w:qFormat/>
    <w:rsid w:val="00ae28ad"/>
    <w:rPr>
      <w:rFonts w:eastAsia="Times New Roman" w:cs="Times New Roman"/>
      <w:sz w:val="20"/>
      <w:szCs w:val="20"/>
      <w:lang w:val="x-none" w:eastAsia="it-IT"/>
    </w:rPr>
  </w:style>
  <w:style w:type="character" w:styleId="Rimandonotaapidipagina1" w:customStyle="1">
    <w:name w:val="Rimando nota a piè di pagina1"/>
    <w:qFormat/>
    <w:rsid w:val="00ae28ad"/>
    <w:rPr>
      <w:rFonts w:cs="Times New Roman"/>
      <w:vertAlign w:val="superscript"/>
    </w:rPr>
  </w:style>
  <w:style w:type="character" w:styleId="FootnoteCharacters" w:customStyle="1">
    <w:name w:val="Footnote Characters"/>
    <w:basedOn w:val="DefaultParagraphFont"/>
    <w:uiPriority w:val="99"/>
    <w:semiHidden/>
    <w:unhideWhenUsed/>
    <w:qFormat/>
    <w:rsid w:val="00ae28ad"/>
    <w:rPr>
      <w:vertAlign w:val="superscript"/>
    </w:rPr>
  </w:style>
  <w:style w:type="character" w:styleId="Hyperlink" w:customStyle="1">
    <w:name w:val="Hyperlink"/>
    <w:basedOn w:val="DefaultParagraphFont"/>
    <w:qFormat/>
    <w:rPr>
      <w:color w:themeColor="hyperlink" w:val="467886"/>
      <w:u w:val="single"/>
    </w:rPr>
  </w:style>
  <w:style w:type="character" w:styleId="Stile1Carattere" w:customStyle="1">
    <w:name w:val="Stile1 Carattere"/>
    <w:qFormat/>
    <w:rsid w:val="00ae28ad"/>
    <w:rPr>
      <w:rFonts w:ascii="Times New Roman" w:hAnsi="Times New Roman" w:cs="Times New Roman"/>
      <w:b/>
      <w:bCs/>
      <w:color w:val="365F91"/>
      <w:sz w:val="28"/>
      <w:szCs w:val="28"/>
      <w:lang w:val="x-none" w:eastAsia="it-IT"/>
    </w:rPr>
  </w:style>
  <w:style w:type="character" w:styleId="NoSpacingChar" w:customStyle="1">
    <w:name w:val="No Spacing Char"/>
    <w:qFormat/>
    <w:rsid w:val="00ae28ad"/>
    <w:rPr>
      <w:sz w:val="22"/>
      <w:szCs w:val="22"/>
      <w:lang w:val="it-IT" w:eastAsia="en-US" w:bidi="ar-SA"/>
    </w:rPr>
  </w:style>
  <w:style w:type="character" w:styleId="Enfasicorsivo1" w:customStyle="1">
    <w:name w:val="Enfasi (corsivo)1"/>
    <w:qFormat/>
    <w:rsid w:val="00ae28ad"/>
    <w:rPr>
      <w:rFonts w:cs="Times New Roman"/>
      <w:i/>
      <w:iCs/>
    </w:rPr>
  </w:style>
  <w:style w:type="character" w:styleId="TestonotadichiusuraCarattere" w:customStyle="1">
    <w:name w:val="Testo nota di chiusura Carattere"/>
    <w:qFormat/>
    <w:rsid w:val="00ae28ad"/>
    <w:rPr>
      <w:rFonts w:eastAsia="Times New Roman"/>
      <w:lang w:eastAsia="en-US"/>
    </w:rPr>
  </w:style>
  <w:style w:type="character" w:styleId="Rimandonotadichiusura1" w:customStyle="1">
    <w:name w:val="Rimando nota di chiusura1"/>
    <w:qFormat/>
    <w:rsid w:val="00ae28ad"/>
    <w:rPr>
      <w:vertAlign w:val="superscript"/>
    </w:rPr>
  </w:style>
  <w:style w:type="character" w:styleId="EndnoteCharacters" w:customStyle="1">
    <w:name w:val="Endnote Characters"/>
    <w:qFormat/>
    <w:rsid w:val="00ae28ad"/>
    <w:rPr>
      <w:vertAlign w:val="superscript"/>
    </w:rPr>
  </w:style>
  <w:style w:type="character" w:styleId="descrizione" w:customStyle="1">
    <w:name w:val="descrizione"/>
    <w:qFormat/>
    <w:rsid w:val="00ae28ad"/>
    <w:rPr>
      <w:b/>
      <w:bCs/>
      <w:color w:val="5B76A0"/>
      <w:sz w:val="28"/>
      <w:szCs w:val="28"/>
    </w:rPr>
  </w:style>
  <w:style w:type="character" w:styleId="Strong">
    <w:name w:val="Strong"/>
    <w:qFormat/>
    <w:rsid w:val="00ae28ad"/>
    <w:rPr>
      <w:b/>
      <w:bCs/>
    </w:rPr>
  </w:style>
  <w:style w:type="character" w:styleId="provvrubrica" w:customStyle="1">
    <w:name w:val="provv_rubrica"/>
    <w:qFormat/>
    <w:rsid w:val="00ae28ad"/>
    <w:rPr>
      <w:i/>
      <w:iCs/>
    </w:rPr>
  </w:style>
  <w:style w:type="character" w:styleId="CommentReference">
    <w:name w:val="annotation reference"/>
    <w:uiPriority w:val="99"/>
    <w:qFormat/>
    <w:rsid w:val="00ae28ad"/>
    <w:rPr>
      <w:sz w:val="16"/>
      <w:szCs w:val="16"/>
    </w:rPr>
  </w:style>
  <w:style w:type="character" w:styleId="TestocommentoCarattere" w:customStyle="1">
    <w:name w:val="Testo commento Carattere"/>
    <w:uiPriority w:val="99"/>
    <w:qFormat/>
    <w:rsid w:val="00ae28ad"/>
    <w:rPr>
      <w:rFonts w:eastAsia="Times New Roman"/>
      <w:lang w:eastAsia="en-US"/>
    </w:rPr>
  </w:style>
  <w:style w:type="character" w:styleId="SoggettocommentoCarattere" w:customStyle="1">
    <w:name w:val="Soggetto commento Carattere"/>
    <w:qFormat/>
    <w:rsid w:val="00ae28ad"/>
    <w:rPr>
      <w:rFonts w:eastAsia="Times New Roman"/>
      <w:b/>
      <w:bCs/>
      <w:lang w:eastAsia="en-US"/>
    </w:rPr>
  </w:style>
  <w:style w:type="character" w:styleId="provvnumcomma" w:customStyle="1">
    <w:name w:val="provv_numcomma"/>
    <w:basedOn w:val="DefaultParagraphFont"/>
    <w:qFormat/>
    <w:rsid w:val="00ae28ad"/>
    <w:rPr/>
  </w:style>
  <w:style w:type="character" w:styleId="anchorantimarker" w:customStyle="1">
    <w:name w:val="anchor_anti_marker"/>
    <w:qFormat/>
    <w:rsid w:val="00ae28ad"/>
    <w:rPr>
      <w:color w:val="000000"/>
    </w:rPr>
  </w:style>
  <w:style w:type="character" w:styleId="linkneltesto" w:customStyle="1">
    <w:name w:val="link_nel_testo"/>
    <w:qFormat/>
    <w:rsid w:val="00ae28ad"/>
    <w:rPr>
      <w:i/>
      <w:iCs/>
    </w:rPr>
  </w:style>
  <w:style w:type="character" w:styleId="CorpotestoCarattere1" w:customStyle="1">
    <w:name w:val="Corpo testo Carattere1"/>
    <w:qFormat/>
    <w:rsid w:val="00ae28ad"/>
    <w:rPr>
      <w:rFonts w:ascii="Times New Roman" w:hAnsi="Times New Roman" w:eastAsia="Times New Roman"/>
      <w:sz w:val="26"/>
    </w:rPr>
  </w:style>
  <w:style w:type="character" w:styleId="Rientrocorpodeltesto3Carattere" w:customStyle="1">
    <w:name w:val="Rientro corpo del testo 3 Carattere"/>
    <w:qFormat/>
    <w:rsid w:val="00ae28ad"/>
    <w:rPr>
      <w:rFonts w:eastAsia="Times New Roman"/>
      <w:sz w:val="16"/>
      <w:szCs w:val="16"/>
      <w:lang w:eastAsia="en-US"/>
    </w:rPr>
  </w:style>
  <w:style w:type="character" w:styleId="Corpodeltesto2Carattere" w:customStyle="1">
    <w:name w:val="Corpo del testo 2 Carattere"/>
    <w:qFormat/>
    <w:rsid w:val="00ae28ad"/>
    <w:rPr>
      <w:rFonts w:eastAsia="Times New Roman"/>
      <w:sz w:val="22"/>
      <w:szCs w:val="22"/>
      <w:lang w:eastAsia="en-US"/>
    </w:rPr>
  </w:style>
  <w:style w:type="character" w:styleId="noteapiCarattere" w:customStyle="1">
    <w:name w:val="note a piè Carattere"/>
    <w:qFormat/>
    <w:rsid w:val="00ae28ad"/>
    <w:rPr>
      <w:rFonts w:ascii="Times New Roman" w:hAnsi="Times New Roman" w:eastAsia="Times New Roman" w:cs="Times New Roman"/>
      <w:sz w:val="20"/>
      <w:szCs w:val="20"/>
      <w:lang w:val="x-none" w:eastAsia="it-IT"/>
    </w:rPr>
  </w:style>
  <w:style w:type="character" w:styleId="provvnumart" w:customStyle="1">
    <w:name w:val="provv_numart"/>
    <w:qFormat/>
    <w:rsid w:val="00ae28ad"/>
    <w:rPr>
      <w:b/>
      <w:bCs/>
    </w:rPr>
  </w:style>
  <w:style w:type="character" w:styleId="MappadocumentoCarattere" w:customStyle="1">
    <w:name w:val="Mappa documento Carattere"/>
    <w:qFormat/>
    <w:rsid w:val="00ae28ad"/>
    <w:rPr>
      <w:rFonts w:ascii="Tahoma" w:hAnsi="Tahoma" w:eastAsia="Times New Roman" w:cs="Tahoma"/>
      <w:sz w:val="16"/>
      <w:szCs w:val="16"/>
      <w:lang w:eastAsia="en-US"/>
    </w:rPr>
  </w:style>
  <w:style w:type="character" w:styleId="provvvigore" w:customStyle="1">
    <w:name w:val="provv_vigore"/>
    <w:qFormat/>
    <w:rsid w:val="00ae28ad"/>
    <w:rPr>
      <w:vanish w:val="false"/>
    </w:rPr>
  </w:style>
  <w:style w:type="character" w:styleId="riferimento1" w:customStyle="1">
    <w:name w:val="riferimento1"/>
    <w:qFormat/>
    <w:rsid w:val="00ae28ad"/>
    <w:rPr>
      <w:i/>
      <w:iCs/>
      <w:color w:val="058940"/>
    </w:rPr>
  </w:style>
  <w:style w:type="character" w:styleId="FollowedHyperlink" w:customStyle="1">
    <w:name w:val="FollowedHyperlink"/>
    <w:qFormat/>
    <w:rPr>
      <w:color w:val="800080"/>
      <w:u w:val="single"/>
    </w:rPr>
  </w:style>
  <w:style w:type="character" w:styleId="Rientrocorpodeltesto2Carattere" w:customStyle="1">
    <w:name w:val="Rientro corpo del testo 2 Carattere"/>
    <w:qFormat/>
    <w:rsid w:val="00ae28ad"/>
    <w:rPr>
      <w:rFonts w:ascii="Times New Roman" w:hAnsi="Times New Roman" w:eastAsia="Times New Roman"/>
      <w:sz w:val="24"/>
      <w:szCs w:val="24"/>
    </w:rPr>
  </w:style>
  <w:style w:type="character" w:styleId="CorpotestoCarattere" w:customStyle="1">
    <w:name w:val="Corpo testo Carattere"/>
    <w:qFormat/>
    <w:rsid w:val="00ae28ad"/>
    <w:rPr>
      <w:rFonts w:ascii="Times New Roman" w:hAnsi="Times New Roman" w:eastAsia="Times New Roman" w:cs="Times New Roman"/>
      <w:sz w:val="26"/>
      <w:szCs w:val="24"/>
      <w:lang w:eastAsia="it-IT"/>
    </w:rPr>
  </w:style>
  <w:style w:type="character" w:styleId="PageNumber">
    <w:name w:val="page number"/>
    <w:qFormat/>
    <w:rsid w:val="00ae28ad"/>
    <w:rPr/>
  </w:style>
  <w:style w:type="character" w:styleId="RientrocorpodeltestoCarattere" w:customStyle="1">
    <w:name w:val="Rientro corpo del testo Carattere"/>
    <w:qFormat/>
    <w:rsid w:val="00ae28ad"/>
    <w:rPr>
      <w:rFonts w:ascii="Times New Roman" w:hAnsi="Times New Roman" w:eastAsia="Times New Roman"/>
      <w:b/>
      <w:bCs/>
      <w:i/>
      <w:iCs/>
    </w:rPr>
  </w:style>
  <w:style w:type="character" w:styleId="Corpodeltesto3Carattere" w:customStyle="1">
    <w:name w:val="Corpo del testo 3 Carattere"/>
    <w:qFormat/>
    <w:rsid w:val="00ae28ad"/>
    <w:rPr>
      <w:rFonts w:ascii="Times New Roman" w:hAnsi="Times New Roman" w:eastAsia="Times New Roman"/>
      <w:b/>
      <w:bCs/>
      <w:i/>
      <w:iCs/>
      <w:szCs w:val="24"/>
    </w:rPr>
  </w:style>
  <w:style w:type="character" w:styleId="CarattereCarattere2" w:customStyle="1">
    <w:name w:val="Carattere Carattere2"/>
    <w:qFormat/>
    <w:rsid w:val="00ae28ad"/>
    <w:rPr>
      <w:sz w:val="26"/>
      <w:szCs w:val="24"/>
      <w:lang w:val="it-IT" w:eastAsia="it-IT" w:bidi="ar-SA"/>
    </w:rPr>
  </w:style>
  <w:style w:type="character" w:styleId="st1" w:customStyle="1">
    <w:name w:val="st1"/>
    <w:qFormat/>
    <w:rsid w:val="00ae28ad"/>
    <w:rPr/>
  </w:style>
  <w:style w:type="character" w:styleId="TestonormaleCarattere" w:customStyle="1">
    <w:name w:val="Testo normale Carattere"/>
    <w:basedOn w:val="DefaultParagraphFont"/>
    <w:qFormat/>
    <w:rsid w:val="00ae28ad"/>
    <w:rPr>
      <w:rFonts w:ascii="Garamond" w:hAnsi="Garamond" w:eastAsia="Times New Roman" w:cs="Consolas"/>
      <w:sz w:val="24"/>
      <w:szCs w:val="21"/>
      <w:lang w:eastAsia="en-US"/>
    </w:rPr>
  </w:style>
  <w:style w:type="character" w:styleId="PlaceholderText">
    <w:name w:val="Placeholder Text"/>
    <w:basedOn w:val="DefaultParagraphFont"/>
    <w:qFormat/>
    <w:rsid w:val="00ae28ad"/>
    <w:rPr>
      <w:color w:val="808080"/>
    </w:rPr>
  </w:style>
  <w:style w:type="character" w:styleId="SommariodisciplinareCarattere" w:customStyle="1">
    <w:name w:val="Sommario disciplinare Carattere"/>
    <w:basedOn w:val="Titolo1Carattere"/>
    <w:qFormat/>
    <w:rsid w:val="00ae28ad"/>
    <w:rPr>
      <w:rFonts w:ascii="Garamond" w:hAnsi="Garamond" w:eastAsia="Times New Roman" w:cs="Calibri"/>
      <w:b/>
      <w:bCs/>
      <w:color w:themeColor="accent1" w:themeShade="bf" w:val="0F4761"/>
      <w:kern w:val="0"/>
      <w:sz w:val="22"/>
      <w:szCs w:val="24"/>
      <w:lang w:val="x-none" w:eastAsia="x-none"/>
      <w14:ligatures w14:val="none"/>
    </w:rPr>
  </w:style>
  <w:style w:type="character" w:styleId="apple-converted-space" w:customStyle="1">
    <w:name w:val="apple-converted-space"/>
    <w:basedOn w:val="DefaultParagraphFont"/>
    <w:qFormat/>
    <w:rsid w:val="00ae28ad"/>
    <w:rPr/>
  </w:style>
  <w:style w:type="character" w:styleId="Saltoaindice" w:customStyle="1">
    <w:name w:val="Salto a indice"/>
    <w:qFormat/>
    <w:rsid w:val="00ae28ad"/>
    <w:rPr/>
  </w:style>
  <w:style w:type="character" w:styleId="WW8Num27z0" w:customStyle="1">
    <w:name w:val="WW8Num27z0"/>
    <w:qFormat/>
    <w:rsid w:val="00ae28ad"/>
    <w:rPr>
      <w:rFonts w:ascii="Calibri" w:hAnsi="Calibri" w:cs="Calibri"/>
      <w:sz w:val="22"/>
      <w:szCs w:val="22"/>
    </w:rPr>
  </w:style>
  <w:style w:type="character" w:styleId="WW8Num27z1" w:customStyle="1">
    <w:name w:val="WW8Num27z1"/>
    <w:qFormat/>
    <w:rsid w:val="00ae28ad"/>
    <w:rPr/>
  </w:style>
  <w:style w:type="character" w:styleId="WW8Num27z2" w:customStyle="1">
    <w:name w:val="WW8Num27z2"/>
    <w:qFormat/>
    <w:rsid w:val="00ae28ad"/>
    <w:rPr/>
  </w:style>
  <w:style w:type="character" w:styleId="WW8Num27z3" w:customStyle="1">
    <w:name w:val="WW8Num27z3"/>
    <w:qFormat/>
    <w:rsid w:val="00ae28ad"/>
    <w:rPr/>
  </w:style>
  <w:style w:type="character" w:styleId="WW8Num27z4" w:customStyle="1">
    <w:name w:val="WW8Num27z4"/>
    <w:qFormat/>
    <w:rsid w:val="00ae28ad"/>
    <w:rPr/>
  </w:style>
  <w:style w:type="character" w:styleId="WW8Num27z5" w:customStyle="1">
    <w:name w:val="WW8Num27z5"/>
    <w:qFormat/>
    <w:rsid w:val="00ae28ad"/>
    <w:rPr/>
  </w:style>
  <w:style w:type="character" w:styleId="WW8Num27z6" w:customStyle="1">
    <w:name w:val="WW8Num27z6"/>
    <w:qFormat/>
    <w:rsid w:val="00ae28ad"/>
    <w:rPr/>
  </w:style>
  <w:style w:type="character" w:styleId="WW8Num27z7" w:customStyle="1">
    <w:name w:val="WW8Num27z7"/>
    <w:qFormat/>
    <w:rsid w:val="00ae28ad"/>
    <w:rPr/>
  </w:style>
  <w:style w:type="character" w:styleId="WW8Num27z8" w:customStyle="1">
    <w:name w:val="WW8Num27z8"/>
    <w:qFormat/>
    <w:rsid w:val="00ae28ad"/>
    <w:rPr/>
  </w:style>
  <w:style w:type="character" w:styleId="ParagrafoelencoCarattere" w:customStyle="1">
    <w:name w:val="Paragrafo elenco Carattere"/>
    <w:uiPriority w:val="34"/>
    <w:qFormat/>
    <w:rsid w:val="00ae28ad"/>
    <w:rPr/>
  </w:style>
  <w:style w:type="character" w:styleId="ANAC-TitoloSottoparagrafoCarattere" w:customStyle="1">
    <w:name w:val="ANAC - Titolo Sottoparagrafo Carattere"/>
    <w:qFormat/>
    <w:rsid w:val="00ae28ad"/>
    <w:rPr>
      <w:rFonts w:ascii="Calibri Light" w:hAnsi="Calibri Light" w:eastAsia="0"/>
      <w:color w:val="2F5496"/>
      <w:sz w:val="28"/>
      <w:szCs w:val="22"/>
    </w:rPr>
  </w:style>
  <w:style w:type="character" w:styleId="ANAC-TitoloParagrafoCarattere" w:customStyle="1">
    <w:name w:val="ANAC - Titolo Paragrafo Carattere"/>
    <w:qFormat/>
    <w:rsid w:val="00ae28ad"/>
    <w:rPr>
      <w:rFonts w:ascii="Gotham Light" w:hAnsi="Gotham Light" w:eastAsia="0"/>
      <w:color w:val="2770B7"/>
      <w:sz w:val="28"/>
    </w:rPr>
  </w:style>
  <w:style w:type="character" w:styleId="ANAC-TitoloCapitoloCarattere" w:customStyle="1">
    <w:name w:val="ANAC - Titolo Capitolo Carattere"/>
    <w:qFormat/>
    <w:rsid w:val="00ae28ad"/>
    <w:rPr>
      <w:rFonts w:ascii="Gotham Light" w:hAnsi="Gotham Light" w:eastAsia="0"/>
      <w:iCs/>
      <w:color w:val="2F5496"/>
      <w:sz w:val="36"/>
      <w:szCs w:val="40"/>
    </w:rPr>
  </w:style>
  <w:style w:type="character" w:styleId="ANAC-CapitoloCarattere" w:customStyle="1">
    <w:name w:val="ANAC - Capitolo Carattere"/>
    <w:qFormat/>
    <w:rsid w:val="00ae28ad"/>
    <w:rPr>
      <w:rFonts w:ascii="Calibri Light" w:hAnsi="Calibri Light" w:eastAsia="0"/>
      <w:color w:val="2F5496"/>
      <w:sz w:val="32"/>
      <w:szCs w:val="32"/>
    </w:rPr>
  </w:style>
  <w:style w:type="character" w:styleId="TitoloParagrafoChar" w:customStyle="1">
    <w:name w:val="Titolo Paragrafo Char"/>
    <w:qFormat/>
    <w:rsid w:val="00ae28ad"/>
    <w:rPr>
      <w:rFonts w:ascii="Calibri Light" w:hAnsi="Calibri Light" w:eastAsia="0"/>
      <w:color w:val="2F5496"/>
      <w:sz w:val="28"/>
    </w:rPr>
  </w:style>
  <w:style w:type="character" w:styleId="TitoloCapitoloChar" w:customStyle="1">
    <w:name w:val="Titolo Capitolo Char"/>
    <w:qFormat/>
    <w:rsid w:val="00ae28ad"/>
    <w:rPr>
      <w:rFonts w:ascii="Gotham Light" w:hAnsi="Gotham Light" w:eastAsia="0"/>
      <w:iCs/>
      <w:color w:val="2F5496"/>
      <w:sz w:val="36"/>
      <w:szCs w:val="40"/>
    </w:rPr>
  </w:style>
  <w:style w:type="character" w:styleId="NumeroCapitoloChar" w:customStyle="1">
    <w:name w:val="Numero Capitolo Char"/>
    <w:qFormat/>
    <w:rsid w:val="00ae28ad"/>
    <w:rPr>
      <w:rFonts w:ascii="Gotham Light" w:hAnsi="Gotham Light" w:eastAsia="0"/>
      <w:color w:val="2770B7"/>
      <w:sz w:val="48"/>
      <w:szCs w:val="36"/>
    </w:rPr>
  </w:style>
  <w:style w:type="character" w:styleId="TitoloParteChar" w:customStyle="1">
    <w:name w:val="Titolo Parte Char"/>
    <w:qFormat/>
    <w:rsid w:val="00ae28ad"/>
    <w:rPr>
      <w:rFonts w:ascii="Gotham Book" w:hAnsi="Gotham Book" w:eastAsia="Times New Roman (Corpo CS)"/>
      <w:caps/>
      <w:color w:val="FFFFFF"/>
      <w:sz w:val="40"/>
      <w:szCs w:val="40"/>
      <w:lang w:eastAsia="zh-CN"/>
    </w:rPr>
  </w:style>
  <w:style w:type="character" w:styleId="ParteNumeroChar" w:customStyle="1">
    <w:name w:val="Parte Numero Char"/>
    <w:qFormat/>
    <w:rsid w:val="00ae28ad"/>
    <w:rPr>
      <w:rFonts w:ascii="Gotham Medium" w:hAnsi="Gotham Medium" w:eastAsia="Times New Roman (Corpo CS)"/>
      <w:caps/>
      <w:color w:val="FFFFFF"/>
      <w:sz w:val="28"/>
      <w:szCs w:val="28"/>
    </w:rPr>
  </w:style>
  <w:style w:type="character" w:styleId="ParagrafobaseChar" w:customStyle="1">
    <w:name w:val="[Paragrafo base] Char"/>
    <w:qFormat/>
    <w:rsid w:val="00ae28ad"/>
    <w:rPr>
      <w:rFonts w:ascii="Minion Pro" w:hAnsi="Minion Pro" w:eastAsia="Minion Pro"/>
      <w:color w:val="000000"/>
    </w:rPr>
  </w:style>
  <w:style w:type="character" w:styleId="NessunaspaziaturaCarattere" w:customStyle="1">
    <w:name w:val="Nessuna spaziatura Carattere"/>
    <w:qFormat/>
    <w:rsid w:val="00ae28ad"/>
    <w:rPr>
      <w:rFonts w:eastAsia="0"/>
      <w:szCs w:val="22"/>
      <w:lang w:eastAsia="en-US"/>
    </w:rPr>
  </w:style>
  <w:style w:type="character" w:styleId="Caratteridinumerazioneuser" w:customStyle="1">
    <w:name w:val="Caratteri di numerazione (user)"/>
    <w:qFormat/>
    <w:rsid w:val="00ae28ad"/>
    <w:rPr/>
  </w:style>
  <w:style w:type="character" w:styleId="Menzionenonrisolta1" w:customStyle="1">
    <w:name w:val="Menzione non risolta1"/>
    <w:basedOn w:val="DefaultParagraphFont"/>
    <w:qFormat/>
    <w:rsid w:val="00ae28ad"/>
    <w:rPr>
      <w:color w:val="605E5C"/>
    </w:rPr>
  </w:style>
  <w:style w:type="character" w:styleId="Puntiuser" w:customStyle="1">
    <w:name w:val="Punti (user)"/>
    <w:qFormat/>
    <w:rsid w:val="00ae28ad"/>
    <w:rPr>
      <w:rFonts w:ascii="OpenSymbol" w:hAnsi="OpenSymbol" w:eastAsia="OpenSymbol" w:cs="OpenSymbol"/>
    </w:rPr>
  </w:style>
  <w:style w:type="character" w:styleId="Caratterinotaapidipaginauser" w:customStyle="1">
    <w:name w:val="Caratteri nota a piè di pagina (user)"/>
    <w:qFormat/>
    <w:rPr>
      <w:rFonts w:cs="Times New Roman"/>
      <w:vertAlign w:val="superscript"/>
    </w:rPr>
  </w:style>
  <w:style w:type="character" w:styleId="Caratterinotadichiusurauser" w:customStyle="1">
    <w:name w:val="Caratteri nota di chiusura (user)"/>
    <w:qFormat/>
    <w:rPr>
      <w:vertAlign w:val="superscript"/>
    </w:rPr>
  </w:style>
  <w:style w:type="character" w:styleId="CITE" w:customStyle="1">
    <w:name w:val="CITE"/>
    <w:qFormat/>
    <w:rsid w:val="00ae28ad"/>
    <w:rPr>
      <w:i/>
    </w:rPr>
  </w:style>
  <w:style w:type="character" w:styleId="CODE" w:customStyle="1">
    <w:name w:val="CODE"/>
    <w:qFormat/>
    <w:rsid w:val="00ae28ad"/>
    <w:rPr>
      <w:rFonts w:ascii="Courier New" w:hAnsi="Courier New"/>
      <w:sz w:val="20"/>
    </w:rPr>
  </w:style>
  <w:style w:type="character" w:styleId="Keyboard" w:customStyle="1">
    <w:name w:val="Keyboard"/>
    <w:qFormat/>
    <w:rsid w:val="00ae28ad"/>
    <w:rPr>
      <w:rFonts w:ascii="Courier New" w:hAnsi="Courier New"/>
      <w:b/>
      <w:sz w:val="20"/>
    </w:rPr>
  </w:style>
  <w:style w:type="character" w:styleId="Sample" w:customStyle="1">
    <w:name w:val="Sample"/>
    <w:qFormat/>
    <w:rsid w:val="00ae28ad"/>
    <w:rPr>
      <w:rFonts w:ascii="Courier New" w:hAnsi="Courier New"/>
    </w:rPr>
  </w:style>
  <w:style w:type="character" w:styleId="Typewriter" w:customStyle="1">
    <w:name w:val="Typewriter"/>
    <w:qFormat/>
    <w:rsid w:val="00ae28ad"/>
    <w:rPr>
      <w:rFonts w:ascii="Courier New" w:hAnsi="Courier New"/>
      <w:sz w:val="20"/>
    </w:rPr>
  </w:style>
  <w:style w:type="character" w:styleId="HTMLMarkup" w:customStyle="1">
    <w:name w:val="HTML Markup"/>
    <w:qFormat/>
    <w:rsid w:val="00ae28ad"/>
    <w:rPr>
      <w:vanish/>
      <w:color w:val="FF0000"/>
    </w:rPr>
  </w:style>
  <w:style w:type="character" w:styleId="Comment" w:customStyle="1">
    <w:name w:val="Comment"/>
    <w:qFormat/>
    <w:rsid w:val="00ae28ad"/>
    <w:rPr>
      <w:vanish/>
    </w:rPr>
  </w:style>
  <w:style w:type="character" w:styleId="CorpotestoCarattere2" w:customStyle="1">
    <w:name w:val="Corpo testo Carattere2"/>
    <w:basedOn w:val="DefaultParagraphFont"/>
    <w:qFormat/>
    <w:rsid w:val="00ae28ad"/>
    <w:rPr>
      <w:rFonts w:ascii="Times New Roman" w:hAnsi="Times New Roman" w:eastAsia="Times New Roman" w:cs="Times New Roman"/>
      <w:kern w:val="0"/>
      <w:sz w:val="26"/>
      <w:szCs w:val="20"/>
      <w:lang w:val="x-none" w:eastAsia="x-none"/>
      <w14:ligatures w14:val="none"/>
    </w:rPr>
  </w:style>
  <w:style w:type="character" w:styleId="TestofumettoCarattere1" w:customStyle="1">
    <w:name w:val="Testo fumetto Carattere1"/>
    <w:basedOn w:val="DefaultParagraphFont"/>
    <w:link w:val="BalloonText"/>
    <w:qFormat/>
    <w:rsid w:val="00ae28ad"/>
    <w:rPr>
      <w:rFonts w:ascii="Tahoma" w:hAnsi="Tahoma" w:eastAsia="Calibri" w:cs="Times New Roman"/>
      <w:kern w:val="0"/>
      <w:sz w:val="16"/>
      <w:szCs w:val="16"/>
      <w:lang w:val="x-none" w:eastAsia="x-none"/>
      <w14:ligatures w14:val="none"/>
    </w:rPr>
  </w:style>
  <w:style w:type="character" w:styleId="IntestazioneCarattere1" w:customStyle="1">
    <w:name w:val="Intestazione Carattere1"/>
    <w:basedOn w:val="DefaultParagraphFont"/>
    <w:qFormat/>
    <w:rsid w:val="00ae28ad"/>
    <w:rPr>
      <w:rFonts w:ascii="Garamond" w:hAnsi="Garamond" w:eastAsia="Times New Roman" w:cs="Times New Roman"/>
      <w:kern w:val="0"/>
      <w:sz w:val="20"/>
      <w:szCs w:val="20"/>
      <w:lang w:val="x-none" w:eastAsia="it-IT"/>
      <w14:ligatures w14:val="none"/>
    </w:rPr>
  </w:style>
  <w:style w:type="character" w:styleId="PidipaginaCarattere1" w:customStyle="1">
    <w:name w:val="Piè di pagina Carattere1"/>
    <w:basedOn w:val="DefaultParagraphFont"/>
    <w:qFormat/>
    <w:rsid w:val="00ae28ad"/>
    <w:rPr>
      <w:rFonts w:ascii="Garamond" w:hAnsi="Garamond" w:eastAsia="Times New Roman" w:cs="Times New Roman"/>
      <w:kern w:val="0"/>
      <w:sz w:val="20"/>
      <w:szCs w:val="20"/>
      <w:lang w:val="x-none" w:eastAsia="it-IT"/>
      <w14:ligatures w14:val="none"/>
    </w:rPr>
  </w:style>
  <w:style w:type="character" w:styleId="TestonotaapidipaginaCarattere1" w:customStyle="1">
    <w:name w:val="Testo nota a piè di pagina Carattere1"/>
    <w:basedOn w:val="DefaultParagraphFont"/>
    <w:qFormat/>
    <w:rsid w:val="00ae28ad"/>
    <w:rPr>
      <w:rFonts w:ascii="Garamond" w:hAnsi="Garamond" w:eastAsia="Times New Roman" w:cs="Times New Roman"/>
      <w:kern w:val="0"/>
      <w:sz w:val="20"/>
      <w:szCs w:val="20"/>
      <w:lang w:val="x-none" w:eastAsia="it-IT"/>
      <w14:ligatures w14:val="none"/>
    </w:rPr>
  </w:style>
  <w:style w:type="character" w:styleId="TestonotadichiusuraCarattere1" w:customStyle="1">
    <w:name w:val="Testo nota di chiusura Carattere1"/>
    <w:basedOn w:val="DefaultParagraphFont"/>
    <w:qFormat/>
    <w:rsid w:val="00ae28ad"/>
    <w:rPr>
      <w:rFonts w:ascii="Garamond" w:hAnsi="Garamond" w:eastAsia="Times New Roman" w:cs="Times New Roman"/>
      <w:kern w:val="0"/>
      <w:sz w:val="20"/>
      <w:szCs w:val="20"/>
      <w:lang w:val="x-none"/>
      <w14:ligatures w14:val="none"/>
    </w:rPr>
  </w:style>
  <w:style w:type="character" w:styleId="TestocommentoCarattere1" w:customStyle="1">
    <w:name w:val="Testo commento Carattere1"/>
    <w:basedOn w:val="DefaultParagraphFont"/>
    <w:qFormat/>
    <w:rsid w:val="00ae28ad"/>
    <w:rPr>
      <w:rFonts w:ascii="Garamond" w:hAnsi="Garamond" w:eastAsia="Times New Roman" w:cs="Times New Roman"/>
      <w:kern w:val="0"/>
      <w:sz w:val="20"/>
      <w:szCs w:val="20"/>
      <w:lang w:val="x-none"/>
      <w14:ligatures w14:val="none"/>
    </w:rPr>
  </w:style>
  <w:style w:type="character" w:styleId="SoggettocommentoCarattere1" w:customStyle="1">
    <w:name w:val="Soggetto commento Carattere1"/>
    <w:basedOn w:val="TestocommentoCarattere1"/>
    <w:link w:val="annotationsubject"/>
    <w:qFormat/>
    <w:rsid w:val="00ae28ad"/>
    <w:rPr>
      <w:rFonts w:ascii="Garamond" w:hAnsi="Garamond" w:eastAsia="Times New Roman" w:cs="Times New Roman"/>
      <w:b/>
      <w:bCs/>
      <w:kern w:val="0"/>
      <w:sz w:val="20"/>
      <w:szCs w:val="20"/>
      <w:lang w:val="x-none"/>
      <w14:ligatures w14:val="none"/>
    </w:rPr>
  </w:style>
  <w:style w:type="character" w:styleId="Rientrocorpodeltesto3Carattere1" w:customStyle="1">
    <w:name w:val="Rientro corpo del testo 3 Carattere1"/>
    <w:basedOn w:val="DefaultParagraphFont"/>
    <w:link w:val="BodyTextIndent3"/>
    <w:qFormat/>
    <w:rsid w:val="00ae28ad"/>
    <w:rPr>
      <w:rFonts w:ascii="Garamond" w:hAnsi="Garamond" w:eastAsia="Times New Roman" w:cs="Times New Roman"/>
      <w:kern w:val="0"/>
      <w:sz w:val="16"/>
      <w:szCs w:val="16"/>
      <w:lang w:val="x-none"/>
      <w14:ligatures w14:val="none"/>
    </w:rPr>
  </w:style>
  <w:style w:type="character" w:styleId="Corpodeltesto2Carattere1" w:customStyle="1">
    <w:name w:val="Corpo del testo 2 Carattere1"/>
    <w:basedOn w:val="DefaultParagraphFont"/>
    <w:link w:val="BodyText2"/>
    <w:qFormat/>
    <w:rsid w:val="00ae28ad"/>
    <w:rPr>
      <w:rFonts w:ascii="Garamond" w:hAnsi="Garamond" w:eastAsia="Times New Roman" w:cs="Times New Roman"/>
      <w:kern w:val="0"/>
      <w:szCs w:val="22"/>
      <w:lang w:val="x-none"/>
      <w14:ligatures w14:val="none"/>
    </w:rPr>
  </w:style>
  <w:style w:type="character" w:styleId="MappadocumentoCarattere1" w:customStyle="1">
    <w:name w:val="Mappa documento Carattere1"/>
    <w:basedOn w:val="DefaultParagraphFont"/>
    <w:link w:val="DocumentMap"/>
    <w:qFormat/>
    <w:rsid w:val="00ae28ad"/>
    <w:rPr>
      <w:rFonts w:ascii="Tahoma" w:hAnsi="Tahoma" w:eastAsia="Times New Roman" w:cs="Times New Roman"/>
      <w:kern w:val="0"/>
      <w:sz w:val="16"/>
      <w:szCs w:val="16"/>
      <w:lang w:val="x-none"/>
      <w14:ligatures w14:val="none"/>
    </w:rPr>
  </w:style>
  <w:style w:type="character" w:styleId="Rientrocorpodeltesto2Carattere1" w:customStyle="1">
    <w:name w:val="Rientro corpo del testo 2 Carattere1"/>
    <w:basedOn w:val="DefaultParagraphFont"/>
    <w:link w:val="BodyTextIndent2"/>
    <w:qFormat/>
    <w:rsid w:val="00ae28ad"/>
    <w:rPr>
      <w:rFonts w:ascii="Times New Roman" w:hAnsi="Times New Roman" w:eastAsia="Times New Roman" w:cs="Times New Roman"/>
      <w:kern w:val="0"/>
      <w:lang w:eastAsia="it-IT"/>
      <w14:ligatures w14:val="none"/>
    </w:rPr>
  </w:style>
  <w:style w:type="character" w:styleId="RientrocorpodeltestoCarattere1" w:customStyle="1">
    <w:name w:val="Rientro corpo del testo Carattere1"/>
    <w:basedOn w:val="DefaultParagraphFont"/>
    <w:qFormat/>
    <w:rsid w:val="00ae28ad"/>
    <w:rPr>
      <w:rFonts w:ascii="Times New Roman" w:hAnsi="Times New Roman" w:eastAsia="Times New Roman" w:cs="Times New Roman"/>
      <w:b/>
      <w:bCs/>
      <w:i/>
      <w:iCs/>
      <w:kern w:val="0"/>
      <w:sz w:val="20"/>
      <w:szCs w:val="20"/>
      <w:lang w:eastAsia="it-IT"/>
      <w14:ligatures w14:val="none"/>
    </w:rPr>
  </w:style>
  <w:style w:type="character" w:styleId="Corpodeltesto3Carattere1" w:customStyle="1">
    <w:name w:val="Corpo del testo 3 Carattere1"/>
    <w:basedOn w:val="DefaultParagraphFont"/>
    <w:link w:val="BodyText3"/>
    <w:qFormat/>
    <w:rsid w:val="00ae28ad"/>
    <w:rPr>
      <w:rFonts w:ascii="Times New Roman" w:hAnsi="Times New Roman" w:eastAsia="Times New Roman" w:cs="Times New Roman"/>
      <w:b/>
      <w:bCs/>
      <w:i/>
      <w:iCs/>
      <w:kern w:val="0"/>
      <w:sz w:val="20"/>
      <w:lang w:eastAsia="it-IT"/>
      <w14:ligatures w14:val="none"/>
    </w:rPr>
  </w:style>
  <w:style w:type="character" w:styleId="TestonormaleCarattere1" w:customStyle="1">
    <w:name w:val="Testo normale Carattere1"/>
    <w:basedOn w:val="DefaultParagraphFont"/>
    <w:link w:val="PlainText"/>
    <w:qFormat/>
    <w:rsid w:val="00ae28ad"/>
    <w:rPr>
      <w:rFonts w:ascii="Garamond" w:hAnsi="Garamond" w:eastAsia="Times New Roman" w:cs="Consolas"/>
      <w:kern w:val="0"/>
      <w:szCs w:val="21"/>
      <w14:ligatures w14:val="none"/>
    </w:rPr>
  </w:style>
  <w:style w:type="character" w:styleId="Caratterinotaapidipagina" w:customStyle="1">
    <w:name w:val="Caratteri nota a piè di pagina"/>
    <w:uiPriority w:val="99"/>
    <w:semiHidden/>
    <w:unhideWhenUsed/>
    <w:qFormat/>
    <w:rsid w:val="00ae28ad"/>
    <w:rPr>
      <w:rFonts w:cs="Times New Roman"/>
      <w:vertAlign w:val="superscript"/>
    </w:rPr>
  </w:style>
  <w:style w:type="character" w:styleId="Menzionenonrisolta2" w:customStyle="1">
    <w:name w:val="Menzione non risolta2"/>
    <w:basedOn w:val="DefaultParagraphFont"/>
    <w:uiPriority w:val="99"/>
    <w:semiHidden/>
    <w:unhideWhenUsed/>
    <w:qFormat/>
    <w:rsid w:val="00ae28ad"/>
    <w:rPr>
      <w:color w:val="605E5C"/>
      <w:shd w:fill="E1DFDD" w:val="clear"/>
    </w:rPr>
  </w:style>
  <w:style w:type="character" w:styleId="Menzionenonrisolta3" w:customStyle="1">
    <w:name w:val="Menzione non risolta3"/>
    <w:basedOn w:val="DefaultParagraphFont"/>
    <w:uiPriority w:val="99"/>
    <w:semiHidden/>
    <w:unhideWhenUsed/>
    <w:qFormat/>
    <w:rsid w:val="00ae28ad"/>
    <w:rPr>
      <w:color w:val="605E5C"/>
      <w:shd w:fill="E1DFDD" w:val="clear"/>
    </w:rPr>
  </w:style>
  <w:style w:type="character" w:styleId="Menzionenonrisolta4" w:customStyle="1">
    <w:name w:val="Menzione non risolta4"/>
    <w:basedOn w:val="DefaultParagraphFont"/>
    <w:uiPriority w:val="99"/>
    <w:semiHidden/>
    <w:unhideWhenUsed/>
    <w:qFormat/>
    <w:rsid w:val="00ae28ad"/>
    <w:rPr>
      <w:color w:val="605E5C"/>
      <w:shd w:fill="E1DFDD" w:val="clear"/>
    </w:rPr>
  </w:style>
  <w:style w:type="character" w:styleId="Menzionenonrisolta5" w:customStyle="1">
    <w:name w:val="Menzione non risolta5"/>
    <w:basedOn w:val="DefaultParagraphFont"/>
    <w:uiPriority w:val="99"/>
    <w:semiHidden/>
    <w:unhideWhenUsed/>
    <w:qFormat/>
    <w:rsid w:val="00ae28ad"/>
    <w:rPr>
      <w:color w:val="605E5C"/>
      <w:shd w:fill="E1DFDD" w:val="clear"/>
    </w:rPr>
  </w:style>
  <w:style w:type="character" w:styleId="Menzionenonrisolta6" w:customStyle="1">
    <w:name w:val="Menzione non risolta6"/>
    <w:basedOn w:val="DefaultParagraphFont"/>
    <w:uiPriority w:val="99"/>
    <w:semiHidden/>
    <w:unhideWhenUsed/>
    <w:qFormat/>
    <w:rsid w:val="00ed690a"/>
    <w:rPr>
      <w:color w:val="605E5C"/>
      <w:shd w:fill="E1DFDD" w:val="clear"/>
    </w:rPr>
  </w:style>
  <w:style w:type="character" w:styleId="Menzionenonrisolta7" w:customStyle="1">
    <w:name w:val="Menzione non risolta7"/>
    <w:basedOn w:val="DefaultParagraphFont"/>
    <w:uiPriority w:val="99"/>
    <w:semiHidden/>
    <w:unhideWhenUsed/>
    <w:qFormat/>
    <w:rsid w:val="00351283"/>
    <w:rPr>
      <w:color w:val="605E5C"/>
      <w:shd w:fill="E1DFDD" w:val="clear"/>
    </w:rPr>
  </w:style>
  <w:style w:type="character" w:styleId="Menzionenonrisolta8" w:customStyle="1">
    <w:name w:val="Menzione non risolta8"/>
    <w:basedOn w:val="DefaultParagraphFont"/>
    <w:uiPriority w:val="99"/>
    <w:semiHidden/>
    <w:unhideWhenUsed/>
    <w:qFormat/>
    <w:rsid w:val="001f640f"/>
    <w:rPr>
      <w:color w:val="605E5C"/>
      <w:shd w:fill="E1DFDD" w:val="clear"/>
    </w:rPr>
  </w:style>
  <w:style w:type="character" w:styleId="Menzionenonrisolta9" w:customStyle="1">
    <w:name w:val="Menzione non risolta9"/>
    <w:basedOn w:val="DefaultParagraphFont"/>
    <w:uiPriority w:val="99"/>
    <w:semiHidden/>
    <w:unhideWhenUsed/>
    <w:qFormat/>
    <w:rsid w:val="00b373ac"/>
    <w:rPr>
      <w:color w:val="605E5C"/>
      <w:shd w:fill="E1DFDD" w:val="clear"/>
    </w:rPr>
  </w:style>
  <w:style w:type="character" w:styleId="Collegamentoindice" w:customStyle="1">
    <w:name w:val="Collegamento indice"/>
    <w:qFormat/>
    <w:rPr/>
  </w:style>
  <w:style w:type="character" w:styleId="Collegamentoindiceuser" w:customStyle="1">
    <w:name w:val="Collegamento indice (user)"/>
    <w:qFormat/>
    <w:rPr/>
  </w:style>
  <w:style w:type="character" w:styleId="Emphasis" w:customStyle="1">
    <w:name w:val="Emphasis"/>
    <w:qFormat/>
    <w:rPr>
      <w:rFonts w:cs="Times New Roman"/>
      <w:i/>
      <w:iCs/>
    </w:rPr>
  </w:style>
  <w:style w:type="character" w:styleId="CorpodeltestoCarattere" w:customStyle="1">
    <w:name w:val="Corpo del testo Carattere"/>
    <w:qFormat/>
    <w:rPr>
      <w:rFonts w:eastAsia="Times New Roman" w:cs="Arial"/>
      <w:b/>
      <w:bCs/>
      <w:szCs w:val="24"/>
    </w:rPr>
  </w:style>
  <w:style w:type="character" w:styleId="Carpredefinitoparagrafo1" w:customStyle="1">
    <w:name w:val="Car. predefinito paragrafo1"/>
    <w:qFormat/>
    <w:rPr/>
  </w:style>
  <w:style w:type="character" w:styleId="WW8Num16z2" w:customStyle="1">
    <w:name w:val="WW8Num16z2"/>
    <w:qFormat/>
    <w:rPr/>
  </w:style>
  <w:style w:type="character" w:styleId="WW8Num16z1" w:customStyle="1">
    <w:name w:val="WW8Num16z1"/>
    <w:qFormat/>
    <w:rPr>
      <w:rFonts w:ascii="Times New Roman" w:hAnsi="Times New Roman" w:cs="Times New Roman"/>
      <w:sz w:val="24"/>
      <w:szCs w:val="24"/>
    </w:rPr>
  </w:style>
  <w:style w:type="character" w:styleId="WW8Num16z0" w:customStyle="1">
    <w:name w:val="WW8Num16z0"/>
    <w:qFormat/>
    <w:rPr>
      <w:rFonts w:ascii="Times New Roman" w:hAnsi="Times New Roman" w:cs="Times New Roman"/>
      <w:b/>
      <w:bCs/>
      <w:i w:val="false"/>
      <w:iCs w:val="false"/>
      <w:caps w:val="false"/>
      <w:smallCaps w:val="false"/>
      <w:strike w:val="false"/>
      <w:dstrike w:val="false"/>
      <w:outline w:val="false"/>
      <w:shadow w:val="false"/>
      <w:color w:val="000000"/>
      <w:spacing w:val="0"/>
      <w:w w:val="100"/>
      <w:kern w:val="2"/>
      <w:position w:val="0"/>
      <w:sz w:val="24"/>
      <w:szCs w:val="28"/>
      <w:u w:val="none"/>
      <w:shd w:fill="auto" w:val="clear"/>
      <w:vertAlign w:val="baseline"/>
      <w:em w:val="none"/>
    </w:rPr>
  </w:style>
  <w:style w:type="character" w:styleId="WW8Num15z0" w:customStyle="1">
    <w:name w:val="WW8Num15z0"/>
    <w:qFormat/>
    <w:rPr>
      <w:rFonts w:ascii="Symbol" w:hAnsi="Symbol" w:cs="Symbol"/>
      <w:sz w:val="20"/>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5z2" w:customStyle="1">
    <w:name w:val="WW8Num5z2"/>
    <w:qFormat/>
    <w:rPr>
      <w:rFonts w:ascii="Wingdings" w:hAnsi="Wingdings" w:cs="Wingdings"/>
    </w:rPr>
  </w:style>
  <w:style w:type="character" w:styleId="WW8Num5z1" w:customStyle="1">
    <w:name w:val="WW8Num5z1"/>
    <w:qFormat/>
    <w:rPr>
      <w:rFonts w:ascii="Courier New" w:hAnsi="Courier New" w:cs="Courier New"/>
    </w:rPr>
  </w:style>
  <w:style w:type="character" w:styleId="WW8Num4z3" w:customStyle="1">
    <w:name w:val="WW8Num4z3"/>
    <w:qFormat/>
    <w:rPr>
      <w:rFonts w:ascii="Symbol" w:hAnsi="Symbol" w:cs="Symbol"/>
    </w:rPr>
  </w:style>
  <w:style w:type="character" w:styleId="WW8Num4z2" w:customStyle="1">
    <w:name w:val="WW8Num4z2"/>
    <w:qFormat/>
    <w:rPr>
      <w:rFonts w:ascii="Wingdings" w:hAnsi="Wingdings" w:cs="Wingdings"/>
    </w:rPr>
  </w:style>
  <w:style w:type="character" w:styleId="WW8Num4z1" w:customStyle="1">
    <w:name w:val="WW8Num4z1"/>
    <w:qFormat/>
    <w:rPr>
      <w:rFonts w:ascii="Courier New" w:hAnsi="Courier New" w:cs="Courier New"/>
    </w:rPr>
  </w:style>
  <w:style w:type="character" w:styleId="WW8Num1z0" w:customStyle="1">
    <w:name w:val="WW8Num1z0"/>
    <w:qFormat/>
    <w:rPr>
      <w:rFonts w:ascii="Symbol" w:hAnsi="Symbol" w:cs="Symbol"/>
      <w:szCs w:val="22"/>
    </w:rPr>
  </w:style>
  <w:style w:type="character" w:styleId="Carpredefinitoparagrafo2" w:customStyle="1">
    <w:name w:val="Car. predefinito paragrafo2"/>
    <w:qFormat/>
    <w:rPr/>
  </w:style>
  <w:style w:type="character" w:styleId="Carpredefinitoparagrafo3" w:customStyle="1">
    <w:name w:val="Car. predefinito paragrafo3"/>
    <w:qFormat/>
    <w:rPr/>
  </w:style>
  <w:style w:type="character" w:styleId="WW8Num14z2" w:customStyle="1">
    <w:name w:val="WW8Num14z2"/>
    <w:qFormat/>
    <w:rPr/>
  </w:style>
  <w:style w:type="character" w:styleId="WW8Num14z1" w:customStyle="1">
    <w:name w:val="WW8Num14z1"/>
    <w:qFormat/>
    <w:rPr>
      <w:rFonts w:ascii="Times New Roman" w:hAnsi="Times New Roman" w:cs="Times New Roman"/>
      <w:sz w:val="24"/>
      <w:szCs w:val="24"/>
    </w:rPr>
  </w:style>
  <w:style w:type="character" w:styleId="WW8Num14z0" w:customStyle="1">
    <w:name w:val="WW8Num14z0"/>
    <w:qFormat/>
    <w:rPr>
      <w:rFonts w:ascii="Times New Roman" w:hAnsi="Times New Roman" w:cs="Times New Roman"/>
      <w:b/>
      <w:bCs/>
      <w:i w:val="false"/>
      <w:iCs w:val="false"/>
      <w:caps w:val="false"/>
      <w:smallCaps w:val="false"/>
      <w:strike w:val="false"/>
      <w:dstrike w:val="false"/>
      <w:outline w:val="false"/>
      <w:shadow w:val="false"/>
      <w:color w:val="000000"/>
      <w:spacing w:val="0"/>
      <w:w w:val="100"/>
      <w:kern w:val="2"/>
      <w:position w:val="0"/>
      <w:sz w:val="24"/>
      <w:szCs w:val="28"/>
      <w:u w:val="none"/>
      <w:shd w:fill="auto" w:val="clear"/>
      <w:vertAlign w:val="baseline"/>
      <w:em w:val="none"/>
    </w:rPr>
  </w:style>
  <w:style w:type="character" w:styleId="WW8Num13z0" w:customStyle="1">
    <w:name w:val="WW8Num13z0"/>
    <w:qFormat/>
    <w:rPr>
      <w:rFonts w:ascii="Symbol" w:hAnsi="Symbol" w:cs="Symbol"/>
      <w:sz w:val="20"/>
    </w:rPr>
  </w:style>
  <w:style w:type="character" w:styleId="WW8Num12z0" w:customStyle="1">
    <w:name w:val="WW8Num12z0"/>
    <w:qFormat/>
    <w:rPr>
      <w:rFonts w:ascii="Symbol" w:hAnsi="Symbol" w:cs="Symbol"/>
    </w:rPr>
  </w:style>
  <w:style w:type="character" w:styleId="WW8Num11z0" w:customStyle="1">
    <w:name w:val="WW8Num11z0"/>
    <w:qFormat/>
    <w:rPr>
      <w:rFonts w:ascii="Symbol" w:hAnsi="Symbol" w:cs="Symbol"/>
    </w:rPr>
  </w:style>
  <w:style w:type="character" w:styleId="WW8Num10z0" w:customStyle="1">
    <w:name w:val="WW8Num10z0"/>
    <w:qFormat/>
    <w:rPr>
      <w:rFonts w:ascii="Times New Roman" w:hAnsi="Times New Roman" w:cs="Times New Roman"/>
    </w:rPr>
  </w:style>
  <w:style w:type="character" w:styleId="WW8Num9z0" w:customStyle="1">
    <w:name w:val="WW8Num9z0"/>
    <w:qFormat/>
    <w:rPr>
      <w:rFonts w:ascii="Titillium;Cambria" w:hAnsi="Titillium;Cambria" w:cs="Titillium;Cambria"/>
      <w:b/>
      <w:sz w:val="18"/>
    </w:rPr>
  </w:style>
  <w:style w:type="character" w:styleId="WW8Num8z0" w:customStyle="1">
    <w:name w:val="WW8Num8z0"/>
    <w:qFormat/>
    <w:rPr>
      <w:rFonts w:ascii="Symbol" w:hAnsi="Symbol" w:cs="Symbol"/>
    </w:rPr>
  </w:style>
  <w:style w:type="character" w:styleId="WW8Num7z0" w:customStyle="1">
    <w:name w:val="WW8Num7z0"/>
    <w:qFormat/>
    <w:rPr>
      <w:rFonts w:ascii="Liberation Serif;Times New Roma" w:hAnsi="Liberation Serif;Times New Roma" w:cs="Liberation Serif;Times New Roma"/>
    </w:rPr>
  </w:style>
  <w:style w:type="character" w:styleId="WW8Num6z0" w:customStyle="1">
    <w:name w:val="WW8Num6z0"/>
    <w:qFormat/>
    <w:rPr/>
  </w:style>
  <w:style w:type="character" w:styleId="WW8Num5z0" w:customStyle="1">
    <w:name w:val="WW8Num5z0"/>
    <w:qFormat/>
    <w:rPr>
      <w:color w:val="000000"/>
    </w:rPr>
  </w:style>
  <w:style w:type="character" w:styleId="WW8Num4z0" w:customStyle="1">
    <w:name w:val="WW8Num4z0"/>
    <w:qFormat/>
    <w:rPr>
      <w:rFonts w:ascii="Symbol" w:hAnsi="Symbol" w:cs="Symbol"/>
    </w:rPr>
  </w:style>
  <w:style w:type="character" w:styleId="WW8Num3z0" w:customStyle="1">
    <w:name w:val="WW8Num3z0"/>
    <w:qFormat/>
    <w:rPr>
      <w:rFonts w:ascii="Arial" w:hAnsi="Arial" w:cs="Arial"/>
    </w:rPr>
  </w:style>
  <w:style w:type="character" w:styleId="WW8Num2z0" w:customStyle="1">
    <w:name w:val="WW8Num2z0"/>
    <w:qFormat/>
    <w:rPr>
      <w:rFonts w:ascii="Symbol" w:hAnsi="Symbol" w:cs="Symbol"/>
      <w:szCs w:val="22"/>
    </w:rPr>
  </w:style>
  <w:style w:type="character" w:styleId="UnresolvedMention">
    <w:name w:val="Unresolved Mention"/>
    <w:basedOn w:val="DefaultParagraphFont"/>
    <w:qFormat/>
    <w:rPr>
      <w:color w:val="605E5C"/>
      <w:shd w:fill="E1DFDD" w:val="clear"/>
    </w:rPr>
  </w:style>
  <w:style w:type="character" w:styleId="FootnoteReference">
    <w:name w:val="footnote reference"/>
    <w:rPr>
      <w:rFonts w:cs="Times New Roman"/>
      <w:vertAlign w:val="superscript"/>
    </w:rPr>
  </w:style>
  <w:style w:type="character" w:styleId="Caratterinotadichiusura" w:customStyle="1">
    <w:name w:val="Caratteri nota di chiusura"/>
    <w:qFormat/>
    <w:rPr>
      <w:vertAlign w:val="superscrip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EndnoteReference">
    <w:name w:val="endnote reference"/>
    <w:rPr>
      <w:vertAlign w:val="superscript"/>
    </w:rPr>
  </w:style>
  <w:style w:type="paragraph" w:styleId="Titolo" w:customStyle="1">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2"/>
    <w:rsid w:val="00ae28ad"/>
    <w:pPr>
      <w:widowControl w:val="false"/>
      <w:spacing w:lineRule="exact" w:line="259"/>
    </w:pPr>
    <w:rPr>
      <w:rFonts w:ascii="Times New Roman" w:hAnsi="Times New Roman"/>
      <w:sz w:val="26"/>
      <w:szCs w:val="20"/>
      <w:lang w:val="x-none" w:eastAsia="x-none"/>
    </w:rPr>
  </w:style>
  <w:style w:type="paragraph" w:styleId="List">
    <w:name w:val="List"/>
    <w:basedOn w:val="BodyText"/>
    <w:rsid w:val="00ae28ad"/>
    <w:pPr/>
    <w:rPr>
      <w:rFonts w:cs="Lucida Sans"/>
    </w:rPr>
  </w:style>
  <w:style w:type="paragraph" w:styleId="Caption">
    <w:name w:val="caption"/>
    <w:basedOn w:val="Normal"/>
    <w:next w:val="Normal"/>
    <w:qFormat/>
    <w:rsid w:val="00ae28ad"/>
    <w:pPr>
      <w:spacing w:before="120" w:after="0"/>
    </w:pPr>
    <w:rPr>
      <w:iCs/>
      <w:szCs w:val="18"/>
    </w:rPr>
  </w:style>
  <w:style w:type="paragraph" w:styleId="Indice" w:customStyle="1">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rsid w:val="00ae28ad"/>
    <w:pPr>
      <w:suppressLineNumbers/>
    </w:pPr>
    <w:rPr>
      <w:rFonts w:cs="Lucida Sans"/>
    </w:rPr>
  </w:style>
  <w:style w:type="paragraph" w:styleId="Title">
    <w:name w:val="Title"/>
    <w:basedOn w:val="Normal"/>
    <w:next w:val="BodyText"/>
    <w:link w:val="TitoloCarattere"/>
    <w:qFormat/>
    <w:rsid w:val="00382f1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qFormat/>
    <w:rsid w:val="00382f18"/>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382f18"/>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CitazioneintensaCarattere"/>
    <w:uiPriority w:val="30"/>
    <w:qFormat/>
    <w:rsid w:val="00382f1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Default" w:customStyle="1">
    <w:name w:val="Default"/>
    <w:qFormat/>
    <w:rsid w:val="00ae28ad"/>
    <w:pPr>
      <w:widowControl w:val="false"/>
      <w:suppressAutoHyphens w:val="true"/>
      <w:bidi w:val="0"/>
      <w:spacing w:lineRule="auto" w:line="276" w:before="0" w:after="0"/>
      <w:jc w:val="both"/>
    </w:pPr>
    <w:rPr>
      <w:rFonts w:ascii="Book-Antiqua,Bold" w:hAnsi="Book-Antiqua,Bold" w:eastAsia="Calibri" w:cs="Book-Antiqua,Bold"/>
      <w:color w:val="000000"/>
      <w:kern w:val="0"/>
      <w:sz w:val="24"/>
      <w:szCs w:val="24"/>
      <w:lang w:val="it-IT" w:eastAsia="it-IT" w:bidi="ar-SA"/>
      <w14:ligatures w14:val="none"/>
    </w:rPr>
  </w:style>
  <w:style w:type="paragraph" w:styleId="BalloonText">
    <w:name w:val="Balloon Text"/>
    <w:basedOn w:val="Normal"/>
    <w:link w:val="TestofumettoCarattere1"/>
    <w:qFormat/>
    <w:pPr/>
    <w:rPr>
      <w:rFonts w:ascii="Tahoma" w:hAnsi="Tahoma" w:cs="Tahoma"/>
      <w:sz w:val="16"/>
      <w:szCs w:val="16"/>
    </w:rPr>
  </w:style>
  <w:style w:type="paragraph" w:styleId="Paragrafoelenco1" w:customStyle="1">
    <w:name w:val="Paragrafo elenco1"/>
    <w:basedOn w:val="Normal"/>
    <w:qFormat/>
    <w:rsid w:val="00ae28ad"/>
    <w:pPr>
      <w:spacing w:lineRule="atLeast" w:line="240" w:before="280" w:after="280"/>
      <w:ind w:left="720"/>
      <w:contextualSpacing/>
    </w:pPr>
    <w:rPr>
      <w:rFonts w:eastAsia="Calibri"/>
      <w:lang w:eastAsia="it-IT"/>
    </w:rPr>
  </w:style>
  <w:style w:type="paragraph" w:styleId="Intestazioneepidipaginauser" w:customStyle="1">
    <w:name w:val="Intestazione e piè di pagina (user)"/>
    <w:basedOn w:val="Normal"/>
    <w:qFormat/>
    <w:rsid w:val="00ae28ad"/>
    <w:pPr/>
    <w:rPr/>
  </w:style>
  <w:style w:type="paragraph" w:styleId="Intestazioneepidipagina" w:customStyle="1">
    <w:name w:val="Intestazione e piè di pagina"/>
    <w:basedOn w:val="Normal"/>
    <w:qFormat/>
    <w:pPr/>
    <w:rPr/>
  </w:style>
  <w:style w:type="paragraph" w:styleId="Header">
    <w:name w:val="header"/>
    <w:basedOn w:val="Normal"/>
    <w:link w:val="IntestazioneCarattere1"/>
    <w:rsid w:val="00ae28ad"/>
    <w:pPr>
      <w:tabs>
        <w:tab w:val="clear" w:pos="708"/>
        <w:tab w:val="center" w:pos="4819" w:leader="none"/>
        <w:tab w:val="right" w:pos="9638" w:leader="none"/>
      </w:tabs>
      <w:spacing w:lineRule="auto" w:line="240" w:before="280" w:after="280"/>
    </w:pPr>
    <w:rPr>
      <w:sz w:val="20"/>
      <w:szCs w:val="20"/>
      <w:lang w:val="x-none" w:eastAsia="it-IT"/>
    </w:rPr>
  </w:style>
  <w:style w:type="paragraph" w:styleId="Footer">
    <w:name w:val="footer"/>
    <w:basedOn w:val="Normal"/>
    <w:link w:val="PidipaginaCarattere1"/>
    <w:rsid w:val="00ae28ad"/>
    <w:pPr>
      <w:tabs>
        <w:tab w:val="clear" w:pos="708"/>
        <w:tab w:val="center" w:pos="4819" w:leader="none"/>
        <w:tab w:val="right" w:pos="9638" w:leader="none"/>
      </w:tabs>
      <w:spacing w:lineRule="auto" w:line="240" w:before="280" w:after="280"/>
    </w:pPr>
    <w:rPr>
      <w:sz w:val="20"/>
      <w:szCs w:val="20"/>
      <w:lang w:val="x-none" w:eastAsia="it-IT"/>
    </w:rPr>
  </w:style>
  <w:style w:type="paragraph" w:styleId="FootnoteText">
    <w:name w:val="footnote text"/>
    <w:basedOn w:val="Normal"/>
    <w:link w:val="TestonotaapidipaginaCarattere1"/>
    <w:rsid w:val="00ae28ad"/>
    <w:pPr>
      <w:spacing w:lineRule="auto" w:line="240" w:before="280" w:after="280"/>
    </w:pPr>
    <w:rPr>
      <w:sz w:val="20"/>
      <w:szCs w:val="20"/>
      <w:lang w:val="x-none" w:eastAsia="it-IT"/>
    </w:rPr>
  </w:style>
  <w:style w:type="paragraph" w:styleId="provvr0" w:customStyle="1">
    <w:name w:val="provv_r0"/>
    <w:basedOn w:val="Normal"/>
    <w:qFormat/>
    <w:rsid w:val="00ae28ad"/>
    <w:pPr>
      <w:spacing w:lineRule="auto" w:line="240" w:before="280" w:after="280"/>
    </w:pPr>
    <w:rPr>
      <w:rFonts w:ascii="Times New Roman" w:hAnsi="Times New Roman" w:eastAsia="Calibri"/>
      <w:szCs w:val="24"/>
      <w:lang w:eastAsia="it-IT"/>
    </w:rPr>
  </w:style>
  <w:style w:type="paragraph" w:styleId="popolo" w:customStyle="1">
    <w:name w:val="popolo"/>
    <w:basedOn w:val="Normal"/>
    <w:qFormat/>
    <w:rsid w:val="00ae28ad"/>
    <w:pPr>
      <w:spacing w:lineRule="auto" w:line="240" w:before="280" w:after="280"/>
    </w:pPr>
    <w:rPr>
      <w:rFonts w:eastAsia="Calibri"/>
      <w:sz w:val="30"/>
      <w:szCs w:val="30"/>
      <w:lang w:eastAsia="it-IT"/>
    </w:rPr>
  </w:style>
  <w:style w:type="paragraph" w:styleId="Stile1" w:customStyle="1">
    <w:name w:val="Stile1"/>
    <w:basedOn w:val="Heading1"/>
    <w:qFormat/>
    <w:rsid w:val="00ae28ad"/>
    <w:pPr>
      <w:spacing w:lineRule="atLeast" w:line="240" w:before="280" w:after="280"/>
      <w:jc w:val="center"/>
    </w:pPr>
    <w:rPr>
      <w:rFonts w:ascii="Times New Roman" w:hAnsi="Times New Roman" w:eastAsia="Calibri" w:cs="Times New Roman"/>
      <w:b/>
      <w:bCs/>
      <w:color w:val="auto"/>
      <w:sz w:val="28"/>
      <w:szCs w:val="28"/>
      <w:lang w:val="x-none" w:eastAsia="it-IT"/>
    </w:rPr>
  </w:style>
  <w:style w:type="paragraph" w:styleId="TOC1">
    <w:name w:val="toc 1"/>
    <w:basedOn w:val="Normal"/>
    <w:next w:val="Normal"/>
    <w:autoRedefine/>
    <w:uiPriority w:val="39"/>
    <w:rsid w:val="00ae28ad"/>
    <w:pPr>
      <w:tabs>
        <w:tab w:val="clear" w:pos="708"/>
        <w:tab w:val="left" w:pos="284" w:leader="dot"/>
        <w:tab w:val="right" w:pos="9629" w:leader="dot"/>
      </w:tabs>
      <w:jc w:val="left"/>
    </w:pPr>
    <w:rPr>
      <w:bCs/>
      <w:sz w:val="20"/>
      <w:szCs w:val="20"/>
    </w:rPr>
  </w:style>
  <w:style w:type="paragraph" w:styleId="TOC2">
    <w:name w:val="toc 2"/>
    <w:basedOn w:val="Normal"/>
    <w:next w:val="TOC3"/>
    <w:autoRedefine/>
    <w:uiPriority w:val="39"/>
    <w:rsid w:val="00a61923"/>
    <w:pPr>
      <w:tabs>
        <w:tab w:val="clear" w:pos="708"/>
        <w:tab w:val="left" w:pos="440" w:leader="none"/>
        <w:tab w:val="right" w:pos="9629" w:leader="dot"/>
      </w:tabs>
      <w:spacing w:lineRule="auto" w:line="336"/>
      <w:ind w:hanging="442" w:left="442"/>
    </w:pPr>
    <w:rPr>
      <w:smallCaps/>
      <w:sz w:val="20"/>
      <w:szCs w:val="20"/>
    </w:rPr>
  </w:style>
  <w:style w:type="paragraph" w:styleId="Nessunaspaziatura1" w:customStyle="1">
    <w:name w:val="Nessuna spaziatura1"/>
    <w:qFormat/>
    <w:rsid w:val="00ae28ad"/>
    <w:pPr>
      <w:widowControl/>
      <w:suppressAutoHyphens w:val="true"/>
      <w:bidi w:val="0"/>
      <w:spacing w:lineRule="auto" w:line="276" w:before="0" w:after="0"/>
      <w:jc w:val="both"/>
    </w:pPr>
    <w:rPr>
      <w:rFonts w:ascii="Calibri" w:hAnsi="Calibri" w:eastAsia="Calibri" w:cs="Times New Roman"/>
      <w:color w:val="auto"/>
      <w:kern w:val="0"/>
      <w:sz w:val="22"/>
      <w:szCs w:val="22"/>
      <w:lang w:val="it-IT" w:eastAsia="en-US" w:bidi="ar-SA"/>
      <w14:ligatures w14:val="none"/>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Titolosommario1" w:customStyle="1">
    <w:name w:val="Titolo sommario1"/>
    <w:basedOn w:val="Heading1"/>
    <w:next w:val="Normal"/>
    <w:qFormat/>
    <w:rsid w:val="00ae28ad"/>
    <w:pPr>
      <w:spacing w:before="280" w:after="280"/>
      <w:jc w:val="center"/>
    </w:pPr>
    <w:rPr>
      <w:rFonts w:ascii="Garamond" w:hAnsi="Garamond" w:eastAsia="Calibri" w:cs="Times New Roman"/>
      <w:b/>
      <w:bCs/>
      <w:color w:val="auto"/>
      <w:sz w:val="28"/>
      <w:szCs w:val="28"/>
      <w:lang w:val="x-none" w:eastAsia="x-none"/>
    </w:rPr>
  </w:style>
  <w:style w:type="paragraph" w:styleId="EndnoteText">
    <w:name w:val="endnote text"/>
    <w:basedOn w:val="Normal"/>
    <w:link w:val="TestonotadichiusuraCarattere1"/>
    <w:rsid w:val="00ae28ad"/>
    <w:pPr/>
    <w:rPr>
      <w:sz w:val="20"/>
      <w:szCs w:val="20"/>
      <w:lang w:val="x-none"/>
    </w:rPr>
  </w:style>
  <w:style w:type="paragraph" w:styleId="provvr1" w:customStyle="1">
    <w:name w:val="provv_r1"/>
    <w:basedOn w:val="Normal"/>
    <w:qFormat/>
    <w:rsid w:val="00ae28ad"/>
    <w:pPr>
      <w:spacing w:lineRule="auto" w:line="240" w:before="280" w:after="280"/>
      <w:ind w:firstLine="400"/>
    </w:pPr>
    <w:rPr>
      <w:rFonts w:ascii="Times New Roman" w:hAnsi="Times New Roman"/>
      <w:szCs w:val="24"/>
      <w:lang w:eastAsia="it-IT"/>
    </w:rPr>
  </w:style>
  <w:style w:type="paragraph" w:styleId="CommentText">
    <w:name w:val="annotation text"/>
    <w:basedOn w:val="Normal"/>
    <w:link w:val="TestocommentoCarattere1"/>
    <w:uiPriority w:val="99"/>
    <w:qFormat/>
    <w:rsid w:val="00ae28ad"/>
    <w:pPr/>
    <w:rPr>
      <w:sz w:val="20"/>
      <w:szCs w:val="20"/>
      <w:lang w:val="x-none"/>
    </w:rPr>
  </w:style>
  <w:style w:type="paragraph" w:styleId="annotationsubject">
    <w:name w:val="annotation subject"/>
    <w:basedOn w:val="CommentText"/>
    <w:next w:val="CommentText"/>
    <w:link w:val="SoggettocommentoCarattere1"/>
    <w:qFormat/>
    <w:rsid w:val="00ae28ad"/>
    <w:pPr/>
    <w:rPr>
      <w:b/>
      <w:bCs/>
    </w:rPr>
  </w:style>
  <w:style w:type="paragraph" w:styleId="stile11" w:customStyle="1">
    <w:name w:val="stile11"/>
    <w:basedOn w:val="Normal"/>
    <w:qFormat/>
    <w:rsid w:val="00ae28ad"/>
    <w:pPr>
      <w:spacing w:lineRule="auto" w:line="240" w:before="280" w:after="280"/>
    </w:pPr>
    <w:rPr>
      <w:rFonts w:ascii="Times New Roman" w:hAnsi="Times New Roman"/>
      <w:szCs w:val="24"/>
      <w:lang w:eastAsia="it-IT"/>
    </w:rPr>
  </w:style>
  <w:style w:type="paragraph" w:styleId="bollo" w:customStyle="1">
    <w:name w:val="bollo"/>
    <w:basedOn w:val="Normal"/>
    <w:qFormat/>
    <w:rsid w:val="00ae28ad"/>
    <w:pPr>
      <w:spacing w:lineRule="atLeast" w:line="567"/>
    </w:pPr>
    <w:rPr>
      <w:rFonts w:ascii="Times New Roman" w:hAnsi="Times New Roman"/>
      <w:szCs w:val="20"/>
      <w:lang w:eastAsia="it-IT"/>
    </w:rPr>
  </w:style>
  <w:style w:type="paragraph" w:styleId="provvnota" w:customStyle="1">
    <w:name w:val="provv_nota"/>
    <w:basedOn w:val="Normal"/>
    <w:qFormat/>
    <w:rsid w:val="00ae28ad"/>
    <w:pPr>
      <w:spacing w:lineRule="auto" w:line="240" w:before="280" w:after="280"/>
    </w:pPr>
    <w:rPr>
      <w:rFonts w:ascii="Times New Roman" w:hAnsi="Times New Roman"/>
      <w:szCs w:val="24"/>
      <w:lang w:eastAsia="it-IT"/>
    </w:rPr>
  </w:style>
  <w:style w:type="paragraph" w:styleId="provvestremo" w:customStyle="1">
    <w:name w:val="provv_estremo"/>
    <w:basedOn w:val="Normal"/>
    <w:qFormat/>
    <w:rsid w:val="00ae28ad"/>
    <w:pPr>
      <w:spacing w:lineRule="auto" w:line="240" w:before="280" w:after="280"/>
    </w:pPr>
    <w:rPr>
      <w:rFonts w:ascii="Times New Roman" w:hAnsi="Times New Roman"/>
      <w:b/>
      <w:bCs/>
      <w:szCs w:val="24"/>
      <w:lang w:eastAsia="it-IT"/>
    </w:rPr>
  </w:style>
  <w:style w:type="paragraph" w:styleId="Paragrafoelenco11" w:customStyle="1">
    <w:name w:val="Paragrafo elenco11"/>
    <w:basedOn w:val="Normal"/>
    <w:qFormat/>
    <w:rsid w:val="00ae28ad"/>
    <w:pPr>
      <w:spacing w:lineRule="atLeast" w:line="240" w:before="280" w:after="280"/>
      <w:ind w:left="720"/>
      <w:contextualSpacing/>
    </w:pPr>
    <w:rPr>
      <w:rFonts w:eastAsia="Calibri"/>
      <w:lang w:eastAsia="it-IT"/>
    </w:rPr>
  </w:style>
  <w:style w:type="paragraph" w:styleId="Revision">
    <w:name w:val="Revision"/>
    <w:qFormat/>
    <w:rsid w:val="00ae28ad"/>
    <w:pPr>
      <w:widowControl/>
      <w:suppressAutoHyphens w:val="true"/>
      <w:bidi w:val="0"/>
      <w:spacing w:lineRule="auto" w:line="276" w:before="0" w:after="0"/>
      <w:jc w:val="both"/>
    </w:pPr>
    <w:rPr>
      <w:rFonts w:ascii="Calibri" w:hAnsi="Calibri" w:eastAsia="Times New Roman" w:cs="Times New Roman"/>
      <w:color w:val="auto"/>
      <w:kern w:val="0"/>
      <w:sz w:val="22"/>
      <w:szCs w:val="22"/>
      <w:lang w:val="it-IT" w:eastAsia="en-US" w:bidi="ar-SA"/>
      <w14:ligatures w14:val="none"/>
    </w:rPr>
  </w:style>
  <w:style w:type="paragraph" w:styleId="BodyTextIndent3">
    <w:name w:val="Body Text Indent 3"/>
    <w:basedOn w:val="Normal"/>
    <w:link w:val="Rientrocorpodeltesto3Carattere1"/>
    <w:qFormat/>
    <w:rsid w:val="00ae28ad"/>
    <w:pPr>
      <w:spacing w:before="0" w:after="120"/>
      <w:ind w:left="283"/>
    </w:pPr>
    <w:rPr>
      <w:sz w:val="16"/>
      <w:szCs w:val="16"/>
      <w:lang w:val="x-none"/>
    </w:rPr>
  </w:style>
  <w:style w:type="paragraph" w:styleId="Rub1" w:customStyle="1">
    <w:name w:val="Rub1"/>
    <w:basedOn w:val="Normal"/>
    <w:qFormat/>
    <w:rsid w:val="00ae28ad"/>
    <w:pPr>
      <w:tabs>
        <w:tab w:val="clear" w:pos="708"/>
        <w:tab w:val="left" w:pos="1276" w:leader="none"/>
      </w:tabs>
      <w:spacing w:lineRule="auto" w:line="240"/>
    </w:pPr>
    <w:rPr>
      <w:rFonts w:ascii="Times New Roman" w:hAnsi="Times New Roman"/>
      <w:b/>
      <w:smallCaps/>
      <w:sz w:val="20"/>
      <w:szCs w:val="20"/>
      <w:lang w:eastAsia="it-IT"/>
    </w:rPr>
  </w:style>
  <w:style w:type="paragraph" w:styleId="BodyText2">
    <w:name w:val="Body Text 2"/>
    <w:basedOn w:val="Normal"/>
    <w:link w:val="Corpodeltesto2Carattere1"/>
    <w:qFormat/>
    <w:rsid w:val="00ae28ad"/>
    <w:pPr>
      <w:spacing w:lineRule="auto" w:line="480" w:before="0" w:after="120"/>
    </w:pPr>
    <w:rPr>
      <w:lang w:val="x-none"/>
    </w:rPr>
  </w:style>
  <w:style w:type="paragraph" w:styleId="Rientrocorpodeltesto21" w:customStyle="1">
    <w:name w:val="Rientro corpo del testo 21"/>
    <w:basedOn w:val="Normal"/>
    <w:qFormat/>
    <w:rsid w:val="00ae28ad"/>
    <w:pPr>
      <w:spacing w:lineRule="auto" w:line="240"/>
      <w:ind w:left="360"/>
    </w:pPr>
    <w:rPr>
      <w:rFonts w:ascii="Times New Roman" w:hAnsi="Times New Roman"/>
      <w:szCs w:val="20"/>
      <w:lang w:eastAsia="it-IT"/>
    </w:rPr>
  </w:style>
  <w:style w:type="paragraph" w:styleId="noteapi" w:customStyle="1">
    <w:name w:val="note a piè"/>
    <w:basedOn w:val="FootnoteText"/>
    <w:qFormat/>
    <w:rsid w:val="00ae28ad"/>
    <w:pPr/>
    <w:rPr>
      <w:rFonts w:ascii="Times New Roman" w:hAnsi="Times New Roman"/>
    </w:rPr>
  </w:style>
  <w:style w:type="paragraph" w:styleId="DocumentMap">
    <w:name w:val="Document Map"/>
    <w:basedOn w:val="Normal"/>
    <w:link w:val="MappadocumentoCarattere1"/>
    <w:qFormat/>
    <w:rsid w:val="00ae28ad"/>
    <w:pPr/>
    <w:rPr>
      <w:rFonts w:ascii="Tahoma" w:hAnsi="Tahoma"/>
      <w:sz w:val="16"/>
      <w:szCs w:val="16"/>
      <w:lang w:val="x-none"/>
    </w:rPr>
  </w:style>
  <w:style w:type="paragraph" w:styleId="grassetto1" w:customStyle="1">
    <w:name w:val="grassetto1"/>
    <w:basedOn w:val="Normal"/>
    <w:qFormat/>
    <w:rsid w:val="00ae28ad"/>
    <w:pPr>
      <w:spacing w:lineRule="auto" w:line="240" w:before="0" w:after="24"/>
      <w:jc w:val="left"/>
    </w:pPr>
    <w:rPr>
      <w:rFonts w:ascii="Times New Roman" w:hAnsi="Times New Roman"/>
      <w:b/>
      <w:bCs/>
      <w:szCs w:val="24"/>
      <w:lang w:eastAsia="it-IT"/>
    </w:rPr>
  </w:style>
  <w:style w:type="paragraph" w:styleId="IndexHeading">
    <w:name w:val="index heading"/>
    <w:basedOn w:val="Title"/>
    <w:pPr/>
    <w:rPr/>
  </w:style>
  <w:style w:type="paragraph" w:styleId="TOCHeading">
    <w:name w:val="TOC Heading"/>
    <w:basedOn w:val="Heading1"/>
    <w:next w:val="Normal"/>
    <w:qFormat/>
    <w:rsid w:val="00ae28ad"/>
    <w:pPr>
      <w:spacing w:before="280" w:after="280"/>
    </w:pPr>
    <w:rPr>
      <w:rFonts w:ascii="Garamond" w:hAnsi="Garamond" w:eastAsia="Times New Roman" w:cs="Times New Roman"/>
      <w:b/>
      <w:bCs/>
      <w:color w:val="auto"/>
      <w:sz w:val="28"/>
      <w:szCs w:val="28"/>
      <w:lang w:eastAsia="it-IT"/>
    </w:rPr>
  </w:style>
  <w:style w:type="paragraph" w:styleId="provvc" w:customStyle="1">
    <w:name w:val="provv_c"/>
    <w:basedOn w:val="Normal"/>
    <w:qFormat/>
    <w:rsid w:val="00ae28ad"/>
    <w:pPr>
      <w:spacing w:lineRule="auto" w:line="240" w:before="280" w:after="280"/>
      <w:jc w:val="center"/>
    </w:pPr>
    <w:rPr>
      <w:rFonts w:ascii="Times New Roman" w:hAnsi="Times New Roman"/>
      <w:szCs w:val="24"/>
      <w:lang w:eastAsia="it-IT"/>
    </w:rPr>
  </w:style>
  <w:style w:type="paragraph" w:styleId="TOC3">
    <w:name w:val="toc 3"/>
    <w:basedOn w:val="Normal"/>
    <w:next w:val="Normal"/>
    <w:autoRedefine/>
    <w:uiPriority w:val="39"/>
    <w:rsid w:val="00ae28ad"/>
    <w:pPr>
      <w:tabs>
        <w:tab w:val="clear" w:pos="708"/>
        <w:tab w:val="left" w:pos="1100" w:leader="none"/>
        <w:tab w:val="right" w:pos="9629" w:leader="dot"/>
      </w:tabs>
      <w:spacing w:lineRule="auto" w:line="240"/>
      <w:ind w:hanging="454" w:left="896"/>
      <w:jc w:val="left"/>
    </w:pPr>
    <w:rPr>
      <w:iCs/>
      <w:sz w:val="20"/>
      <w:szCs w:val="20"/>
    </w:rPr>
  </w:style>
  <w:style w:type="paragraph" w:styleId="Rientrocorpodeltesto211" w:customStyle="1">
    <w:name w:val="Rientro corpo del testo 211"/>
    <w:basedOn w:val="Normal"/>
    <w:qFormat/>
    <w:rsid w:val="00ae28ad"/>
    <w:pPr>
      <w:spacing w:lineRule="auto" w:line="240"/>
      <w:ind w:left="360"/>
    </w:pPr>
    <w:rPr>
      <w:rFonts w:ascii="Times New Roman" w:hAnsi="Times New Roman"/>
      <w:szCs w:val="20"/>
      <w:lang w:eastAsia="it-IT"/>
    </w:rPr>
  </w:style>
  <w:style w:type="paragraph" w:styleId="BodyTextIndent2">
    <w:name w:val="Body Text Indent 2"/>
    <w:basedOn w:val="Normal"/>
    <w:link w:val="Rientrocorpodeltesto2Carattere1"/>
    <w:qFormat/>
    <w:rsid w:val="00ae28ad"/>
    <w:pPr>
      <w:tabs>
        <w:tab w:val="clear" w:pos="708"/>
        <w:tab w:val="left" w:pos="1068" w:leader="none"/>
      </w:tabs>
      <w:spacing w:lineRule="auto" w:line="240"/>
      <w:ind w:left="720"/>
    </w:pPr>
    <w:rPr>
      <w:rFonts w:ascii="Times New Roman" w:hAnsi="Times New Roman"/>
      <w:szCs w:val="24"/>
      <w:lang w:eastAsia="it-IT"/>
    </w:rPr>
  </w:style>
  <w:style w:type="paragraph" w:styleId="sche3" w:customStyle="1">
    <w:name w:val="sche_3"/>
    <w:qFormat/>
    <w:rsid w:val="00ae28ad"/>
    <w:pPr>
      <w:widowControl w:val="false"/>
      <w:suppressAutoHyphens w:val="true"/>
      <w:bidi w:val="0"/>
      <w:spacing w:before="0" w:after="0"/>
      <w:jc w:val="both"/>
      <w:textAlignment w:val="baseline"/>
    </w:pPr>
    <w:rPr>
      <w:rFonts w:ascii="Times New Roman" w:hAnsi="Times New Roman" w:eastAsia="Times New Roman" w:cs="Times New Roman"/>
      <w:color w:val="auto"/>
      <w:kern w:val="0"/>
      <w:sz w:val="24"/>
      <w:szCs w:val="20"/>
      <w:lang w:val="en-US" w:eastAsia="it-IT" w:bidi="ar-SA"/>
      <w14:ligatures w14:val="none"/>
    </w:rPr>
  </w:style>
  <w:style w:type="paragraph" w:styleId="Text2" w:customStyle="1">
    <w:name w:val="Text 2"/>
    <w:basedOn w:val="Normal"/>
    <w:qFormat/>
    <w:rsid w:val="00ae28ad"/>
    <w:pPr>
      <w:tabs>
        <w:tab w:val="clear" w:pos="708"/>
        <w:tab w:val="left" w:pos="2161" w:leader="none"/>
      </w:tabs>
      <w:spacing w:lineRule="auto" w:line="240" w:before="0" w:after="240"/>
      <w:ind w:left="1077"/>
    </w:pPr>
    <w:rPr>
      <w:rFonts w:ascii="Times New Roman" w:hAnsi="Times New Roman"/>
      <w:szCs w:val="20"/>
      <w:lang w:eastAsia="it-IT"/>
    </w:rPr>
  </w:style>
  <w:style w:type="paragraph" w:styleId="BodyTextIndent">
    <w:name w:val="Body Text Indent"/>
    <w:basedOn w:val="Normal"/>
    <w:link w:val="RientrocorpodeltestoCarattere1"/>
    <w:rsid w:val="00ae28ad"/>
    <w:pPr>
      <w:tabs>
        <w:tab w:val="clear" w:pos="708"/>
        <w:tab w:val="left" w:pos="0" w:leader="none"/>
        <w:tab w:val="left" w:pos="1725" w:leader="none"/>
        <w:tab w:val="left" w:pos="8496" w:leader="none"/>
      </w:tabs>
      <w:spacing w:lineRule="auto" w:line="240"/>
      <w:ind w:left="708"/>
    </w:pPr>
    <w:rPr>
      <w:rFonts w:ascii="Times New Roman" w:hAnsi="Times New Roman"/>
      <w:b/>
      <w:bCs/>
      <w:i/>
      <w:iCs/>
      <w:sz w:val="20"/>
      <w:szCs w:val="20"/>
      <w:lang w:eastAsia="it-IT"/>
    </w:rPr>
  </w:style>
  <w:style w:type="paragraph" w:styleId="BodyText3">
    <w:name w:val="Body Text 3"/>
    <w:basedOn w:val="Normal"/>
    <w:link w:val="Corpodeltesto3Carattere1"/>
    <w:qFormat/>
    <w:rsid w:val="00ae28ad"/>
    <w:pPr>
      <w:tabs>
        <w:tab w:val="clear" w:pos="708"/>
        <w:tab w:val="left" w:pos="0" w:leader="none"/>
        <w:tab w:val="left" w:pos="8496" w:leader="none"/>
      </w:tabs>
      <w:spacing w:lineRule="auto" w:line="240" w:before="240" w:after="120"/>
    </w:pPr>
    <w:rPr>
      <w:rFonts w:ascii="Times New Roman" w:hAnsi="Times New Roman"/>
      <w:b/>
      <w:bCs/>
      <w:i/>
      <w:iCs/>
      <w:sz w:val="20"/>
      <w:szCs w:val="24"/>
      <w:lang w:eastAsia="it-IT"/>
    </w:rPr>
  </w:style>
  <w:style w:type="paragraph" w:styleId="Rub3" w:customStyle="1">
    <w:name w:val="Rub3"/>
    <w:basedOn w:val="Normal"/>
    <w:next w:val="Normal"/>
    <w:qFormat/>
    <w:rsid w:val="00ae28ad"/>
    <w:pPr>
      <w:tabs>
        <w:tab w:val="clear" w:pos="708"/>
        <w:tab w:val="left" w:pos="709" w:leader="none"/>
      </w:tabs>
      <w:spacing w:lineRule="auto" w:line="240"/>
    </w:pPr>
    <w:rPr>
      <w:rFonts w:ascii="Times New Roman" w:hAnsi="Times New Roman"/>
      <w:b/>
      <w:i/>
      <w:sz w:val="20"/>
      <w:szCs w:val="20"/>
      <w:lang w:eastAsia="it-IT"/>
    </w:rPr>
  </w:style>
  <w:style w:type="paragraph" w:styleId="Titoloparagrafobandotipo" w:customStyle="1">
    <w:name w:val="Titolo paragrafo bando tipo"/>
    <w:basedOn w:val="Subtitle"/>
    <w:autoRedefine/>
    <w:qFormat/>
    <w:rsid w:val="00ae28ad"/>
    <w:pPr>
      <w:keepNext w:val="true"/>
      <w:spacing w:lineRule="auto" w:line="240" w:before="300" w:after="120"/>
      <w:ind w:left="-142"/>
      <w:outlineLvl w:val="0"/>
    </w:pPr>
    <w:rPr>
      <w:rFonts w:ascii="Calibri" w:hAnsi="Calibri" w:eastAsia="Times New Roman" w:cs="Times New Roman"/>
      <w:b/>
      <w:i/>
      <w:color w:val="auto"/>
      <w:spacing w:val="0"/>
      <w:sz w:val="24"/>
      <w:szCs w:val="22"/>
      <w:lang w:eastAsia="it-IT"/>
    </w:rPr>
  </w:style>
  <w:style w:type="paragraph" w:styleId="avviso" w:customStyle="1">
    <w:name w:val="avviso"/>
    <w:basedOn w:val="ListParagraph"/>
    <w:qFormat/>
    <w:rsid w:val="00ae28ad"/>
    <w:pPr>
      <w:keepNext w:val="true"/>
      <w:spacing w:lineRule="auto" w:line="240" w:before="120" w:after="120"/>
      <w:ind w:left="0"/>
      <w:contextualSpacing w:val="false"/>
    </w:pPr>
    <w:rPr>
      <w:b/>
      <w:i/>
    </w:rPr>
  </w:style>
  <w:style w:type="paragraph" w:styleId="CM11" w:customStyle="1">
    <w:name w:val="CM1+1"/>
    <w:basedOn w:val="Default"/>
    <w:next w:val="Default"/>
    <w:qFormat/>
    <w:rsid w:val="00ae28ad"/>
    <w:pPr>
      <w:widowControl/>
      <w:spacing w:lineRule="auto" w:line="240"/>
      <w:jc w:val="left"/>
    </w:pPr>
    <w:rPr>
      <w:rFonts w:ascii="EUAlbertina" w:hAnsi="EUAlbertina" w:cs="Times New Roman"/>
      <w:color w:val="auto"/>
    </w:rPr>
  </w:style>
  <w:style w:type="paragraph" w:styleId="CM31" w:customStyle="1">
    <w:name w:val="CM3+1"/>
    <w:basedOn w:val="Default"/>
    <w:next w:val="Default"/>
    <w:qFormat/>
    <w:rsid w:val="00ae28ad"/>
    <w:pPr>
      <w:widowControl/>
      <w:spacing w:lineRule="auto" w:line="240"/>
      <w:jc w:val="left"/>
    </w:pPr>
    <w:rPr>
      <w:rFonts w:ascii="EUAlbertina" w:hAnsi="EUAlbertina" w:cs="Times New Roman"/>
      <w:color w:val="auto"/>
    </w:rPr>
  </w:style>
  <w:style w:type="paragraph" w:styleId="NoSpacing">
    <w:name w:val="No Spacing"/>
    <w:qFormat/>
    <w:rsid w:val="00ae28ad"/>
    <w:pPr>
      <w:widowControl/>
      <w:suppressAutoHyphens w:val="true"/>
      <w:bidi w:val="0"/>
      <w:spacing w:before="0" w:after="0"/>
      <w:jc w:val="both"/>
    </w:pPr>
    <w:rPr>
      <w:rFonts w:ascii="Calibri" w:hAnsi="Calibri" w:eastAsia="Times New Roman" w:cs="Times New Roman"/>
      <w:color w:val="auto"/>
      <w:kern w:val="0"/>
      <w:sz w:val="22"/>
      <w:szCs w:val="22"/>
      <w:lang w:val="it-IT" w:eastAsia="en-US" w:bidi="ar-SA"/>
      <w14:ligatures w14:val="none"/>
    </w:rPr>
  </w:style>
  <w:style w:type="paragraph" w:styleId="Sommariodisciplinare" w:customStyle="1">
    <w:name w:val="Sommario disciplinare"/>
    <w:basedOn w:val="TOC1"/>
    <w:next w:val="Heading2"/>
    <w:autoRedefine/>
    <w:qFormat/>
    <w:rsid w:val="00ae28ad"/>
    <w:pPr/>
    <w:rPr>
      <w:rFonts w:cs="Calibri"/>
      <w:szCs w:val="24"/>
      <w:lang w:eastAsia="it-IT"/>
    </w:rPr>
  </w:style>
  <w:style w:type="paragraph" w:styleId="TOC4">
    <w:name w:val="toc 4"/>
    <w:basedOn w:val="Normal"/>
    <w:next w:val="Normal"/>
    <w:autoRedefine/>
    <w:rsid w:val="00ae28ad"/>
    <w:pPr>
      <w:ind w:left="660"/>
      <w:jc w:val="left"/>
    </w:pPr>
    <w:rPr>
      <w:rFonts w:ascii="Calibri" w:hAnsi="Calibri"/>
      <w:sz w:val="18"/>
      <w:szCs w:val="18"/>
    </w:rPr>
  </w:style>
  <w:style w:type="paragraph" w:styleId="TOC5">
    <w:name w:val="toc 5"/>
    <w:basedOn w:val="Normal"/>
    <w:next w:val="Normal"/>
    <w:autoRedefine/>
    <w:rsid w:val="00ae28ad"/>
    <w:pPr>
      <w:ind w:left="880"/>
      <w:jc w:val="left"/>
    </w:pPr>
    <w:rPr>
      <w:rFonts w:ascii="Calibri" w:hAnsi="Calibri"/>
      <w:sz w:val="18"/>
      <w:szCs w:val="18"/>
    </w:rPr>
  </w:style>
  <w:style w:type="paragraph" w:styleId="TOC6">
    <w:name w:val="toc 6"/>
    <w:basedOn w:val="Normal"/>
    <w:next w:val="Normal"/>
    <w:autoRedefine/>
    <w:rsid w:val="00ae28ad"/>
    <w:pPr>
      <w:ind w:left="1100"/>
      <w:jc w:val="left"/>
    </w:pPr>
    <w:rPr>
      <w:rFonts w:ascii="Calibri" w:hAnsi="Calibri"/>
      <w:sz w:val="18"/>
      <w:szCs w:val="18"/>
    </w:rPr>
  </w:style>
  <w:style w:type="paragraph" w:styleId="TOC7">
    <w:name w:val="toc 7"/>
    <w:basedOn w:val="Normal"/>
    <w:next w:val="Normal"/>
    <w:autoRedefine/>
    <w:rsid w:val="00ae28ad"/>
    <w:pPr>
      <w:ind w:left="1320"/>
      <w:jc w:val="left"/>
    </w:pPr>
    <w:rPr>
      <w:rFonts w:ascii="Calibri" w:hAnsi="Calibri"/>
      <w:sz w:val="18"/>
      <w:szCs w:val="18"/>
    </w:rPr>
  </w:style>
  <w:style w:type="paragraph" w:styleId="TOC8">
    <w:name w:val="toc 8"/>
    <w:basedOn w:val="Normal"/>
    <w:next w:val="Normal"/>
    <w:autoRedefine/>
    <w:rsid w:val="00ae28ad"/>
    <w:pPr>
      <w:ind w:left="1540"/>
      <w:jc w:val="left"/>
    </w:pPr>
    <w:rPr>
      <w:rFonts w:ascii="Calibri" w:hAnsi="Calibri"/>
      <w:sz w:val="18"/>
      <w:szCs w:val="18"/>
    </w:rPr>
  </w:style>
  <w:style w:type="paragraph" w:styleId="TOC9">
    <w:name w:val="toc 9"/>
    <w:basedOn w:val="Normal"/>
    <w:next w:val="Normal"/>
    <w:autoRedefine/>
    <w:rsid w:val="00ae28ad"/>
    <w:pPr>
      <w:ind w:left="1760"/>
      <w:jc w:val="left"/>
    </w:pPr>
    <w:rPr>
      <w:rFonts w:ascii="Calibri" w:hAnsi="Calibri"/>
      <w:sz w:val="18"/>
      <w:szCs w:val="18"/>
    </w:rPr>
  </w:style>
  <w:style w:type="paragraph" w:styleId="PlainText">
    <w:name w:val="Plain Text"/>
    <w:basedOn w:val="Normal"/>
    <w:link w:val="TestonormaleCarattere1"/>
    <w:qFormat/>
    <w:rsid w:val="00ae28ad"/>
    <w:pPr>
      <w:jc w:val="left"/>
    </w:pPr>
    <w:rPr>
      <w:rFonts w:cs="Consolas"/>
      <w:szCs w:val="21"/>
    </w:rPr>
  </w:style>
  <w:style w:type="paragraph" w:styleId="usoboll1" w:customStyle="1">
    <w:name w:val="usoboll1"/>
    <w:basedOn w:val="Normal"/>
    <w:qFormat/>
    <w:rsid w:val="00ae28ad"/>
    <w:pPr>
      <w:widowControl w:val="false"/>
      <w:spacing w:lineRule="atLeast" w:line="482"/>
    </w:pPr>
    <w:rPr>
      <w:rFonts w:ascii="Times New Roman" w:hAnsi="Times New Roman"/>
      <w:szCs w:val="20"/>
      <w:lang w:eastAsia="ar-SA"/>
    </w:rPr>
  </w:style>
  <w:style w:type="paragraph" w:styleId="ANCATABELLATITOLOBIANCO" w:customStyle="1">
    <w:name w:val="ANCA_TABELLA_TITOLO BIANCO"/>
    <w:basedOn w:val="Normal"/>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left="1560" w:right="142"/>
    </w:pPr>
    <w:rPr>
      <w:rFonts w:ascii="Gotham Book" w:hAnsi="Gotham Book" w:cs="Gotham Book"/>
      <w:color w:val="FFFFFF"/>
      <w:sz w:val="20"/>
      <w:szCs w:val="20"/>
    </w:rPr>
  </w:style>
  <w:style w:type="paragraph" w:styleId="ANACTABELLATESTOBIANCO" w:customStyle="1">
    <w:name w:val="ANAC_TABELLA_TESTO_BIANCO"/>
    <w:basedOn w:val="Normal"/>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left="1560" w:right="142"/>
    </w:pPr>
    <w:rPr>
      <w:rFonts w:ascii="Gotham Book" w:hAnsi="Gotham Book" w:cs="Gotham Book"/>
      <w:color w:val="FFFFFF"/>
      <w:sz w:val="20"/>
      <w:szCs w:val="20"/>
    </w:rPr>
  </w:style>
  <w:style w:type="paragraph" w:styleId="ANACDATA" w:customStyle="1">
    <w:name w:val="ANAC_DATA"/>
    <w:qFormat/>
    <w:rsid w:val="00ae28ad"/>
    <w:pPr>
      <w:keepNext w:val="true"/>
      <w:keepLines/>
      <w:widowControl/>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bidi w:val="0"/>
      <w:spacing w:lineRule="exact" w:line="240" w:before="40" w:after="0"/>
      <w:ind w:left="1560" w:right="142"/>
      <w:jc w:val="left"/>
    </w:pPr>
    <w:rPr>
      <w:rFonts w:ascii="Gotham Light" w:hAnsi="Gotham Light" w:eastAsia="0" w:cs="Times New Roman"/>
      <w:iCs/>
      <w:color w:val="auto"/>
      <w:kern w:val="0"/>
      <w:sz w:val="24"/>
      <w:szCs w:val="20"/>
      <w:lang w:val="it-IT" w:eastAsia="ar-SA" w:bidi="ar-SA"/>
      <w14:ligatures w14:val="none"/>
    </w:rPr>
  </w:style>
  <w:style w:type="paragraph" w:styleId="ANAC-TitoloSottoparagrafo" w:customStyle="1">
    <w:name w:val="ANAC - Titolo Sottoparagrafo"/>
    <w:qFormat/>
    <w:rsid w:val="00ae28ad"/>
    <w:pPr>
      <w:keepNext w:val="true"/>
      <w:keepLines/>
      <w:widowControl/>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bidi w:val="0"/>
      <w:spacing w:lineRule="exact" w:line="240" w:before="40" w:after="0"/>
      <w:ind w:left="-284"/>
      <w:jc w:val="left"/>
    </w:pPr>
    <w:rPr>
      <w:rFonts w:ascii="Calibri Light" w:hAnsi="Calibri Light" w:eastAsia="0" w:cs="Times New Roman"/>
      <w:color w:val="2F5496"/>
      <w:kern w:val="0"/>
      <w:sz w:val="24"/>
      <w:szCs w:val="22"/>
      <w:lang w:val="it-IT" w:eastAsia="ar-SA" w:bidi="ar-SA"/>
      <w14:ligatures w14:val="none"/>
    </w:rPr>
  </w:style>
  <w:style w:type="paragraph" w:styleId="ANAC-TitoloParagrafo" w:customStyle="1">
    <w:name w:val="ANAC - Titolo Paragrafo"/>
    <w:qFormat/>
    <w:rsid w:val="00ae28ad"/>
    <w:pPr>
      <w:keepNext w:val="true"/>
      <w:keepLines/>
      <w:widowControl/>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bidi w:val="0"/>
      <w:spacing w:lineRule="exact" w:line="240" w:before="40" w:after="0"/>
      <w:ind w:left="1560" w:right="142"/>
      <w:jc w:val="left"/>
    </w:pPr>
    <w:rPr>
      <w:rFonts w:ascii="Gotham Light" w:hAnsi="Gotham Light" w:eastAsia="0" w:cs="Times New Roman"/>
      <w:color w:val="2770B7"/>
      <w:kern w:val="0"/>
      <w:sz w:val="28"/>
      <w:szCs w:val="20"/>
      <w:lang w:val="it-IT" w:eastAsia="ar-SA" w:bidi="ar-SA"/>
      <w14:ligatures w14:val="none"/>
    </w:rPr>
  </w:style>
  <w:style w:type="paragraph" w:styleId="ANAC-TitoloCapitolo" w:customStyle="1">
    <w:name w:val="ANAC - Titolo Capitolo"/>
    <w:qFormat/>
    <w:rsid w:val="00ae28ad"/>
    <w:pPr>
      <w:keepNext w:val="true"/>
      <w:keepLines/>
      <w:widowControl/>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uppressAutoHyphens w:val="true"/>
      <w:bidi w:val="0"/>
      <w:spacing w:lineRule="exact" w:line="240" w:before="40" w:after="0"/>
      <w:ind w:left="1560" w:right="142"/>
      <w:jc w:val="left"/>
    </w:pPr>
    <w:rPr>
      <w:rFonts w:ascii="Gotham Light" w:hAnsi="Gotham Light" w:eastAsia="0" w:cs="Times New Roman"/>
      <w:iCs/>
      <w:color w:val="auto"/>
      <w:kern w:val="0"/>
      <w:sz w:val="36"/>
      <w:szCs w:val="40"/>
      <w:lang w:val="it-IT" w:eastAsia="ar-SA" w:bidi="ar-SA"/>
      <w14:ligatures w14:val="none"/>
    </w:rPr>
  </w:style>
  <w:style w:type="paragraph" w:styleId="ANAC-Capitolo" w:customStyle="1">
    <w:name w:val="ANAC - Capitolo"/>
    <w:basedOn w:val="Heading1"/>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240" w:after="280"/>
      <w:ind w:left="1560" w:right="142"/>
      <w:jc w:val="center"/>
    </w:pPr>
    <w:rPr>
      <w:rFonts w:ascii="Calibri Light" w:hAnsi="Calibri Light" w:eastAsia="0" w:cs="Times New Roman"/>
      <w:b/>
      <w:bCs/>
      <w:color w:val="2F5496"/>
      <w:sz w:val="32"/>
      <w:szCs w:val="32"/>
      <w:lang w:val="x-none" w:eastAsia="ar-SA"/>
    </w:rPr>
  </w:style>
  <w:style w:type="paragraph" w:styleId="TitoloParagrafo" w:customStyle="1">
    <w:name w:val="Titolo Paragrafo"/>
    <w:basedOn w:val="Heading5"/>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pPr>
    <w:rPr>
      <w:rFonts w:ascii="Calibri Light" w:hAnsi="Calibri Light" w:eastAsia="0" w:cs="Times New Roman"/>
      <w:b/>
      <w:bCs/>
      <w:i/>
      <w:iCs/>
      <w:color w:val="2F5496"/>
      <w:sz w:val="28"/>
      <w:szCs w:val="26"/>
      <w:lang w:val="x-none" w:eastAsia="ar-SA"/>
    </w:rPr>
  </w:style>
  <w:style w:type="paragraph" w:styleId="TitoloCapitolo" w:customStyle="1">
    <w:name w:val="Titolo Capitolo"/>
    <w:basedOn w:val="Heading4"/>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pPr>
    <w:rPr>
      <w:rFonts w:ascii="Gotham Light" w:hAnsi="Gotham Light" w:eastAsia="0" w:cs="Times New Roman"/>
      <w:b/>
      <w:bCs/>
      <w:i w:val="false"/>
      <w:color w:val="4F81BD"/>
      <w:sz w:val="36"/>
      <w:szCs w:val="40"/>
      <w:lang w:eastAsia="ar-SA"/>
    </w:rPr>
  </w:style>
  <w:style w:type="paragraph" w:styleId="NumeroCapitolo" w:customStyle="1">
    <w:name w:val="Numero Capitolo"/>
    <w:basedOn w:val="Heading3"/>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left="1560" w:right="142"/>
    </w:pPr>
    <w:rPr>
      <w:rFonts w:ascii="Gotham Light" w:hAnsi="Gotham Light" w:eastAsia="0" w:cs="Times New Roman"/>
      <w:b/>
      <w:bCs/>
      <w:caps/>
      <w:color w:val="2770B7"/>
      <w:sz w:val="48"/>
      <w:szCs w:val="36"/>
      <w:lang w:val="x-none" w:eastAsia="ar-SA"/>
    </w:rPr>
  </w:style>
  <w:style w:type="paragraph" w:styleId="TitoloParte" w:customStyle="1">
    <w:name w:val="Titolo Parte"/>
    <w:basedOn w:val="Heading2"/>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40" w:after="0"/>
      <w:ind w:hanging="357" w:left="1560" w:right="142"/>
      <w:jc w:val="right"/>
    </w:pPr>
    <w:rPr>
      <w:rFonts w:ascii="Gotham Book" w:hAnsi="Gotham Book" w:eastAsia="Times New Roman (Corpo CS)" w:cs="Times New Roman"/>
      <w:b/>
      <w:bCs/>
      <w:iCs/>
      <w:caps/>
      <w:color w:val="FFFFFF"/>
      <w:sz w:val="40"/>
      <w:szCs w:val="40"/>
      <w:lang w:val="x-none" w:eastAsia="ar-SA"/>
    </w:rPr>
  </w:style>
  <w:style w:type="paragraph" w:styleId="ParteNumero" w:customStyle="1">
    <w:name w:val="Parte Numero"/>
    <w:basedOn w:val="Heading1"/>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40" w:before="240" w:after="280"/>
      <w:ind w:left="1560" w:right="142"/>
      <w:jc w:val="right"/>
    </w:pPr>
    <w:rPr>
      <w:rFonts w:ascii="Gotham Medium" w:hAnsi="Gotham Medium" w:eastAsia="Times New Roman (Corpo CS)" w:cs="Times New Roman"/>
      <w:b/>
      <w:bCs/>
      <w:caps/>
      <w:color w:val="FFFFFF"/>
      <w:sz w:val="28"/>
      <w:szCs w:val="28"/>
      <w:lang w:val="x-none" w:eastAsia="ar-SA"/>
    </w:rPr>
  </w:style>
  <w:style w:type="paragraph" w:styleId="Paragrafobase" w:customStyle="1">
    <w:name w:val="[Paragrafo base]"/>
    <w:basedOn w:val="Normal"/>
    <w:qFormat/>
    <w:rsid w:val="00ae28ad"/>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exact" w:line="288"/>
      <w:ind w:left="1560" w:right="142"/>
      <w:textAlignment w:val="center"/>
    </w:pPr>
    <w:rPr>
      <w:rFonts w:ascii="Minion Pro" w:hAnsi="Minion Pro" w:eastAsia="Minion Pro"/>
      <w:color w:val="000000"/>
      <w:lang w:eastAsia="ar-SA"/>
    </w:rPr>
  </w:style>
  <w:style w:type="paragraph" w:styleId="Contenutocorniceuser" w:customStyle="1">
    <w:name w:val="Contenuto cornice (user)"/>
    <w:basedOn w:val="Normal"/>
    <w:qFormat/>
    <w:rsid w:val="00ae28ad"/>
    <w:pPr/>
    <w:rPr/>
  </w:style>
  <w:style w:type="paragraph" w:styleId="Contenutotabellauser" w:customStyle="1">
    <w:name w:val="Contenuto tabella (user)"/>
    <w:basedOn w:val="Normal"/>
    <w:qFormat/>
    <w:rsid w:val="00ae28ad"/>
    <w:pPr>
      <w:suppressLineNumbers/>
    </w:pPr>
    <w:rPr/>
  </w:style>
  <w:style w:type="paragraph" w:styleId="Standard" w:customStyle="1">
    <w:name w:val="Standard"/>
    <w:qFormat/>
    <w:rsid w:val="00ae28ad"/>
    <w:pPr>
      <w:widowControl/>
      <w:suppressAutoHyphens w:val="true"/>
      <w:bidi w:val="0"/>
      <w:spacing w:lineRule="auto" w:line="259" w:before="0" w:after="160"/>
      <w:jc w:val="left"/>
      <w:textAlignment w:val="baseline"/>
    </w:pPr>
    <w:rPr>
      <w:rFonts w:ascii="Calibri" w:hAnsi="Calibri" w:eastAsia="Calibri" w:cs="Times New Roman"/>
      <w:color w:val="auto"/>
      <w:kern w:val="0"/>
      <w:sz w:val="24"/>
      <w:szCs w:val="20"/>
      <w:lang w:val="it-IT" w:eastAsia="en-US" w:bidi="ar-SA"/>
      <w14:ligatures w14:val="none"/>
    </w:rPr>
  </w:style>
  <w:style w:type="paragraph" w:styleId="Testopreformattatouser" w:customStyle="1">
    <w:name w:val="Testo preformattato (user)"/>
    <w:basedOn w:val="Normal"/>
    <w:qFormat/>
    <w:rsid w:val="00ae28ad"/>
    <w:pPr/>
    <w:rPr>
      <w:rFonts w:ascii="Liberation Mono" w:hAnsi="Liberation Mono" w:eastAsia="Liberation Mono" w:cs="Liberation Mono"/>
      <w:sz w:val="20"/>
      <w:szCs w:val="20"/>
    </w:rPr>
  </w:style>
  <w:style w:type="paragraph" w:styleId="Testocitato" w:customStyle="1">
    <w:name w:val="Testo citato"/>
    <w:basedOn w:val="Normal"/>
    <w:qFormat/>
    <w:rsid w:val="00ae28ad"/>
    <w:pPr>
      <w:spacing w:before="0" w:after="283"/>
      <w:ind w:left="567" w:right="567"/>
    </w:pPr>
    <w:rPr/>
  </w:style>
  <w:style w:type="paragraph" w:styleId="DefinitionTerm" w:customStyle="1">
    <w:name w:val="Definition Term"/>
    <w:basedOn w:val="Normal"/>
    <w:qFormat/>
    <w:rsid w:val="00ae28ad"/>
    <w:pPr/>
    <w:rPr/>
  </w:style>
  <w:style w:type="paragraph" w:styleId="DefinitionList" w:customStyle="1">
    <w:name w:val="Definition List"/>
    <w:basedOn w:val="Normal"/>
    <w:qFormat/>
    <w:rsid w:val="00ae28ad"/>
    <w:pPr>
      <w:ind w:left="360"/>
    </w:pPr>
    <w:rPr/>
  </w:style>
  <w:style w:type="paragraph" w:styleId="H1" w:customStyle="1">
    <w:name w:val="H1"/>
    <w:basedOn w:val="Normal"/>
    <w:qFormat/>
    <w:rsid w:val="00ae28ad"/>
    <w:pPr>
      <w:keepNext w:val="true"/>
      <w:spacing w:before="100" w:after="100"/>
      <w:outlineLvl w:val="1"/>
    </w:pPr>
    <w:rPr>
      <w:b/>
      <w:kern w:val="2"/>
      <w:sz w:val="48"/>
    </w:rPr>
  </w:style>
  <w:style w:type="paragraph" w:styleId="H2" w:customStyle="1">
    <w:name w:val="H2"/>
    <w:basedOn w:val="Normal"/>
    <w:qFormat/>
    <w:rsid w:val="00ae28ad"/>
    <w:pPr>
      <w:keepNext w:val="true"/>
      <w:spacing w:before="100" w:after="100"/>
      <w:outlineLvl w:val="2"/>
    </w:pPr>
    <w:rPr>
      <w:b/>
      <w:sz w:val="36"/>
    </w:rPr>
  </w:style>
  <w:style w:type="paragraph" w:styleId="H3" w:customStyle="1">
    <w:name w:val="H3"/>
    <w:basedOn w:val="Normal"/>
    <w:qFormat/>
    <w:rsid w:val="00ae28ad"/>
    <w:pPr>
      <w:keepNext w:val="true"/>
      <w:spacing w:before="100" w:after="100"/>
      <w:outlineLvl w:val="3"/>
    </w:pPr>
    <w:rPr>
      <w:b/>
      <w:sz w:val="28"/>
    </w:rPr>
  </w:style>
  <w:style w:type="paragraph" w:styleId="H4" w:customStyle="1">
    <w:name w:val="H4"/>
    <w:basedOn w:val="Normal"/>
    <w:qFormat/>
    <w:rsid w:val="00ae28ad"/>
    <w:pPr>
      <w:keepNext w:val="true"/>
      <w:spacing w:before="100" w:after="100"/>
      <w:outlineLvl w:val="4"/>
    </w:pPr>
    <w:rPr>
      <w:b/>
    </w:rPr>
  </w:style>
  <w:style w:type="paragraph" w:styleId="H5" w:customStyle="1">
    <w:name w:val="H5"/>
    <w:basedOn w:val="Normal"/>
    <w:qFormat/>
    <w:rsid w:val="00ae28ad"/>
    <w:pPr>
      <w:keepNext w:val="true"/>
      <w:spacing w:before="100" w:after="100"/>
      <w:outlineLvl w:val="5"/>
    </w:pPr>
    <w:rPr>
      <w:b/>
      <w:sz w:val="20"/>
    </w:rPr>
  </w:style>
  <w:style w:type="paragraph" w:styleId="H6" w:customStyle="1">
    <w:name w:val="H6"/>
    <w:basedOn w:val="Normal"/>
    <w:qFormat/>
    <w:rsid w:val="00ae28ad"/>
    <w:pPr>
      <w:keepNext w:val="true"/>
      <w:spacing w:before="100" w:after="100"/>
      <w:outlineLvl w:val="6"/>
    </w:pPr>
    <w:rPr>
      <w:b/>
      <w:sz w:val="16"/>
    </w:rPr>
  </w:style>
  <w:style w:type="paragraph" w:styleId="Address" w:customStyle="1">
    <w:name w:val="Address"/>
    <w:basedOn w:val="Normal"/>
    <w:qFormat/>
    <w:rsid w:val="00ae28ad"/>
    <w:pPr/>
    <w:rPr>
      <w:i/>
    </w:rPr>
  </w:style>
  <w:style w:type="paragraph" w:styleId="Blockquote" w:customStyle="1">
    <w:name w:val="Blockquote"/>
    <w:basedOn w:val="Normal"/>
    <w:qFormat/>
    <w:rsid w:val="00ae28ad"/>
    <w:pPr>
      <w:spacing w:before="100" w:after="100"/>
      <w:ind w:left="360" w:right="360"/>
    </w:pPr>
    <w:rPr/>
  </w:style>
  <w:style w:type="paragraph" w:styleId="Preformatted" w:customStyle="1">
    <w:name w:val="Preformatted"/>
    <w:basedOn w:val="Normal"/>
    <w:qFormat/>
    <w:rsid w:val="00ae28ad"/>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1" w:customStyle="1">
    <w:name w:val="z-Bottom of Form1"/>
    <w:qFormat/>
    <w:rsid w:val="00395774"/>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it-IT" w:eastAsia="it-IT" w:bidi="ar-SA"/>
      <w14:ligatures w14:val="none"/>
    </w:rPr>
  </w:style>
  <w:style w:type="paragraph" w:styleId="z-TopofForm1" w:customStyle="1">
    <w:name w:val="z-Top of Form1"/>
    <w:qFormat/>
    <w:rsid w:val="00395774"/>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it-IT" w:eastAsia="it-IT" w:bidi="ar-SA"/>
      <w14:ligatures w14:val="none"/>
    </w:rPr>
  </w:style>
  <w:style w:type="paragraph" w:styleId="Contenutocornice" w:customStyle="1">
    <w:name w:val="Contenuto cornice"/>
    <w:basedOn w:val="Normal"/>
    <w:qFormat/>
    <w:pPr/>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corpotesto1" w:customStyle="1">
    <w:name w:val="corpotesto1"/>
    <w:basedOn w:val="Normal"/>
    <w:qFormat/>
    <w:pPr>
      <w:spacing w:before="280" w:after="280"/>
    </w:pPr>
    <w:rPr/>
  </w:style>
  <w:style w:type="paragraph" w:styleId="Corpodeltesto31" w:customStyle="1">
    <w:name w:val="Corpo del testo 31"/>
    <w:basedOn w:val="Normal"/>
    <w:qFormat/>
    <w:pPr/>
    <w:rPr>
      <w:sz w:val="22"/>
    </w:rPr>
  </w:style>
  <w:style w:type="paragraph" w:styleId="Corpodeltesto21" w:customStyle="1">
    <w:name w:val="Corpo del testo 21"/>
    <w:basedOn w:val="Normal"/>
    <w:qFormat/>
    <w:pPr>
      <w:widowControl w:val="false"/>
    </w:pPr>
    <w:rPr>
      <w:rFonts w:ascii="Arial" w:hAnsi="Arial" w:cs="Arial"/>
      <w:sz w:val="20"/>
    </w:rPr>
  </w:style>
  <w:style w:type="paragraph" w:styleId="Rientrocorpodeltesto31" w:customStyle="1">
    <w:name w:val="Rientro corpo del testo 31"/>
    <w:basedOn w:val="Normal"/>
    <w:qFormat/>
    <w:pPr>
      <w:spacing w:lineRule="atLeast" w:line="240"/>
      <w:ind w:firstLine="1418"/>
    </w:pPr>
    <w:rPr>
      <w:rFonts w:ascii="PC Tennessee;Cambria" w:hAnsi="PC Tennessee;Cambria" w:cs="PC Tennessee;Cambria"/>
      <w:sz w:val="22"/>
      <w:szCs w:val="20"/>
    </w:rPr>
  </w:style>
  <w:style w:type="paragraph" w:styleId="Testonormale1" w:customStyle="1">
    <w:name w:val="Testo normale1"/>
    <w:basedOn w:val="Normal"/>
    <w:qFormat/>
    <w:pPr>
      <w:textAlignment w:val="baseline"/>
    </w:pPr>
    <w:rPr>
      <w:rFonts w:ascii="Courier New" w:hAnsi="Courier New" w:eastAsia="SimSun;宋体" w:cs="Courier New"/>
      <w:kern w:val="2"/>
      <w:sz w:val="20"/>
      <w:szCs w:val="20"/>
      <w:lang w:bidi="hi-IN"/>
    </w:rPr>
  </w:style>
  <w:style w:type="paragraph" w:styleId="Corpotesto11" w:customStyle="1">
    <w:name w:val="Corpo testo1"/>
    <w:basedOn w:val="Normal"/>
    <w:qFormat/>
    <w:pPr/>
    <w:rPr>
      <w:rFonts w:ascii="CG Times (W1);Times New Roman" w:hAnsi="CG Times (W1);Times New Roman" w:cs="CG Times (W1);Times New Roman"/>
      <w:shadow/>
      <w:szCs w:val="20"/>
      <w:lang w:eastAsia="it-IT"/>
    </w:rPr>
  </w:style>
  <w:style w:type="paragraph" w:styleId="tit3" w:customStyle="1">
    <w:name w:val="tit 3"/>
    <w:basedOn w:val="Heading2"/>
    <w:qFormat/>
    <w:pPr>
      <w:numPr>
        <w:ilvl w:val="0"/>
        <w:numId w:val="39"/>
      </w:numPr>
      <w:tabs>
        <w:tab w:val="clear" w:pos="708"/>
        <w:tab w:val="left" w:pos="1418" w:leader="none"/>
      </w:tabs>
      <w:spacing w:lineRule="exact" w:line="320" w:before="120" w:after="20"/>
      <w:textAlignment w:val="baseline"/>
      <w:outlineLvl w:val="9"/>
    </w:pPr>
    <w:rPr>
      <w:rFonts w:cs="Times New Roman"/>
      <w:sz w:val="24"/>
    </w:rPr>
  </w:style>
  <w:style w:type="paragraph" w:styleId="tit2" w:customStyle="1">
    <w:name w:val="tit 2"/>
    <w:qFormat/>
    <w:pPr>
      <w:widowControl/>
      <w:tabs>
        <w:tab w:val="clear" w:pos="708"/>
        <w:tab w:val="left" w:pos="360" w:leader="none"/>
        <w:tab w:val="left" w:pos="851" w:leader="none"/>
      </w:tabs>
      <w:suppressAutoHyphens w:val="true"/>
      <w:bidi w:val="0"/>
      <w:spacing w:before="120" w:after="60"/>
      <w:ind w:hanging="340" w:left="340"/>
      <w:jc w:val="left"/>
    </w:pPr>
    <w:rPr>
      <w:rFonts w:ascii="Arial" w:hAnsi="Arial" w:eastAsia="Times New Roman" w:cs="Arial"/>
      <w:b/>
      <w:color w:val="auto"/>
      <w:kern w:val="2"/>
      <w:sz w:val="26"/>
      <w:szCs w:val="20"/>
      <w:lang w:val="en-GB" w:eastAsia="en-US" w:bidi="ar-SA"/>
      <w14:ligatures w14:val="standardContextual"/>
    </w:rPr>
  </w:style>
  <w:style w:type="paragraph" w:styleId="tit1" w:customStyle="1">
    <w:name w:val="tit 1"/>
    <w:basedOn w:val="Heading1"/>
    <w:qFormat/>
    <w:pPr>
      <w:tabs>
        <w:tab w:val="clear" w:pos="708"/>
        <w:tab w:val="left" w:pos="360" w:leader="none"/>
      </w:tabs>
      <w:spacing w:lineRule="exact" w:line="320" w:before="480" w:after="120"/>
      <w:ind w:hanging="340" w:left="340"/>
      <w:textAlignment w:val="baseline"/>
      <w:outlineLvl w:val="9"/>
    </w:pPr>
    <w:rPr>
      <w:rFonts w:cs="Arial"/>
      <w:bCs/>
      <w:color w:val="000000"/>
      <w:kern w:val="2"/>
      <w:sz w:val="32"/>
      <w:szCs w:val="32"/>
    </w:rPr>
  </w:style>
  <w:style w:type="paragraph" w:styleId="Rientrocorpodeltesto32" w:customStyle="1">
    <w:name w:val="Rientro corpo del testo 32"/>
    <w:basedOn w:val="Normal"/>
    <w:qFormat/>
    <w:pPr>
      <w:spacing w:lineRule="atLeast" w:line="240"/>
      <w:ind w:firstLine="1418"/>
    </w:pPr>
    <w:rPr>
      <w:rFonts w:ascii="PC Tennessee;Cambria" w:hAnsi="PC Tennessee;Cambria" w:cs="PC Tennessee;Cambria"/>
      <w:sz w:val="22"/>
      <w:szCs w:val="20"/>
    </w:rPr>
  </w:style>
  <w:style w:type="paragraph" w:styleId="TxBrp17" w:customStyle="1">
    <w:name w:val="TxBr_p17"/>
    <w:basedOn w:val="Normal"/>
    <w:qFormat/>
    <w:pPr>
      <w:widowControl w:val="false"/>
      <w:tabs>
        <w:tab w:val="clear" w:pos="708"/>
        <w:tab w:val="left" w:pos="436" w:leader="none"/>
      </w:tabs>
      <w:spacing w:lineRule="atLeast" w:line="255"/>
      <w:ind w:hanging="436" w:left="607"/>
    </w:pPr>
    <w:rPr>
      <w:sz w:val="20"/>
      <w:lang w:val="en-US"/>
    </w:rPr>
  </w:style>
  <w:style w:type="paragraph" w:styleId="Corpodeltesto32" w:customStyle="1">
    <w:name w:val="Corpo del testo 32"/>
    <w:basedOn w:val="Normal"/>
    <w:qFormat/>
    <w:pPr>
      <w:spacing w:lineRule="atLeast" w:line="240"/>
    </w:pPr>
    <w:rPr>
      <w:rFonts w:ascii="PC Tennessee;Cambria" w:hAnsi="PC Tennessee;Cambria" w:cs="PC Tennessee;Cambria"/>
      <w:b/>
      <w:szCs w:val="20"/>
    </w:rPr>
  </w:style>
  <w:style w:type="paragraph" w:styleId="Corpodeltesto22" w:customStyle="1">
    <w:name w:val="Corpo del testo 22"/>
    <w:basedOn w:val="Normal"/>
    <w:qFormat/>
    <w:pPr>
      <w:widowControl w:val="false"/>
    </w:pPr>
    <w:rPr>
      <w:rFonts w:ascii="Arial" w:hAnsi="Arial" w:cs="Arial"/>
      <w:sz w:val="20"/>
    </w:rPr>
  </w:style>
  <w:style w:type="paragraph" w:styleId="Titolo1" w:customStyle="1">
    <w:name w:val="Titolo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Titolo2" w:customStyle="1">
    <w:name w:val="Titolo2"/>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Titolo3" w:customStyle="1">
    <w:name w:val="Titolo3"/>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Titolotabellauser" w:customStyle="1">
    <w:name w:val="Titolo tabella (user)"/>
    <w:basedOn w:val="Contenutotabellauser"/>
    <w:qFormat/>
    <w:pPr>
      <w:jc w:val="center"/>
    </w:pPr>
    <w:rPr>
      <w:b/>
      <w:bCs/>
    </w:rPr>
  </w:style>
  <w:style w:type="paragraph" w:styleId="Testopreformattato" w:customStyle="1">
    <w:name w:val="Testo preformattato"/>
    <w:basedOn w:val="Normal"/>
    <w:qFormat/>
    <w:pPr/>
    <w:rPr>
      <w:rFonts w:ascii="Liberation Mono" w:hAnsi="Liberation Mono" w:eastAsia="Liberation Mono" w:cs="Liberation Mono"/>
      <w:sz w:val="20"/>
      <w:szCs w:val="20"/>
    </w:rPr>
  </w:style>
  <w:style w:type="paragraph" w:styleId="stile12" w:customStyle="1">
    <w:name w:val="stile12"/>
    <w:basedOn w:val="Normal"/>
    <w:qFormat/>
    <w:pPr>
      <w:spacing w:lineRule="auto" w:line="240" w:before="280" w:after="280"/>
    </w:pPr>
    <w:rPr>
      <w:rFonts w:ascii="Times New Roman" w:hAnsi="Times New Roman"/>
      <w:szCs w:val="24"/>
      <w:lang w:eastAsia="it-IT"/>
    </w:rPr>
  </w:style>
  <w:style w:type="numbering" w:styleId="Nessunelenco" w:customStyle="1">
    <w:name w:val="Nessun elenco"/>
    <w:uiPriority w:val="99"/>
    <w:semiHidden/>
    <w:unhideWhenUsed/>
    <w:qFormat/>
  </w:style>
  <w:style w:type="numbering" w:styleId="Nessunelenco1" w:customStyle="1">
    <w:name w:val="Nessun elenco1"/>
    <w:qFormat/>
    <w:rsid w:val="00ae28ad"/>
  </w:style>
  <w:style w:type="numbering" w:styleId="Stile2" w:customStyle="1">
    <w:name w:val="Stile2"/>
    <w:qFormat/>
    <w:rsid w:val="00ae28ad"/>
  </w:style>
  <w:style w:type="numbering" w:styleId="WW8Num27" w:customStyle="1">
    <w:name w:val="WW8Num27"/>
    <w:qFormat/>
    <w:rsid w:val="00ae28ad"/>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ae28ad"/>
    <w:rPr>
      <w:sz w:val="20"/>
      <w:szCs w:val="20"/>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chiara">
    <w:name w:val="Grid Table Light"/>
    <w:basedOn w:val="Tabellanormale"/>
    <w:uiPriority w:val="40"/>
    <w:rsid w:val="00ae28ad"/>
    <w:rPr>
      <w:sz w:val="20"/>
      <w:szCs w:val="20"/>
      <w:lang w:eastAsia="it-IT"/>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intercent@regione.emilia-romagna.it" TargetMode="External"/><Relationship Id="rId3" Type="http://schemas.openxmlformats.org/officeDocument/2006/relationships/hyperlink" Target="https://www.anticorruzione.it/-/news.garanzie.finanziarie.18.07.2025" TargetMode="External"/><Relationship Id="rId4" Type="http://schemas.openxmlformats.org/officeDocument/2006/relationships/hyperlink" Target="https://www.anticorruzione.it/-/gestione-contributi-gara" TargetMode="External"/><Relationship Id="rId5" Type="http://schemas.openxmlformats.org/officeDocument/2006/relationships/hyperlink" Target="https://www.anticorruzione.it/-/portale-dei-pagamenti-di-anac"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F384D6CE452147B48DCB89CADB4180" ma:contentTypeVersion="19" ma:contentTypeDescription="Creare un nuovo documento." ma:contentTypeScope="" ma:versionID="6c39d3bd4abf94b9991be190498cebd9">
  <xsd:schema xmlns:xsd="http://www.w3.org/2001/XMLSchema" xmlns:xs="http://www.w3.org/2001/XMLSchema" xmlns:p="http://schemas.microsoft.com/office/2006/metadata/properties" xmlns:ns2="01fded2a-6ade-4626-9130-16bb9220f72f" xmlns:ns3="f8f0faae-7d3e-4260-bd2d-4ae4977d1014" targetNamespace="http://schemas.microsoft.com/office/2006/metadata/properties" ma:root="true" ma:fieldsID="a5328c2f24be5a9d9e300192648a9176" ns2:_="" ns3:_="">
    <xsd:import namespace="01fded2a-6ade-4626-9130-16bb9220f72f"/>
    <xsd:import namespace="f8f0faae-7d3e-4260-bd2d-4ae4977d1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ded2a-6ade-4626-9130-16bb9220f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627e65f-4c78-48a8-87dd-1df669f52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0faae-7d3e-4260-bd2d-4ae4977d101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67a9c4c-e3dd-4482-8a92-83cfea12d742}" ma:internalName="TaxCatchAll" ma:showField="CatchAllData" ma:web="f8f0faae-7d3e-4260-bd2d-4ae4977d1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f0faae-7d3e-4260-bd2d-4ae4977d1014" xsi:nil="true"/>
    <lcf76f155ced4ddcb4097134ff3c332f xmlns="01fded2a-6ade-4626-9130-16bb9220f7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574EC-05DE-4F90-A424-0A79DCAB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ded2a-6ade-4626-9130-16bb9220f72f"/>
    <ds:schemaRef ds:uri="f8f0faae-7d3e-4260-bd2d-4ae4977d1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5618D-38FC-4630-B3DB-6CD8D884ABA5}">
  <ds:schemaRefs>
    <ds:schemaRef ds:uri="http://schemas.microsoft.com/office/2006/metadata/properties"/>
    <ds:schemaRef ds:uri="http://schemas.microsoft.com/office/infopath/2007/PartnerControls"/>
    <ds:schemaRef ds:uri="f8f0faae-7d3e-4260-bd2d-4ae4977d1014"/>
    <ds:schemaRef ds:uri="01fded2a-6ade-4626-9130-16bb9220f72f"/>
  </ds:schemaRefs>
</ds:datastoreItem>
</file>

<file path=customXml/itemProps3.xml><?xml version="1.0" encoding="utf-8"?>
<ds:datastoreItem xmlns:ds="http://schemas.openxmlformats.org/officeDocument/2006/customXml" ds:itemID="{63E2B6A1-64F8-4AC3-8CE9-1E5A64291F16}">
  <ds:schemaRefs>
    <ds:schemaRef ds:uri="http://schemas.microsoft.com/sharepoint/v3/contenttype/forms"/>
  </ds:schemaRefs>
</ds:datastoreItem>
</file>

<file path=customXml/itemProps4.xml><?xml version="1.0" encoding="utf-8"?>
<ds:datastoreItem xmlns:ds="http://schemas.openxmlformats.org/officeDocument/2006/customXml" ds:itemID="{3D37CE10-9A61-4900-9170-D0F39265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Application>LibreOffice/26.2.1.2$Windows_X86_64 LibreOffice_project/620$Build-2</Application>
  <AppVersion>15.0000</AppVersion>
  <Pages>38</Pages>
  <Words>18351</Words>
  <Characters>110822</Characters>
  <CharactersWithSpaces>128730</CharactersWithSpaces>
  <Paragraphs>900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2026-03-17T07:59:00Z</dcterms:created>
  <dc:creator>Laura Savelli</dc:creator>
  <dc:description/>
  <dc:language>it-IT</dc:language>
  <cp:lastModifiedBy/>
  <cp:lastPrinted>2026-06-03T14:31:00Z</cp:lastPrinted>
  <dcterms:modified xsi:type="dcterms:W3CDTF">2026-06-16T09:53:33Z</dcterms:modified>
  <cp:revision>56</cp:revision>
  <dc:subject>---</dc:subject>
  <dc:title>Posta - Gallo Georgia - Outlook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0x01010026F384D6CE452147B48DCB89CADB4180</vt:lpwstr>
  </property>
  <property fmtid="{D5CDD505-2E9C-101B-9397-08002B2CF9AE}" pid="3" name="MediaServiceImageTags">
    <vt:lpwstr/>
  </property>
</Properties>
</file>