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b/>
          <w:bCs/>
          <w:sz w:val="28"/>
          <w:szCs w:val="28"/>
        </w:rPr>
      </w:pPr>
      <w:r>
        <w:rPr>
          <w:rFonts w:ascii="Arial" w:hAnsi="Arial"/>
          <w:b/>
          <w:bCs/>
          <w:sz w:val="28"/>
          <w:szCs w:val="28"/>
        </w:rPr>
        <w:t>1.CyberSecurity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Qualsiasi apparato hw e sw (PC, workstation, server, etc.) collegato alla rete aziendale dovrà conformarsi alle politiche aziendali in tema di cybersecurity.</w:t>
      </w:r>
    </w:p>
    <w:p>
      <w:pPr>
        <w:pStyle w:val="Normal"/>
        <w:jc w:val="both"/>
        <w:rPr>
          <w:rFonts w:ascii="Arial" w:hAnsi="Arial"/>
        </w:rPr>
      </w:pPr>
      <w:r>
        <w:rPr>
          <w:rFonts w:ascii="Arial" w:hAnsi="Arial"/>
        </w:rPr>
      </w:r>
    </w:p>
    <w:p>
      <w:pPr>
        <w:pStyle w:val="Normal"/>
        <w:rPr>
          <w:rFonts w:ascii="Arial" w:hAnsi="Arial"/>
        </w:rPr>
      </w:pPr>
      <w:r>
        <w:rPr>
          <w:rFonts w:cs="Calibri" w:ascii="Arial" w:hAnsi="Arial"/>
          <w:b/>
          <w:bCs/>
          <w:color w:val="000000"/>
        </w:rPr>
        <w:t>1.1 Misure di protezione dai malware</w:t>
      </w:r>
    </w:p>
    <w:p>
      <w:pPr>
        <w:pStyle w:val="Normal"/>
        <w:jc w:val="both"/>
        <w:rPr/>
      </w:pPr>
      <w:r>
        <w:rPr>
          <w:rFonts w:ascii="Arial" w:hAnsi="Arial"/>
          <w:sz w:val="20"/>
          <w:szCs w:val="20"/>
        </w:rPr>
        <w:t>Stante la costante minaccia a cui sono costantemente sottoposti tutti i sistemi informatici è necessario per il fornitore adottare tutte le misure necessarie di protezione dai malware.</w:t>
      </w:r>
    </w:p>
    <w:p>
      <w:pPr>
        <w:pStyle w:val="Normal"/>
        <w:jc w:val="both"/>
        <w:rPr/>
      </w:pPr>
      <w:r>
        <w:rPr>
          <w:rFonts w:ascii="Arial" w:hAnsi="Arial"/>
          <w:sz w:val="20"/>
          <w:szCs w:val="20"/>
        </w:rPr>
        <w:t>A pena di esclusione, quindi, il fornitore dovrà descrivere tutte le misure adottate per la protezione di quanto oggetto di fornitura dai malware specificando quali sistemi verranno protetti e mediante quali modalità tecniche.</w:t>
      </w:r>
    </w:p>
    <w:p>
      <w:pPr>
        <w:pStyle w:val="Normal"/>
        <w:jc w:val="both"/>
        <w:rPr/>
      </w:pPr>
      <w:r>
        <w:rPr>
          <w:rFonts w:ascii="Arial" w:hAnsi="Arial"/>
          <w:sz w:val="20"/>
          <w:szCs w:val="20"/>
        </w:rPr>
        <w:t xml:space="preserve">Quanto fornito a protezione dei malware sarà oggetto di valutazione qualitativa.  </w:t>
      </w:r>
    </w:p>
    <w:p>
      <w:pPr>
        <w:pStyle w:val="Normal"/>
        <w:rPr>
          <w:rFonts w:ascii="Arial" w:hAnsi="Arial"/>
        </w:rPr>
      </w:pPr>
      <w:r>
        <w:rPr>
          <w:rFonts w:ascii="Arial" w:hAnsi="Arial"/>
        </w:rPr>
      </w:r>
    </w:p>
    <w:p>
      <w:pPr>
        <w:pStyle w:val="Normal"/>
        <w:rPr>
          <w:rFonts w:ascii="Arial" w:hAnsi="Arial"/>
        </w:rPr>
      </w:pPr>
      <w:r>
        <w:rPr>
          <w:rFonts w:cs="Calibri" w:ascii="Arial" w:hAnsi="Arial"/>
          <w:b/>
          <w:bCs/>
          <w:color w:val="000000"/>
        </w:rPr>
        <w:t>1.2 Accesso agli ambienti del Titolare</w:t>
      </w:r>
    </w:p>
    <w:p>
      <w:pPr>
        <w:pStyle w:val="Normal"/>
        <w:jc w:val="both"/>
        <w:rPr/>
      </w:pPr>
      <w:r>
        <w:rPr>
          <w:rFonts w:cs="Arial" w:ascii="Arial" w:hAnsi="Arial"/>
          <w:sz w:val="20"/>
          <w:szCs w:val="20"/>
        </w:rPr>
        <w:t>All’atto della stipula contrattuale verranno stabilite le credenziali della persona di riferimento che sarà l’unico a poter richiedere variazioni sulle utenze di accesso al sistema informatico del</w:t>
      </w:r>
      <w:r>
        <w:rPr>
          <w:rFonts w:ascii="Arial" w:hAnsi="Arial"/>
          <w:sz w:val="20"/>
          <w:szCs w:val="20"/>
        </w:rPr>
        <w:t>le Aziende Sanitarie.</w:t>
      </w:r>
    </w:p>
    <w:p>
      <w:pPr>
        <w:pStyle w:val="Normal"/>
        <w:jc w:val="both"/>
        <w:rPr/>
      </w:pPr>
      <w:r>
        <w:rPr>
          <w:rFonts w:cs="Arial" w:ascii="Arial" w:hAnsi="Arial"/>
          <w:sz w:val="20"/>
          <w:szCs w:val="20"/>
        </w:rPr>
        <w:t>In ragione annuale, verrà chiesto alla persona di riferimento un aggiornamento sulle credenziali attive, in funzione del quale verranno successivamente eliminate eventuali utenze che risultassero non più necessarie</w:t>
      </w:r>
    </w:p>
    <w:p>
      <w:pPr>
        <w:pStyle w:val="Normal"/>
        <w:jc w:val="both"/>
        <w:rPr>
          <w:rFonts w:ascii="Arial" w:hAnsi="Arial"/>
          <w:sz w:val="20"/>
          <w:szCs w:val="20"/>
        </w:rPr>
      </w:pPr>
      <w:r>
        <w:rPr>
          <w:rFonts w:ascii="Arial" w:hAnsi="Arial"/>
          <w:sz w:val="20"/>
          <w:szCs w:val="20"/>
        </w:rPr>
      </w:r>
    </w:p>
    <w:p>
      <w:pPr>
        <w:pStyle w:val="Normal"/>
        <w:jc w:val="both"/>
        <w:rPr/>
      </w:pPr>
      <w:r>
        <w:rPr>
          <w:rFonts w:ascii="Arial" w:hAnsi="Arial"/>
          <w:sz w:val="20"/>
          <w:szCs w:val="20"/>
        </w:rPr>
        <w:t>Il Fornitore potrà accedere alle reti, ai sistemi e agli ambienti che il Titolare metterà a disposizione, relativamente al proprio ambito di competenza, attraverso le modalità di connessione definite.</w:t>
      </w:r>
    </w:p>
    <w:p>
      <w:pPr>
        <w:pStyle w:val="Normal"/>
        <w:jc w:val="both"/>
        <w:rPr>
          <w:rFonts w:ascii="Arial" w:hAnsi="Arial"/>
          <w:sz w:val="20"/>
          <w:szCs w:val="20"/>
        </w:rPr>
      </w:pPr>
      <w:r>
        <w:rPr>
          <w:rFonts w:ascii="Arial" w:hAnsi="Arial"/>
          <w:sz w:val="20"/>
          <w:szCs w:val="20"/>
        </w:rPr>
      </w:r>
    </w:p>
    <w:p>
      <w:pPr>
        <w:pStyle w:val="Normal"/>
        <w:jc w:val="both"/>
        <w:rPr/>
      </w:pPr>
      <w:r>
        <w:rPr>
          <w:rFonts w:ascii="Arial" w:hAnsi="Arial"/>
          <w:sz w:val="20"/>
          <w:szCs w:val="20"/>
        </w:rPr>
        <w:t>L'infrastruttura utilizzata dovrà rispettare i requisiti minimi definiti e descritti nel seguito.</w:t>
      </w:r>
    </w:p>
    <w:p>
      <w:pPr>
        <w:pStyle w:val="Normal"/>
        <w:jc w:val="both"/>
        <w:rPr>
          <w:rFonts w:ascii="Arial" w:hAnsi="Arial"/>
        </w:rPr>
      </w:pPr>
      <w:r>
        <w:rPr>
          <w:rFonts w:ascii="Arial" w:hAnsi="Arial"/>
        </w:rPr>
      </w:r>
    </w:p>
    <w:p>
      <w:pPr>
        <w:pStyle w:val="Normal"/>
        <w:jc w:val="both"/>
        <w:rPr/>
      </w:pPr>
      <w:r>
        <w:rPr>
          <w:rFonts w:ascii="Arial" w:hAnsi="Arial"/>
          <w:sz w:val="20"/>
          <w:szCs w:val="20"/>
        </w:rPr>
        <w:t>Si sottolinea che, ancorché salvaguardate le problematiche di protezione dei dati personali, il Fornitore dovrà tener conto del rischio di furto, perdita accidentale e/o distruzione di patrimonio informativo, inteso come le basi dati, il codice sorgente e/o le soluzioni prodotte, le infrastrutture e le personalizzazioni sviluppate nonché le informazioni e i dati trattati, per quanto di sua</w:t>
      </w:r>
      <w:r>
        <w:rPr>
          <w:rFonts w:ascii="Arial" w:hAnsi="Arial"/>
          <w:sz w:val="22"/>
          <w:szCs w:val="22"/>
        </w:rPr>
        <w:t xml:space="preserve"> competenza.</w:t>
      </w:r>
    </w:p>
    <w:p>
      <w:pPr>
        <w:pStyle w:val="Normal"/>
        <w:jc w:val="both"/>
        <w:rPr>
          <w:rFonts w:ascii="Arial" w:hAnsi="Arial"/>
        </w:rPr>
      </w:pPr>
      <w:r>
        <w:rPr>
          <w:rFonts w:ascii="Arial" w:hAnsi="Arial"/>
        </w:rPr>
      </w:r>
    </w:p>
    <w:p>
      <w:pPr>
        <w:pStyle w:val="Normal"/>
        <w:jc w:val="both"/>
        <w:rPr/>
      </w:pPr>
      <w:r>
        <w:rPr>
          <w:rFonts w:ascii="Arial" w:hAnsi="Arial"/>
          <w:sz w:val="20"/>
          <w:szCs w:val="20"/>
        </w:rPr>
        <w:t>Nel caso di accesso a reti, sistemi e ambienti del Titolare, il Fornitore dovrà:</w:t>
      </w:r>
    </w:p>
    <w:p>
      <w:pPr>
        <w:pStyle w:val="ListParagraph"/>
        <w:numPr>
          <w:ilvl w:val="0"/>
          <w:numId w:val="2"/>
        </w:numPr>
        <w:jc w:val="both"/>
        <w:rPr/>
      </w:pPr>
      <w:r>
        <w:rPr>
          <w:rFonts w:ascii="Arial" w:hAnsi="Arial"/>
          <w:sz w:val="20"/>
          <w:szCs w:val="20"/>
        </w:rPr>
        <w:t>Richiedere in forma scritta la creazione di una nuova utenza che dovrà contenere l’identificativo della persona a cui verrà assegnata, l’ambito di utilizzo, il ruolo, l’ambiente e la durata. Le utenze richieste dovranno essere univoche, personali e utilizzate in modo che l’accesso alle informazioni da parte di ogni singolo utente sia limitato alle sole (principio del “minimo privilegio”) informazioni di cui necessita (principio del “need-to-know”) per lo svolgimento dei propri compiti;</w:t>
      </w:r>
    </w:p>
    <w:p>
      <w:pPr>
        <w:pStyle w:val="ListParagraph"/>
        <w:numPr>
          <w:ilvl w:val="0"/>
          <w:numId w:val="2"/>
        </w:numPr>
        <w:jc w:val="both"/>
        <w:rPr/>
      </w:pPr>
      <w:r>
        <w:rPr>
          <w:rFonts w:ascii="Arial" w:hAnsi="Arial"/>
          <w:sz w:val="20"/>
          <w:szCs w:val="20"/>
        </w:rPr>
        <w:t>Inviare una tempestiva comunicazione in caso di variazione delle mansioni o delle attività in modo che il profilo venga adeguato alle effettive nuove esigenze; effettuare una revisione periodica delle utenze al fine di individuare le utenze inattive e quelle che necessitano di una modifica;</w:t>
      </w:r>
    </w:p>
    <w:p>
      <w:pPr>
        <w:pStyle w:val="ListParagraph"/>
        <w:numPr>
          <w:ilvl w:val="0"/>
          <w:numId w:val="2"/>
        </w:numPr>
        <w:jc w:val="both"/>
        <w:rPr/>
      </w:pPr>
      <w:r>
        <w:rPr>
          <w:rFonts w:ascii="Arial" w:hAnsi="Arial"/>
          <w:sz w:val="20"/>
          <w:szCs w:val="20"/>
        </w:rPr>
        <w:t>Richiedere immediatamente la disabilitazione di un’utenza assegnata ad un suo dipendente o collaboratore nei seguenti casi:</w:t>
      </w:r>
    </w:p>
    <w:p>
      <w:pPr>
        <w:pStyle w:val="ListParagraph"/>
        <w:numPr>
          <w:ilvl w:val="0"/>
          <w:numId w:val="3"/>
        </w:numPr>
        <w:jc w:val="both"/>
        <w:rPr/>
      </w:pPr>
      <w:r>
        <w:rPr>
          <w:rFonts w:ascii="Arial" w:hAnsi="Arial"/>
          <w:sz w:val="20"/>
          <w:szCs w:val="20"/>
        </w:rPr>
        <w:t>Interruzione del rapporto di lavoro con il Fornitore;</w:t>
      </w:r>
    </w:p>
    <w:p>
      <w:pPr>
        <w:pStyle w:val="ListParagraph"/>
        <w:numPr>
          <w:ilvl w:val="0"/>
          <w:numId w:val="3"/>
        </w:numPr>
        <w:jc w:val="both"/>
        <w:rPr/>
      </w:pPr>
      <w:r>
        <w:rPr>
          <w:rFonts w:ascii="Arial" w:hAnsi="Arial"/>
          <w:sz w:val="20"/>
          <w:szCs w:val="20"/>
        </w:rPr>
        <w:t>Cambio di mansione che non necessita dell’accesso ai sistemi informatici /applicazioni del Titolare;</w:t>
      </w:r>
    </w:p>
    <w:p>
      <w:pPr>
        <w:pStyle w:val="ListParagraph"/>
        <w:numPr>
          <w:ilvl w:val="0"/>
          <w:numId w:val="3"/>
        </w:numPr>
        <w:jc w:val="both"/>
        <w:rPr/>
      </w:pPr>
      <w:r>
        <w:rPr>
          <w:rFonts w:ascii="Arial" w:hAnsi="Arial"/>
          <w:sz w:val="20"/>
          <w:szCs w:val="20"/>
        </w:rPr>
        <w:t>Utenze inattive emerse nella revisione periodica.</w:t>
      </w:r>
    </w:p>
    <w:p>
      <w:pPr>
        <w:pStyle w:val="Normal"/>
        <w:jc w:val="both"/>
        <w:rPr/>
      </w:pPr>
      <w:r>
        <w:rPr>
          <w:rFonts w:ascii="Arial" w:hAnsi="Arial"/>
          <w:sz w:val="20"/>
          <w:szCs w:val="20"/>
        </w:rPr>
        <w:t>Tutto il personale autorizzato del Fornitore dovrà:</w:t>
      </w:r>
    </w:p>
    <w:p>
      <w:pPr>
        <w:pStyle w:val="ListParagraph"/>
        <w:numPr>
          <w:ilvl w:val="0"/>
          <w:numId w:val="4"/>
        </w:numPr>
        <w:jc w:val="both"/>
        <w:rPr/>
      </w:pPr>
      <w:r>
        <w:rPr>
          <w:rFonts w:ascii="Arial" w:hAnsi="Arial"/>
          <w:sz w:val="20"/>
          <w:szCs w:val="20"/>
        </w:rPr>
        <w:t>Eseguire l’accesso ai sistemi e agli ambienti tramite le proprie credenziali di accesso personali (ad esempio user ID, password) e con gli strumenti forniti dal Titolare;</w:t>
      </w:r>
    </w:p>
    <w:p>
      <w:pPr>
        <w:pStyle w:val="ListParagraph"/>
        <w:numPr>
          <w:ilvl w:val="0"/>
          <w:numId w:val="3"/>
        </w:numPr>
        <w:jc w:val="both"/>
        <w:rPr/>
      </w:pPr>
      <w:r>
        <w:rPr>
          <w:rFonts w:ascii="Arial" w:hAnsi="Arial"/>
          <w:sz w:val="20"/>
          <w:szCs w:val="20"/>
        </w:rPr>
        <w:t>Custodire ed utilizzare le proprie credenziali di accesso con la massima cautela al fine di evitare l’intercettazione, volontaria o fortuita, delle stesse da parte di terzi evitando in ogni caso di comunicarle ad altri e non consentendo a nessun’altra persona di utilizzarle.</w:t>
      </w:r>
    </w:p>
    <w:p>
      <w:pPr>
        <w:pStyle w:val="Normal"/>
        <w:jc w:val="both"/>
        <w:rPr>
          <w:rFonts w:ascii="Arial" w:hAnsi="Arial" w:cs="Calibri"/>
          <w:sz w:val="20"/>
          <w:szCs w:val="20"/>
          <w:lang w:bidi="en-US"/>
        </w:rPr>
      </w:pPr>
      <w:r>
        <w:rPr>
          <w:rFonts w:cs="Calibri" w:ascii="Arial" w:hAnsi="Arial"/>
          <w:sz w:val="20"/>
          <w:szCs w:val="20"/>
          <w:lang w:bidi="en-US"/>
        </w:rPr>
      </w:r>
    </w:p>
    <w:p>
      <w:pPr>
        <w:pStyle w:val="Normal"/>
        <w:jc w:val="both"/>
        <w:rPr/>
      </w:pPr>
      <w:r>
        <w:rPr>
          <w:rFonts w:cs="Calibri" w:ascii="Arial" w:hAnsi="Arial"/>
          <w:sz w:val="20"/>
          <w:szCs w:val="20"/>
          <w:lang w:bidi="en-US"/>
        </w:rPr>
        <w:t>Il Fornitore dovrà garantire sugli ambienti del Titolare da esso gestiti che l’accesso alle informazioni, servizi e sistemi avvenga in modo sicuro per prevenire l’accesso da parte di utenti che non hanno i necessari diritti e pertanto impedire trattamenti non autorizzati.</w:t>
      </w:r>
    </w:p>
    <w:p>
      <w:pPr>
        <w:pStyle w:val="Normal"/>
        <w:jc w:val="both"/>
        <w:rPr>
          <w:rFonts w:ascii="Arial" w:hAnsi="Arial" w:cs="Calibri"/>
          <w:sz w:val="20"/>
          <w:szCs w:val="20"/>
          <w:lang w:bidi="en-US"/>
        </w:rPr>
      </w:pPr>
      <w:r>
        <w:rPr>
          <w:rFonts w:cs="Calibri" w:ascii="Arial" w:hAnsi="Arial"/>
          <w:sz w:val="20"/>
          <w:szCs w:val="20"/>
          <w:lang w:bidi="en-US"/>
        </w:rPr>
      </w:r>
    </w:p>
    <w:p>
      <w:pPr>
        <w:pStyle w:val="Normal"/>
        <w:keepNext w:val="true"/>
        <w:numPr>
          <w:ilvl w:val="0"/>
          <w:numId w:val="0"/>
        </w:numPr>
        <w:ind w:hanging="0" w:start="0"/>
        <w:outlineLvl w:val="1"/>
        <w:rPr>
          <w:rFonts w:ascii="Arial" w:hAnsi="Arial"/>
        </w:rPr>
      </w:pPr>
      <w:bookmarkStart w:id="0" w:name="_Toc128738835"/>
      <w:bookmarkStart w:id="1" w:name="_Toc129250921"/>
      <w:bookmarkStart w:id="2" w:name="_Toc129024382"/>
      <w:r>
        <w:rPr>
          <w:rFonts w:cs="Calibri" w:ascii="Arial" w:hAnsi="Arial"/>
          <w:b/>
          <w:bCs/>
          <w:color w:val="000000"/>
          <w:lang w:bidi="en-US"/>
        </w:rPr>
        <w:t xml:space="preserve">1.3 </w:t>
      </w:r>
      <w:bookmarkEnd w:id="0"/>
      <w:bookmarkEnd w:id="1"/>
      <w:bookmarkEnd w:id="2"/>
      <w:r>
        <w:rPr>
          <w:rFonts w:cs="Calibri" w:ascii="Arial" w:hAnsi="Arial"/>
          <w:b/>
          <w:bCs/>
          <w:color w:val="000000"/>
          <w:lang w:bidi="en-US"/>
        </w:rPr>
        <w:t>Modalità e specifiche di connessione</w:t>
      </w:r>
    </w:p>
    <w:p>
      <w:pPr>
        <w:pStyle w:val="Normal"/>
        <w:jc w:val="both"/>
        <w:rPr/>
      </w:pPr>
      <w:r>
        <w:rPr>
          <w:rFonts w:ascii="Arial" w:hAnsi="Arial"/>
          <w:sz w:val="20"/>
          <w:szCs w:val="20"/>
        </w:rPr>
        <w:t>Il fornitore, qualora occorra, per specifiche esigenze, potrà usufruire di una connessione remota (dove per remota è da intendersi eseguita da sedi non del Titolare) ai sistemi del Titolare. Questa sarà possibile, previe le opportune e necessarie autorizzazioni, solo attraverso: connessioni dedicate conformi alle politiche aziendali.</w:t>
      </w:r>
    </w:p>
    <w:p>
      <w:pPr>
        <w:pStyle w:val="Normal"/>
        <w:jc w:val="both"/>
        <w:rPr/>
      </w:pPr>
      <w:r>
        <w:rPr>
          <w:rFonts w:ascii="Arial" w:hAnsi="Arial"/>
          <w:sz w:val="20"/>
          <w:szCs w:val="20"/>
        </w:rPr>
        <w:t>La connettività VPN-Client, che dovrà essere nominale, è autorizzata solo in casi eccezionali e corredata da opportuna motivazione scritta.</w:t>
      </w:r>
    </w:p>
    <w:p>
      <w:pPr>
        <w:pStyle w:val="Normal"/>
        <w:jc w:val="both"/>
        <w:rPr/>
      </w:pPr>
      <w:r>
        <w:rPr>
          <w:rFonts w:ascii="Arial" w:hAnsi="Arial"/>
          <w:sz w:val="20"/>
          <w:szCs w:val="20"/>
        </w:rPr>
        <w:t>La connettività Internet e l'apparato remoto lato Fornitore saranno a suo carico.</w:t>
      </w:r>
    </w:p>
    <w:p>
      <w:pPr>
        <w:pStyle w:val="Normal"/>
        <w:jc w:val="both"/>
        <w:rPr/>
      </w:pPr>
      <w:r>
        <w:rPr>
          <w:rFonts w:ascii="Arial" w:hAnsi="Arial"/>
          <w:sz w:val="20"/>
          <w:szCs w:val="20"/>
        </w:rPr>
        <w:t xml:space="preserve">Il Titolare fornirà le specifiche di configurazione, a cui la connettività VPN deve rispondere, che dovranno essere applicate dal Fornitore. </w:t>
      </w:r>
    </w:p>
    <w:p>
      <w:pPr>
        <w:pStyle w:val="Normal"/>
        <w:jc w:val="both"/>
        <w:rPr/>
      </w:pPr>
      <w:r>
        <w:rPr>
          <w:rFonts w:eastAsia="Times New Roman" w:cs="Arial" w:ascii="Arial" w:hAnsi="Arial"/>
          <w:color w:val="000000"/>
          <w:sz w:val="20"/>
          <w:szCs w:val="20"/>
          <w:lang w:eastAsia="it-IT" w:bidi="ar-SA"/>
        </w:rPr>
        <w:t>Il fornitore dovrà accettare le modalità di accesso dall’esterno previste e comunicate dall’Azienda  senza nulla opporre e senza che questo possa pregiudicare le forniture e i servizi previsti o possa andare a discapito di prestazioni, sia in termini quantitativi che in termini qualitativi. In questo senso, di base, non saranno accettate richieste di connessioni cosiddette lan-to-lan, né di aperture di firewall per fini di accesso,compresi i forward dall’interno verso l’esterno.</w:t>
      </w:r>
    </w:p>
    <w:p>
      <w:pPr>
        <w:pStyle w:val="Normal"/>
        <w:jc w:val="both"/>
        <w:rPr>
          <w:rFonts w:ascii="Arial" w:hAnsi="Arial" w:eastAsia="Times New Roman" w:cs="Arial"/>
          <w:color w:val="000000"/>
          <w:sz w:val="20"/>
          <w:szCs w:val="20"/>
          <w:lang w:eastAsia="it-IT" w:bidi="ar-SA"/>
        </w:rPr>
      </w:pPr>
      <w:r>
        <w:rPr>
          <w:rFonts w:eastAsia="Times New Roman" w:cs="Arial" w:ascii="Arial" w:hAnsi="Arial"/>
          <w:color w:val="000000"/>
          <w:sz w:val="20"/>
          <w:szCs w:val="20"/>
          <w:lang w:eastAsia="it-IT" w:bidi="ar-SA"/>
        </w:rPr>
      </w:r>
    </w:p>
    <w:p>
      <w:pPr>
        <w:pStyle w:val="Normal"/>
        <w:keepNext w:val="true"/>
        <w:numPr>
          <w:ilvl w:val="0"/>
          <w:numId w:val="0"/>
        </w:numPr>
        <w:ind w:hanging="0" w:start="0"/>
        <w:jc w:val="both"/>
        <w:outlineLvl w:val="1"/>
        <w:rPr>
          <w:rFonts w:ascii="Arial" w:hAnsi="Arial"/>
        </w:rPr>
      </w:pPr>
      <w:r>
        <w:rPr>
          <w:rFonts w:eastAsia="Times New Roman" w:cs="Calibri" w:ascii="Arial" w:hAnsi="Arial"/>
          <w:b/>
          <w:bCs/>
          <w:color w:val="000000"/>
          <w:lang w:eastAsia="it-IT" w:bidi="en-US"/>
        </w:rPr>
        <w:t>1.4 Misure di sicurezza fornitore</w:t>
      </w:r>
    </w:p>
    <w:p>
      <w:pPr>
        <w:pStyle w:val="Normal"/>
        <w:jc w:val="both"/>
        <w:rPr>
          <w:rFonts w:ascii="Arial" w:hAnsi="Arial"/>
        </w:rPr>
      </w:pPr>
      <w:r>
        <w:rPr>
          <w:rFonts w:ascii="Arial" w:hAnsi="Arial"/>
        </w:rPr>
      </w:r>
    </w:p>
    <w:p>
      <w:pPr>
        <w:pStyle w:val="Normal"/>
        <w:jc w:val="both"/>
        <w:rPr/>
      </w:pPr>
      <w:r>
        <w:rPr>
          <w:rFonts w:ascii="Arial" w:hAnsi="Arial"/>
          <w:sz w:val="20"/>
          <w:szCs w:val="20"/>
        </w:rPr>
        <w:t>Nel seguito sono indicate le misure minime relative alla CyberSecurity che il fornitore deve soddisfare. Tali misure devono intendersi come requisiti minimi da soddisfare a pena di esclusione.</w:t>
      </w:r>
    </w:p>
    <w:p>
      <w:pPr>
        <w:pStyle w:val="Normal"/>
        <w:jc w:val="both"/>
        <w:rPr/>
      </w:pPr>
      <w:r>
        <w:rPr>
          <w:rFonts w:ascii="Arial" w:hAnsi="Arial"/>
          <w:sz w:val="20"/>
          <w:szCs w:val="20"/>
        </w:rPr>
        <w:t>Il fornitore dovrà dare evidenza del rispetto di tali requisiti nella offerta tecnica.</w:t>
      </w:r>
    </w:p>
    <w:p>
      <w:pPr>
        <w:pStyle w:val="Normal"/>
        <w:jc w:val="both"/>
        <w:rPr>
          <w:rFonts w:ascii="Arial" w:hAnsi="Arial"/>
        </w:rPr>
      </w:pPr>
      <w:r>
        <w:rPr>
          <w:rFonts w:ascii="Arial" w:hAnsi="Arial"/>
        </w:rPr>
      </w:r>
    </w:p>
    <w:p>
      <w:pPr>
        <w:pStyle w:val="Normal"/>
        <w:jc w:val="both"/>
        <w:rPr>
          <w:rFonts w:ascii="Arial" w:hAnsi="Arial"/>
          <w:b/>
          <w:bCs/>
          <w:sz w:val="22"/>
          <w:szCs w:val="22"/>
        </w:rPr>
      </w:pPr>
      <w:r>
        <w:rPr>
          <w:rFonts w:ascii="Arial" w:hAnsi="Arial"/>
          <w:b/>
          <w:bCs/>
          <w:sz w:val="22"/>
          <w:szCs w:val="22"/>
        </w:rPr>
        <w:t>Politica di sicurezza</w:t>
      </w:r>
    </w:p>
    <w:p>
      <w:pPr>
        <w:pStyle w:val="Normal"/>
        <w:numPr>
          <w:ilvl w:val="0"/>
          <w:numId w:val="5"/>
        </w:numPr>
        <w:jc w:val="both"/>
        <w:rPr/>
      </w:pPr>
      <w:r>
        <w:rPr>
          <w:rFonts w:ascii="Arial" w:hAnsi="Arial"/>
          <w:sz w:val="20"/>
          <w:szCs w:val="20"/>
        </w:rPr>
        <w:t>Il fornitore è tenuto al rispetto delle politiche di sicurezza informatica e privacy in uso presso le Aziende Sanitarie. Qualora il fornitore disponesse di una propria security policy essa deve essere coerente con l’analogo documento della Committente.</w:t>
      </w:r>
    </w:p>
    <w:p>
      <w:pPr>
        <w:pStyle w:val="Normal"/>
        <w:jc w:val="both"/>
        <w:rPr>
          <w:rFonts w:ascii="Arial" w:hAnsi="Arial"/>
          <w:b/>
          <w:bCs/>
        </w:rPr>
      </w:pPr>
      <w:r>
        <w:rPr>
          <w:rFonts w:ascii="Arial" w:hAnsi="Arial"/>
          <w:b/>
          <w:bCs/>
        </w:rPr>
      </w:r>
    </w:p>
    <w:p>
      <w:pPr>
        <w:pStyle w:val="Normal"/>
        <w:jc w:val="both"/>
        <w:rPr>
          <w:rFonts w:ascii="Arial" w:hAnsi="Arial"/>
          <w:b/>
          <w:bCs/>
          <w:sz w:val="22"/>
          <w:szCs w:val="22"/>
        </w:rPr>
      </w:pPr>
      <w:r>
        <w:rPr>
          <w:rFonts w:ascii="Arial" w:hAnsi="Arial"/>
          <w:b/>
          <w:bCs/>
          <w:sz w:val="22"/>
          <w:szCs w:val="22"/>
        </w:rPr>
        <w:t>Ruoli e responsabilità</w:t>
      </w:r>
    </w:p>
    <w:p>
      <w:pPr>
        <w:pStyle w:val="Normal"/>
        <w:numPr>
          <w:ilvl w:val="0"/>
          <w:numId w:val="5"/>
        </w:numPr>
        <w:jc w:val="both"/>
        <w:rPr/>
      </w:pPr>
      <w:r>
        <w:rPr>
          <w:rFonts w:ascii="Arial" w:hAnsi="Arial"/>
          <w:sz w:val="20"/>
          <w:szCs w:val="20"/>
        </w:rPr>
        <w:t>Il fornitore si impegna a non rivelare informazioni che possano pregiudicare la sicurezza delle Aziende Sanitarie</w:t>
      </w:r>
      <w:r>
        <w:rPr/>
        <w:t>.</w:t>
      </w:r>
    </w:p>
    <w:p>
      <w:pPr>
        <w:pStyle w:val="Normal"/>
        <w:numPr>
          <w:ilvl w:val="0"/>
          <w:numId w:val="5"/>
        </w:numPr>
        <w:jc w:val="both"/>
        <w:rPr/>
      </w:pPr>
      <w:r>
        <w:rPr>
          <w:rFonts w:ascii="Arial" w:hAnsi="Arial"/>
          <w:sz w:val="20"/>
          <w:szCs w:val="20"/>
        </w:rPr>
        <w:t>Il fornitore deve definire chiaramente i ruoli e le responsabilità in materia di sicurezza.</w:t>
      </w:r>
    </w:p>
    <w:p>
      <w:pPr>
        <w:pStyle w:val="Normal"/>
        <w:numPr>
          <w:ilvl w:val="0"/>
          <w:numId w:val="5"/>
        </w:numPr>
        <w:jc w:val="both"/>
        <w:rPr/>
      </w:pPr>
      <w:r>
        <w:rPr>
          <w:rFonts w:ascii="Arial" w:hAnsi="Arial"/>
          <w:sz w:val="20"/>
          <w:szCs w:val="20"/>
        </w:rPr>
        <w:t>I ruoli e le responsabilità relativi al trattamento dei dati personali devono essere comunicati chiaramente durante il processo di selezione o di incarico dei dipendenti e collaboratori da parte del fornitore, mediante gli specifici accordi del caso (es. clausole di riservatezza).</w:t>
      </w:r>
    </w:p>
    <w:p>
      <w:pPr>
        <w:pStyle w:val="Normal"/>
        <w:numPr>
          <w:ilvl w:val="0"/>
          <w:numId w:val="5"/>
        </w:numPr>
        <w:jc w:val="both"/>
        <w:rPr/>
      </w:pPr>
      <w:r>
        <w:rPr>
          <w:rFonts w:ascii="Arial" w:hAnsi="Arial"/>
          <w:sz w:val="20"/>
          <w:szCs w:val="20"/>
        </w:rPr>
        <w:t>Il fornitore deve essere conforme al c.d. "Provvedimento Amministratori di Sistema"(“Misure e accorgimenti prescritti ai titolari dei trattamenti effettuati con strumenti elettronici relativamente alle attribuzioni delle funzioni di amministratore di sistema” - 27 novembre 2008) del Garante per la Protezione dei Dati Personali.</w:t>
      </w:r>
    </w:p>
    <w:p>
      <w:pPr>
        <w:pStyle w:val="Normal"/>
        <w:numPr>
          <w:ilvl w:val="0"/>
          <w:numId w:val="5"/>
        </w:numPr>
        <w:jc w:val="both"/>
        <w:rPr/>
      </w:pPr>
      <w:r>
        <w:rPr>
          <w:rFonts w:ascii="Arial" w:hAnsi="Arial"/>
          <w:sz w:val="20"/>
          <w:szCs w:val="20"/>
        </w:rPr>
        <w:t xml:space="preserve"> </w:t>
      </w:r>
      <w:r>
        <w:rPr>
          <w:rFonts w:ascii="Arial" w:hAnsi="Arial"/>
          <w:sz w:val="20"/>
          <w:szCs w:val="20"/>
        </w:rPr>
        <w:t>Il fornitore non deve prestare i propri loghi, le proprie divise, i propri segni distintivi a terzi che potrebbero perpetrare attacchi di social engineering nei confronti delle Aziende Sanitarie</w:t>
      </w:r>
      <w:r>
        <w:rPr/>
        <w:t>.</w:t>
      </w:r>
    </w:p>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b/>
          <w:bCs/>
          <w:sz w:val="22"/>
          <w:szCs w:val="22"/>
        </w:rPr>
      </w:pPr>
      <w:r>
        <w:rPr>
          <w:rFonts w:ascii="Arial" w:hAnsi="Arial"/>
          <w:b/>
          <w:bCs/>
          <w:sz w:val="22"/>
          <w:szCs w:val="22"/>
        </w:rPr>
        <w:t>Formazione</w:t>
      </w:r>
    </w:p>
    <w:p>
      <w:pPr>
        <w:pStyle w:val="Normal"/>
        <w:numPr>
          <w:ilvl w:val="0"/>
          <w:numId w:val="6"/>
        </w:numPr>
        <w:jc w:val="both"/>
        <w:rPr/>
      </w:pPr>
      <w:r>
        <w:rPr>
          <w:rFonts w:ascii="Arial" w:hAnsi="Arial"/>
          <w:sz w:val="20"/>
          <w:szCs w:val="20"/>
        </w:rPr>
        <w:t>Tutti i dipendenti del fornitore devono essere adeguatamente formati (anche attraverso campagne di sensibilizzazione periodiche) sulle misure di sicurezza previste sui sistemi su cui operano, sui requisiti di protezione dei dati e sugli obblighi legali correlati.</w:t>
      </w:r>
    </w:p>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b/>
          <w:bCs/>
          <w:sz w:val="22"/>
          <w:szCs w:val="22"/>
        </w:rPr>
      </w:pPr>
      <w:r>
        <w:rPr>
          <w:rFonts w:ascii="Arial" w:hAnsi="Arial"/>
          <w:b/>
          <w:bCs/>
          <w:sz w:val="22"/>
          <w:szCs w:val="22"/>
        </w:rPr>
        <w:t>Gestione incidenti</w:t>
      </w:r>
    </w:p>
    <w:p>
      <w:pPr>
        <w:pStyle w:val="Normal"/>
        <w:numPr>
          <w:ilvl w:val="0"/>
          <w:numId w:val="7"/>
        </w:numPr>
        <w:jc w:val="both"/>
        <w:rPr/>
      </w:pPr>
      <w:r>
        <w:rPr>
          <w:rFonts w:ascii="Arial" w:hAnsi="Arial"/>
          <w:sz w:val="20"/>
          <w:szCs w:val="20"/>
        </w:rPr>
        <w:t>Il fornitore deve disporre di una procedura per la risposta agli incidenti informatici.</w:t>
      </w:r>
    </w:p>
    <w:p>
      <w:pPr>
        <w:pStyle w:val="Normal"/>
        <w:numPr>
          <w:ilvl w:val="0"/>
          <w:numId w:val="7"/>
        </w:numPr>
        <w:jc w:val="both"/>
        <w:rPr/>
      </w:pPr>
      <w:r>
        <w:rPr>
          <w:rFonts w:ascii="Arial" w:hAnsi="Arial"/>
          <w:sz w:val="20"/>
          <w:szCs w:val="20"/>
        </w:rPr>
        <w:t>Il fornitore deve comunicare tempestivamente alle Aziende Sanitarie</w:t>
      </w:r>
      <w:r>
        <w:rPr/>
        <w:t xml:space="preserve"> </w:t>
      </w:r>
      <w:r>
        <w:rPr>
          <w:rFonts w:ascii="Arial" w:hAnsi="Arial"/>
          <w:sz w:val="20"/>
          <w:szCs w:val="20"/>
        </w:rPr>
        <w:t>eventuali incidenti di sicurezza informatica che lo riguardino e che possano compromettere la fornitura in oggetto.</w:t>
      </w:r>
    </w:p>
    <w:p>
      <w:pPr>
        <w:pStyle w:val="Normal"/>
        <w:numPr>
          <w:ilvl w:val="0"/>
          <w:numId w:val="7"/>
        </w:numPr>
        <w:jc w:val="both"/>
        <w:rPr/>
      </w:pPr>
      <w:r>
        <w:rPr>
          <w:rFonts w:ascii="Arial" w:hAnsi="Arial"/>
          <w:sz w:val="20"/>
          <w:szCs w:val="20"/>
        </w:rPr>
        <w:t>In particolar modo egli è tenuto a fornire alla Committente, tramite apposito incident report, i dettagli relativi all'evento e alle successive azioni correttive di contenimento eseguite, mediante canali comunicativi precedentemente concordati.</w:t>
      </w:r>
    </w:p>
    <w:p>
      <w:pPr>
        <w:pStyle w:val="Normal"/>
        <w:numPr>
          <w:ilvl w:val="0"/>
          <w:numId w:val="7"/>
        </w:numPr>
        <w:jc w:val="both"/>
        <w:rPr/>
      </w:pPr>
      <w:r>
        <w:rPr>
          <w:rFonts w:ascii="Arial" w:hAnsi="Arial"/>
          <w:sz w:val="20"/>
          <w:szCs w:val="20"/>
        </w:rPr>
        <w:t>In caso di incidente che coinvolga informazioni di proprietà delle Aziende Sanitarie il fornitore deve garantire alla Committente, o alle figure da essa ingaggiate, l’accesso ai propri locali e sistemi per la verifica e/o l’accertamento del caso da parte della medesima.</w:t>
      </w:r>
    </w:p>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b/>
          <w:bCs/>
          <w:sz w:val="22"/>
          <w:szCs w:val="22"/>
        </w:rPr>
      </w:pPr>
      <w:r>
        <w:rPr>
          <w:rFonts w:ascii="Arial" w:hAnsi="Arial"/>
          <w:b/>
          <w:bCs/>
          <w:sz w:val="22"/>
          <w:szCs w:val="22"/>
        </w:rPr>
        <w:t>Gestione asset</w:t>
      </w:r>
    </w:p>
    <w:p>
      <w:pPr>
        <w:pStyle w:val="Normal"/>
        <w:numPr>
          <w:ilvl w:val="0"/>
          <w:numId w:val="8"/>
        </w:numPr>
        <w:jc w:val="both"/>
        <w:rPr/>
      </w:pPr>
      <w:r>
        <w:rPr>
          <w:rFonts w:ascii="Arial" w:hAnsi="Arial"/>
          <w:sz w:val="20"/>
          <w:szCs w:val="20"/>
        </w:rPr>
        <w:t>Il fornitore deve mantenere un registro, periodicamente aggiornato, delle risorse informatiche (hardware, software, rete) utilizzate per l'elaborazione delle informazioni relative alle Aziende Sanitarie.</w:t>
      </w:r>
    </w:p>
    <w:p>
      <w:pPr>
        <w:pStyle w:val="Normal"/>
        <w:jc w:val="both"/>
        <w:rPr>
          <w:rFonts w:ascii="Arial" w:hAnsi="Arial"/>
          <w:sz w:val="20"/>
          <w:szCs w:val="20"/>
        </w:rPr>
      </w:pPr>
      <w:r>
        <w:rPr>
          <w:rFonts w:ascii="Arial" w:hAnsi="Arial"/>
          <w:sz w:val="20"/>
          <w:szCs w:val="20"/>
        </w:rPr>
      </w:r>
    </w:p>
    <w:p>
      <w:pPr>
        <w:pStyle w:val="Normal"/>
        <w:jc w:val="both"/>
        <w:rPr>
          <w:rFonts w:ascii="Arial" w:hAnsi="Arial"/>
          <w:b/>
          <w:bCs/>
          <w:sz w:val="22"/>
          <w:szCs w:val="22"/>
        </w:rPr>
      </w:pPr>
      <w:r>
        <w:rPr>
          <w:rFonts w:ascii="Arial" w:hAnsi="Arial"/>
          <w:b/>
          <w:bCs/>
          <w:sz w:val="22"/>
          <w:szCs w:val="22"/>
        </w:rPr>
        <w:t>Controllo accessi logici.</w:t>
      </w:r>
    </w:p>
    <w:p>
      <w:pPr>
        <w:pStyle w:val="Normal"/>
        <w:numPr>
          <w:ilvl w:val="0"/>
          <w:numId w:val="9"/>
        </w:numPr>
        <w:jc w:val="both"/>
        <w:rPr/>
      </w:pPr>
      <w:r>
        <w:rPr>
          <w:rFonts w:ascii="Arial" w:hAnsi="Arial"/>
          <w:sz w:val="20"/>
          <w:szCs w:val="20"/>
        </w:rPr>
        <w:t>Il fornitore deve rispettare i criteri di creazione, conservazione e gestione delle credenziali di accesso in accordo con le regole definite dalle Aziende Sanitarie</w:t>
      </w:r>
      <w:r>
        <w:rPr/>
        <w:t>.</w:t>
      </w:r>
    </w:p>
    <w:p>
      <w:pPr>
        <w:pStyle w:val="Normal"/>
        <w:numPr>
          <w:ilvl w:val="0"/>
          <w:numId w:val="9"/>
        </w:numPr>
        <w:jc w:val="both"/>
        <w:rPr/>
      </w:pPr>
      <w:r>
        <w:rPr>
          <w:rFonts w:ascii="Arial" w:hAnsi="Arial"/>
          <w:sz w:val="20"/>
          <w:szCs w:val="20"/>
        </w:rPr>
        <w:t>Deve essere utilizzato un apposito sistema di controllo degli accessi logici e gli accessi devono avvenire mediante utenza nominale nel rispetto dei principi del “need to know” e del “least privilege”. Deve almeno essere utilizzata una combinazione nome utente/password. Le password devono rispettare un adeguato livello di complessità, coerente con quanto indicato in merito nella politica delle Aziende Sanitarie</w:t>
      </w:r>
      <w:r>
        <w:rPr/>
        <w:t>.</w:t>
      </w:r>
    </w:p>
    <w:p>
      <w:pPr>
        <w:pStyle w:val="Normal"/>
        <w:numPr>
          <w:ilvl w:val="0"/>
          <w:numId w:val="9"/>
        </w:numPr>
        <w:jc w:val="both"/>
        <w:rPr/>
      </w:pPr>
      <w:r>
        <w:rPr>
          <w:rFonts w:ascii="Arial" w:hAnsi="Arial"/>
          <w:sz w:val="20"/>
          <w:szCs w:val="20"/>
        </w:rPr>
        <w:t xml:space="preserve">Il collegamento da remoto alla rete delle Aziende Sanitarie deve avvenire esclusivamente mediante protocolli cifrati (es. VPN) da utenze univoche autorizzate. </w:t>
      </w:r>
    </w:p>
    <w:p>
      <w:pPr>
        <w:pStyle w:val="Normal"/>
        <w:numPr>
          <w:ilvl w:val="0"/>
          <w:numId w:val="9"/>
        </w:numPr>
        <w:jc w:val="both"/>
        <w:rPr/>
      </w:pPr>
      <w:r>
        <w:rPr>
          <w:rFonts w:ascii="Arial" w:hAnsi="Arial"/>
          <w:sz w:val="20"/>
          <w:szCs w:val="20"/>
        </w:rPr>
        <w:t>Protocolli notoriamente obsoleti e non sicuri (es. Telnet) non devono essere utilizzati.</w:t>
      </w:r>
    </w:p>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b/>
          <w:bCs/>
          <w:sz w:val="22"/>
          <w:szCs w:val="22"/>
        </w:rPr>
      </w:pPr>
      <w:r>
        <w:rPr>
          <w:rFonts w:ascii="Arial" w:hAnsi="Arial"/>
          <w:b/>
          <w:bCs/>
          <w:sz w:val="22"/>
          <w:szCs w:val="22"/>
        </w:rPr>
        <w:t>Log</w:t>
      </w:r>
    </w:p>
    <w:p>
      <w:pPr>
        <w:pStyle w:val="Normal"/>
        <w:numPr>
          <w:ilvl w:val="0"/>
          <w:numId w:val="10"/>
        </w:numPr>
        <w:jc w:val="both"/>
        <w:rPr/>
      </w:pPr>
      <w:r>
        <w:rPr>
          <w:rFonts w:ascii="Arial" w:hAnsi="Arial"/>
          <w:sz w:val="20"/>
          <w:szCs w:val="20"/>
        </w:rPr>
        <w:t>Devono essere presenti adeguati meccanismi di log in relazione alle attività effettuate.</w:t>
      </w:r>
    </w:p>
    <w:p>
      <w:pPr>
        <w:pStyle w:val="Normal"/>
        <w:numPr>
          <w:ilvl w:val="0"/>
          <w:numId w:val="10"/>
        </w:numPr>
        <w:jc w:val="both"/>
        <w:rPr/>
      </w:pPr>
      <w:r>
        <w:rPr>
          <w:rFonts w:ascii="Arial" w:hAnsi="Arial"/>
          <w:sz w:val="20"/>
          <w:szCs w:val="20"/>
        </w:rPr>
        <w:t xml:space="preserve">Devono essere implementati adeguati appositi meccanismi di monitoraggio dei log. </w:t>
      </w:r>
    </w:p>
    <w:p>
      <w:pPr>
        <w:pStyle w:val="Normal"/>
        <w:numPr>
          <w:ilvl w:val="0"/>
          <w:numId w:val="10"/>
        </w:numPr>
        <w:jc w:val="both"/>
        <w:rPr/>
      </w:pPr>
      <w:r>
        <w:rPr>
          <w:rFonts w:ascii="Arial" w:hAnsi="Arial"/>
          <w:sz w:val="20"/>
          <w:szCs w:val="20"/>
        </w:rPr>
        <w:t>Le registrazioni devono essere marcate temporalmente e adeguatamente protette da manomissioni e accessi non autorizzati.</w:t>
      </w:r>
    </w:p>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b/>
          <w:bCs/>
          <w:sz w:val="22"/>
          <w:szCs w:val="22"/>
        </w:rPr>
      </w:pPr>
      <w:r>
        <w:rPr>
          <w:rFonts w:ascii="Arial" w:hAnsi="Arial"/>
          <w:b/>
          <w:bCs/>
          <w:sz w:val="22"/>
          <w:szCs w:val="22"/>
        </w:rPr>
        <w:t>Sicurezza della rete</w:t>
      </w:r>
    </w:p>
    <w:p>
      <w:pPr>
        <w:pStyle w:val="Normal"/>
        <w:numPr>
          <w:ilvl w:val="0"/>
          <w:numId w:val="11"/>
        </w:numPr>
        <w:jc w:val="both"/>
        <w:rPr/>
      </w:pPr>
      <w:r>
        <w:rPr>
          <w:rFonts w:ascii="Arial" w:hAnsi="Arial"/>
          <w:sz w:val="20"/>
          <w:szCs w:val="20"/>
        </w:rPr>
        <w:t>Ogni comunicazione deve essere adeguatamente protetta mediante l’applicazione di specifici protocolli crittografici non obsoleti.</w:t>
      </w:r>
    </w:p>
    <w:p>
      <w:pPr>
        <w:pStyle w:val="Normal"/>
        <w:numPr>
          <w:ilvl w:val="0"/>
          <w:numId w:val="11"/>
        </w:numPr>
        <w:jc w:val="both"/>
        <w:rPr/>
      </w:pPr>
      <w:r>
        <w:rPr>
          <w:rFonts w:ascii="Arial" w:hAnsi="Arial"/>
          <w:sz w:val="20"/>
          <w:szCs w:val="20"/>
        </w:rPr>
        <w:t>Eventuali forniture che comportino l’interfacciamento della rete aziendale verso l’esterno a qualsivoglia titolo e per qualsiasi scopo devono avvenire esclusivamente mediante canali di comunicazione preventivamente concordati con la Committente e da essa validati.</w:t>
      </w:r>
    </w:p>
    <w:p>
      <w:pPr>
        <w:pStyle w:val="Normal"/>
        <w:numPr>
          <w:ilvl w:val="0"/>
          <w:numId w:val="11"/>
        </w:numPr>
        <w:jc w:val="both"/>
        <w:rPr/>
      </w:pPr>
      <w:r>
        <w:rPr>
          <w:rFonts w:ascii="Arial" w:hAnsi="Arial"/>
          <w:sz w:val="20"/>
          <w:szCs w:val="20"/>
        </w:rPr>
        <w:t>La rete del fornitore deve essere protetta da appositi strumenti di protezione perimetrale (es. firewall, IDS/IPS) attraverso i quali è possibile intercettare e bloccare il traffico non autorizzato.</w:t>
      </w:r>
    </w:p>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b/>
          <w:bCs/>
          <w:sz w:val="22"/>
          <w:szCs w:val="22"/>
        </w:rPr>
      </w:pPr>
      <w:r>
        <w:rPr>
          <w:rFonts w:ascii="Arial" w:hAnsi="Arial"/>
          <w:b/>
          <w:bCs/>
          <w:sz w:val="22"/>
          <w:szCs w:val="22"/>
        </w:rPr>
        <w:t>Sicurezza delle postazioni di lavoro</w:t>
      </w:r>
    </w:p>
    <w:p>
      <w:pPr>
        <w:pStyle w:val="Normal"/>
        <w:numPr>
          <w:ilvl w:val="0"/>
          <w:numId w:val="12"/>
        </w:numPr>
        <w:jc w:val="both"/>
        <w:rPr/>
      </w:pPr>
      <w:r>
        <w:rPr>
          <w:rFonts w:ascii="Arial" w:hAnsi="Arial"/>
          <w:sz w:val="20"/>
          <w:szCs w:val="20"/>
        </w:rPr>
        <w:t>Le postazioni di lavoro utilizzate dal fornitore devono essere dotate di software antimalware aggiornato.</w:t>
      </w:r>
    </w:p>
    <w:p>
      <w:pPr>
        <w:pStyle w:val="Normal"/>
        <w:numPr>
          <w:ilvl w:val="0"/>
          <w:numId w:val="12"/>
        </w:numPr>
        <w:jc w:val="both"/>
        <w:rPr/>
      </w:pPr>
      <w:r>
        <w:rPr>
          <w:rFonts w:ascii="Arial" w:hAnsi="Arial"/>
          <w:sz w:val="20"/>
          <w:szCs w:val="20"/>
        </w:rPr>
        <w:t xml:space="preserve">Le postazioni di lavoro utilizzate dal fornitore devono essere dotate di un sistema operativo non obsoleto e mantenuto dal fornitore stesso. </w:t>
      </w:r>
    </w:p>
    <w:p>
      <w:pPr>
        <w:pStyle w:val="Normal"/>
        <w:numPr>
          <w:ilvl w:val="0"/>
          <w:numId w:val="12"/>
        </w:numPr>
        <w:jc w:val="both"/>
        <w:rPr/>
      </w:pPr>
      <w:r>
        <w:rPr>
          <w:rFonts w:ascii="Arial" w:hAnsi="Arial"/>
          <w:sz w:val="20"/>
          <w:szCs w:val="20"/>
        </w:rPr>
        <w:t>Le postazioni di lavoro utilizzate dal fornitore devono essere adeguatamente aggiornate secondo un processo strutturato di patching di eventuali vulnerabilità.</w:t>
      </w:r>
    </w:p>
    <w:p>
      <w:pPr>
        <w:pStyle w:val="Normal"/>
        <w:numPr>
          <w:ilvl w:val="0"/>
          <w:numId w:val="12"/>
        </w:numPr>
        <w:jc w:val="both"/>
        <w:rPr/>
      </w:pPr>
      <w:r>
        <w:rPr>
          <w:rFonts w:ascii="Arial" w:hAnsi="Arial"/>
          <w:sz w:val="20"/>
          <w:szCs w:val="20"/>
        </w:rPr>
        <w:t>La dotazione software a bordo della postazione di lavoro deve essere ridotta al minimo indispensabile, compatibilmente con i compiti che devono essere svolti.</w:t>
      </w:r>
    </w:p>
    <w:p>
      <w:pPr>
        <w:pStyle w:val="Normal"/>
        <w:numPr>
          <w:ilvl w:val="0"/>
          <w:numId w:val="12"/>
        </w:numPr>
        <w:jc w:val="both"/>
        <w:rPr/>
      </w:pPr>
      <w:r>
        <w:rPr>
          <w:rFonts w:ascii="Arial" w:hAnsi="Arial"/>
          <w:sz w:val="20"/>
          <w:szCs w:val="20"/>
        </w:rPr>
        <w:t>Gli utenti non devono essere in grado di disattivare o aggirare le impostazioni di sicurezza né installare applicazioni non autorizzate (ad esempio, prevedendo che non dispongano di privilegi amministrativi).</w:t>
      </w:r>
    </w:p>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b/>
          <w:bCs/>
          <w:sz w:val="22"/>
          <w:szCs w:val="22"/>
        </w:rPr>
      </w:pPr>
      <w:r>
        <w:rPr>
          <w:rFonts w:ascii="Arial" w:hAnsi="Arial"/>
          <w:b/>
          <w:bCs/>
          <w:sz w:val="22"/>
          <w:szCs w:val="22"/>
        </w:rPr>
        <w:t>Continuità operativa</w:t>
      </w:r>
    </w:p>
    <w:p>
      <w:pPr>
        <w:pStyle w:val="Normal"/>
        <w:numPr>
          <w:ilvl w:val="0"/>
          <w:numId w:val="13"/>
        </w:numPr>
        <w:jc w:val="both"/>
        <w:rPr>
          <w:rFonts w:ascii="Arial" w:hAnsi="Arial"/>
          <w:sz w:val="20"/>
          <w:szCs w:val="20"/>
        </w:rPr>
      </w:pPr>
      <w:r>
        <w:rPr>
          <w:rFonts w:ascii="Arial" w:hAnsi="Arial"/>
          <w:sz w:val="20"/>
          <w:szCs w:val="20"/>
        </w:rPr>
        <w:t>Devono essere presenti specifici meccanismi di tutela della continuità operativa affinché sia garantita la disponibilità del dato.</w:t>
      </w:r>
    </w:p>
    <w:p>
      <w:pPr>
        <w:pStyle w:val="Normal"/>
        <w:numPr>
          <w:ilvl w:val="0"/>
          <w:numId w:val="13"/>
        </w:numPr>
        <w:jc w:val="both"/>
        <w:rPr>
          <w:rFonts w:ascii="Arial" w:hAnsi="Arial"/>
          <w:sz w:val="20"/>
          <w:szCs w:val="20"/>
        </w:rPr>
      </w:pPr>
      <w:r>
        <w:rPr>
          <w:rFonts w:ascii="Arial" w:hAnsi="Arial"/>
          <w:sz w:val="20"/>
          <w:szCs w:val="20"/>
        </w:rPr>
        <w:t>Deve essere garantita la conservazione sicura delle copie di backup.</w:t>
      </w:r>
    </w:p>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b/>
          <w:bCs/>
          <w:sz w:val="22"/>
          <w:szCs w:val="22"/>
        </w:rPr>
      </w:pPr>
      <w:r>
        <w:rPr>
          <w:rFonts w:ascii="Arial" w:hAnsi="Arial"/>
          <w:b/>
          <w:bCs/>
          <w:sz w:val="22"/>
          <w:szCs w:val="22"/>
        </w:rPr>
        <w:t>Sviluppo sicuro &amp; Hardening</w:t>
      </w:r>
    </w:p>
    <w:p>
      <w:pPr>
        <w:pStyle w:val="Normal"/>
        <w:numPr>
          <w:ilvl w:val="0"/>
          <w:numId w:val="14"/>
        </w:numPr>
        <w:jc w:val="both"/>
        <w:rPr>
          <w:rFonts w:ascii="Arial" w:hAnsi="Arial"/>
          <w:sz w:val="20"/>
          <w:szCs w:val="20"/>
        </w:rPr>
      </w:pPr>
      <w:r>
        <w:rPr>
          <w:rFonts w:ascii="Arial" w:hAnsi="Arial"/>
          <w:color w:val="000000"/>
          <w:sz w:val="20"/>
          <w:szCs w:val="20"/>
        </w:rPr>
        <w:t>Il sistema di Test deve essere mantenuto distinto da quello di produzione.</w:t>
      </w:r>
    </w:p>
    <w:p>
      <w:pPr>
        <w:pStyle w:val="Normal"/>
        <w:numPr>
          <w:ilvl w:val="0"/>
          <w:numId w:val="14"/>
        </w:numPr>
        <w:jc w:val="both"/>
        <w:rPr>
          <w:rFonts w:ascii="Arial" w:hAnsi="Arial"/>
          <w:sz w:val="20"/>
          <w:szCs w:val="20"/>
        </w:rPr>
      </w:pPr>
      <w:r>
        <w:rPr>
          <w:rFonts w:ascii="Arial" w:hAnsi="Arial"/>
          <w:color w:val="000000"/>
          <w:sz w:val="20"/>
          <w:szCs w:val="20"/>
        </w:rPr>
        <w:t>Devono essere utilizzati appositi strumenti di scansione statica del codice sorgente (Static Application Security Testing) per garantire la sicurezza del codice medesimo sin dalle prime fasi del ciclo di sviluppo, in ottica di “security by design”.</w:t>
      </w:r>
    </w:p>
    <w:p>
      <w:pPr>
        <w:pStyle w:val="Normal"/>
        <w:numPr>
          <w:ilvl w:val="0"/>
          <w:numId w:val="14"/>
        </w:numPr>
        <w:jc w:val="both"/>
        <w:rPr>
          <w:rFonts w:ascii="Arial" w:hAnsi="Arial"/>
          <w:sz w:val="20"/>
          <w:szCs w:val="20"/>
        </w:rPr>
      </w:pPr>
      <w:r>
        <w:rPr>
          <w:rFonts w:ascii="Arial" w:hAnsi="Arial"/>
          <w:color w:val="000000"/>
          <w:sz w:val="20"/>
          <w:szCs w:val="20"/>
        </w:rPr>
        <w:t>Deve essere evitato il ricorso a linguaggi obsoleti e a librerie/package di supporto allo sviluppo obsolete o comunque affette da vulnerabilità.</w:t>
      </w:r>
    </w:p>
    <w:p>
      <w:pPr>
        <w:pStyle w:val="Normal"/>
        <w:numPr>
          <w:ilvl w:val="0"/>
          <w:numId w:val="14"/>
        </w:numPr>
        <w:jc w:val="both"/>
        <w:rPr>
          <w:rFonts w:ascii="Arial" w:hAnsi="Arial"/>
          <w:sz w:val="20"/>
          <w:szCs w:val="20"/>
        </w:rPr>
      </w:pPr>
      <w:r>
        <w:rPr>
          <w:rFonts w:ascii="Arial" w:hAnsi="Arial"/>
          <w:color w:val="000000"/>
          <w:sz w:val="20"/>
          <w:szCs w:val="20"/>
        </w:rPr>
        <w:t>Devono essere effettuate attività di identificazione a priori delle possibili minacce (cd. “threat modelling”). In particolare devono essere condotte verifiche di ricerca di vulnerabilità note, preliminari alla messa in produzione.</w:t>
      </w:r>
    </w:p>
    <w:p>
      <w:pPr>
        <w:pStyle w:val="Normal"/>
        <w:numPr>
          <w:ilvl w:val="0"/>
          <w:numId w:val="14"/>
        </w:numPr>
        <w:jc w:val="both"/>
        <w:rPr>
          <w:rFonts w:ascii="Arial" w:hAnsi="Arial"/>
          <w:sz w:val="20"/>
          <w:szCs w:val="20"/>
        </w:rPr>
      </w:pPr>
      <w:r>
        <w:rPr>
          <w:rFonts w:ascii="Arial" w:hAnsi="Arial"/>
          <w:sz w:val="20"/>
          <w:szCs w:val="20"/>
        </w:rPr>
        <w:t>Il fornitore deve effettuare opportune attività di hardening del proprio prodotto, attraverso operazioni di configurazione specifica che garantiscono la minimizzazione dell’impatto dovuto da possibili vulnerabilità (cd. security by default).</w:t>
      </w:r>
    </w:p>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b/>
          <w:bCs/>
          <w:sz w:val="22"/>
          <w:szCs w:val="22"/>
        </w:rPr>
      </w:pPr>
      <w:r>
        <w:rPr>
          <w:rFonts w:ascii="Arial" w:hAnsi="Arial"/>
          <w:b/>
          <w:bCs/>
          <w:sz w:val="22"/>
          <w:szCs w:val="22"/>
        </w:rPr>
        <w:t>Gestione delle vulnerabilità</w:t>
      </w:r>
    </w:p>
    <w:p>
      <w:pPr>
        <w:pStyle w:val="Normal"/>
        <w:numPr>
          <w:ilvl w:val="0"/>
          <w:numId w:val="15"/>
        </w:numPr>
        <w:jc w:val="both"/>
        <w:rPr/>
      </w:pPr>
      <w:r>
        <w:rPr>
          <w:rFonts w:ascii="Arial" w:hAnsi="Arial"/>
          <w:sz w:val="20"/>
          <w:szCs w:val="20"/>
        </w:rPr>
        <w:t>Il fornitore si impegna ad effettuare attività di vulnerability assessment e a garantire la risoluzione delle medesime nei tempi concordati con le Aziende Sanitarie</w:t>
      </w:r>
      <w:r>
        <w:rPr/>
        <w:t>.</w:t>
      </w:r>
    </w:p>
    <w:p>
      <w:pPr>
        <w:pStyle w:val="Normal"/>
        <w:numPr>
          <w:ilvl w:val="0"/>
          <w:numId w:val="15"/>
        </w:numPr>
        <w:jc w:val="both"/>
        <w:rPr/>
      </w:pPr>
      <w:r>
        <w:rPr>
          <w:rFonts w:ascii="Arial" w:hAnsi="Arial"/>
          <w:sz w:val="20"/>
          <w:szCs w:val="20"/>
        </w:rPr>
        <w:t>(solo per forniture a rischio alto) il fornitore si impegna a effettuare o commissionare a proprie spese attività di penetration testing e garantire la risoluzione delle medesime nei tempi concordati con le Aziende Sanitarie</w:t>
      </w:r>
      <w:r>
        <w:rPr/>
        <w:t>.</w:t>
      </w:r>
    </w:p>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b/>
          <w:bCs/>
          <w:sz w:val="22"/>
          <w:szCs w:val="22"/>
        </w:rPr>
      </w:pPr>
      <w:r>
        <w:rPr>
          <w:rFonts w:ascii="Arial" w:hAnsi="Arial"/>
          <w:b/>
          <w:bCs/>
          <w:sz w:val="22"/>
          <w:szCs w:val="22"/>
        </w:rPr>
        <w:t>Patching</w:t>
      </w:r>
    </w:p>
    <w:p>
      <w:pPr>
        <w:pStyle w:val="Normal"/>
        <w:numPr>
          <w:ilvl w:val="0"/>
          <w:numId w:val="16"/>
        </w:numPr>
        <w:jc w:val="both"/>
        <w:rPr/>
      </w:pPr>
      <w:r>
        <w:rPr>
          <w:rFonts w:ascii="Arial" w:hAnsi="Arial"/>
          <w:sz w:val="20"/>
          <w:szCs w:val="20"/>
        </w:rPr>
        <w:t>Il fornitore deve disporre di un processo strutturato per effettuare l’aggiornamento software dell’oggetto di fornitura, attraverso il quale garantisce la tempestiva installazione delle modifiche applicative in accordo con gli SLA definiti.</w:t>
      </w:r>
    </w:p>
    <w:p>
      <w:pPr>
        <w:pStyle w:val="Normal"/>
        <w:numPr>
          <w:ilvl w:val="0"/>
          <w:numId w:val="16"/>
        </w:numPr>
        <w:jc w:val="both"/>
        <w:rPr/>
      </w:pPr>
      <w:r>
        <w:rPr>
          <w:rFonts w:ascii="Arial" w:hAnsi="Arial"/>
          <w:sz w:val="20"/>
          <w:szCs w:val="20"/>
        </w:rPr>
        <w:t>Il fornitore deve mantenere traccia delle attività di patching effettuate.</w:t>
      </w:r>
    </w:p>
    <w:p>
      <w:pPr>
        <w:pStyle w:val="Normal"/>
        <w:numPr>
          <w:ilvl w:val="0"/>
          <w:numId w:val="16"/>
        </w:numPr>
        <w:jc w:val="both"/>
        <w:rPr/>
      </w:pPr>
      <w:r>
        <w:rPr>
          <w:rFonts w:ascii="Arial" w:hAnsi="Arial"/>
          <w:sz w:val="20"/>
          <w:szCs w:val="20"/>
        </w:rPr>
        <w:t>Il fornitore si impegna anche a garantire l’aggiornamento tecnologico di quanto oggetto di fornitura in maniera tale da non pregiudicare l’aggiornamento di sicurezza dei server e delle infrastrutture in genere fornite dalle Aziende Sanitarie a supporto del presente progetto applicativo.</w:t>
      </w:r>
    </w:p>
    <w:p>
      <w:pPr>
        <w:pStyle w:val="Normal"/>
        <w:numPr>
          <w:ilvl w:val="0"/>
          <w:numId w:val="0"/>
        </w:numPr>
        <w:ind w:hanging="0" w:start="720"/>
        <w:rPr>
          <w:rFonts w:ascii="Arial" w:hAnsi="Arial"/>
          <w:sz w:val="20"/>
          <w:szCs w:val="20"/>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OpenSymbol">
    <w:altName w:val="Arial Unicode MS"/>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o"/>
      <w:lvlJc w:val="start"/>
      <w:pPr>
        <w:tabs>
          <w:tab w:val="num" w:pos="0"/>
        </w:tabs>
        <w:ind w:start="1068" w:hanging="360"/>
      </w:pPr>
      <w:rPr>
        <w:rFonts w:ascii="Courier New" w:hAnsi="Courier New" w:cs="Courier New"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4">
    <w:lvl w:ilvl="0">
      <w:start w:val="1"/>
      <w:numFmt w:val="decimal"/>
      <w:lvlText w:val="%1."/>
      <w:lvlJc w:val="start"/>
      <w:pPr>
        <w:tabs>
          <w:tab w:val="num" w:pos="1068"/>
        </w:tabs>
        <w:ind w:start="1068" w:hanging="360"/>
      </w:pPr>
      <w:rPr/>
    </w:lvl>
    <w:lvl w:ilvl="1">
      <w:start w:val="1"/>
      <w:numFmt w:val="decimal"/>
      <w:lvlText w:val="%2."/>
      <w:lvlJc w:val="start"/>
      <w:pPr>
        <w:tabs>
          <w:tab w:val="num" w:pos="1428"/>
        </w:tabs>
        <w:ind w:start="1428" w:hanging="360"/>
      </w:pPr>
      <w:rPr/>
    </w:lvl>
    <w:lvl w:ilvl="2">
      <w:start w:val="1"/>
      <w:numFmt w:val="decimal"/>
      <w:lvlText w:val="%3."/>
      <w:lvlJc w:val="start"/>
      <w:pPr>
        <w:tabs>
          <w:tab w:val="num" w:pos="1788"/>
        </w:tabs>
        <w:ind w:start="1788" w:hanging="360"/>
      </w:pPr>
      <w:rPr/>
    </w:lvl>
    <w:lvl w:ilvl="3">
      <w:start w:val="1"/>
      <w:numFmt w:val="decimal"/>
      <w:lvlText w:val="%4."/>
      <w:lvlJc w:val="start"/>
      <w:pPr>
        <w:tabs>
          <w:tab w:val="num" w:pos="2148"/>
        </w:tabs>
        <w:ind w:start="2148" w:hanging="360"/>
      </w:pPr>
      <w:rPr/>
    </w:lvl>
    <w:lvl w:ilvl="4">
      <w:start w:val="1"/>
      <w:numFmt w:val="decimal"/>
      <w:lvlText w:val="%5."/>
      <w:lvlJc w:val="start"/>
      <w:pPr>
        <w:tabs>
          <w:tab w:val="num" w:pos="2508"/>
        </w:tabs>
        <w:ind w:start="2508" w:hanging="360"/>
      </w:pPr>
      <w:rPr/>
    </w:lvl>
    <w:lvl w:ilvl="5">
      <w:start w:val="1"/>
      <w:numFmt w:val="decimal"/>
      <w:lvlText w:val="%6."/>
      <w:lvlJc w:val="start"/>
      <w:pPr>
        <w:tabs>
          <w:tab w:val="num" w:pos="2868"/>
        </w:tabs>
        <w:ind w:start="2868" w:hanging="360"/>
      </w:pPr>
      <w:rPr/>
    </w:lvl>
    <w:lvl w:ilvl="6">
      <w:start w:val="1"/>
      <w:numFmt w:val="decimal"/>
      <w:lvlText w:val="%7."/>
      <w:lvlJc w:val="start"/>
      <w:pPr>
        <w:tabs>
          <w:tab w:val="num" w:pos="3228"/>
        </w:tabs>
        <w:ind w:start="3228" w:hanging="360"/>
      </w:pPr>
      <w:rPr/>
    </w:lvl>
    <w:lvl w:ilvl="7">
      <w:start w:val="1"/>
      <w:numFmt w:val="decimal"/>
      <w:lvlText w:val="%8."/>
      <w:lvlJc w:val="start"/>
      <w:pPr>
        <w:tabs>
          <w:tab w:val="num" w:pos="3588"/>
        </w:tabs>
        <w:ind w:start="3588" w:hanging="360"/>
      </w:pPr>
      <w:rPr/>
    </w:lvl>
    <w:lvl w:ilvl="8">
      <w:start w:val="1"/>
      <w:numFmt w:val="decimal"/>
      <w:lvlText w:val="%9."/>
      <w:lvlJc w:val="start"/>
      <w:pPr>
        <w:tabs>
          <w:tab w:val="num" w:pos="3948"/>
        </w:tabs>
        <w:ind w:start="3948" w:hanging="360"/>
      </w:pPr>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3">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OpenSymbol" w:hAnsi="OpenSymbol" w:cs="OpenSymbol" w:hint="default"/>
      </w:rPr>
    </w:lvl>
    <w:lvl w:ilvl="2">
      <w:start w:val="1"/>
      <w:numFmt w:val="bullet"/>
      <w:lvlText w:val="▪"/>
      <w:lvlJc w:val="start"/>
      <w:pPr>
        <w:tabs>
          <w:tab w:val="num" w:pos="1506"/>
        </w:tabs>
        <w:ind w:start="1506" w:hanging="360"/>
      </w:pPr>
      <w:rPr>
        <w:rFonts w:ascii="OpenSymbol" w:hAnsi="OpenSymbol" w:cs="Open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OpenSymbol" w:hAnsi="OpenSymbol" w:cs="OpenSymbol" w:hint="default"/>
      </w:rPr>
    </w:lvl>
    <w:lvl w:ilvl="5">
      <w:start w:val="1"/>
      <w:numFmt w:val="bullet"/>
      <w:lvlText w:val="▪"/>
      <w:lvlJc w:val="start"/>
      <w:pPr>
        <w:tabs>
          <w:tab w:val="num" w:pos="2586"/>
        </w:tabs>
        <w:ind w:start="2586" w:hanging="360"/>
      </w:pPr>
      <w:rPr>
        <w:rFonts w:ascii="OpenSymbol" w:hAnsi="OpenSymbol" w:cs="Open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OpenSymbol" w:hAnsi="OpenSymbol" w:cs="OpenSymbol" w:hint="default"/>
      </w:rPr>
    </w:lvl>
    <w:lvl w:ilvl="8">
      <w:start w:val="1"/>
      <w:numFmt w:val="bullet"/>
      <w:lvlText w:val="▪"/>
      <w:lvlJc w:val="start"/>
      <w:pPr>
        <w:tabs>
          <w:tab w:val="num" w:pos="3666"/>
        </w:tabs>
        <w:ind w:start="3666" w:hanging="360"/>
      </w:pPr>
      <w:rPr>
        <w:rFonts w:ascii="OpenSymbol" w:hAnsi="OpenSymbol" w:cs="Open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9"/>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start"/>
    </w:pPr>
    <w:rPr>
      <w:rFonts w:ascii="Liberation Serif" w:hAnsi="Liberation Serif" w:eastAsia="Noto Serif CJK SC" w:cs="Noto Sans Devanagari"/>
      <w:color w:val="auto"/>
      <w:kern w:val="2"/>
      <w:sz w:val="24"/>
      <w:szCs w:val="24"/>
      <w:lang w:val="it-IT" w:eastAsia="zh-CN" w:bidi="hi-IN"/>
    </w:rPr>
  </w:style>
  <w:style w:type="paragraph" w:styleId="Heading2">
    <w:name w:val="heading 2"/>
    <w:basedOn w:val="Normal"/>
    <w:next w:val="Normal"/>
    <w:uiPriority w:val="9"/>
    <w:semiHidden/>
    <w:unhideWhenUsed/>
    <w:qFormat/>
    <w:pPr>
      <w:keepNext w:val="true"/>
      <w:numPr>
        <w:ilvl w:val="1"/>
        <w:numId w:val="1"/>
      </w:numPr>
      <w:spacing w:lineRule="exact" w:line="300" w:before="120" w:after="120"/>
      <w:outlineLvl w:val="1"/>
    </w:pPr>
    <w:rPr>
      <w:rFonts w:ascii="Calibri" w:hAnsi="Calibri" w:eastAsia="Arial" w:cs="Times New Roman"/>
      <w:b/>
      <w:bCs/>
      <w:i/>
      <w:iCs/>
      <w:smallCaps/>
      <w:sz w:val="20"/>
      <w:szCs w:val="20"/>
      <w:lang w:eastAsia="ar-SA"/>
    </w:rPr>
  </w:style>
  <w:style w:type="character" w:styleId="DefaultParagraphFont" w:default="1">
    <w:name w:val="Default Paragraph Font"/>
    <w:uiPriority w:val="1"/>
    <w:semiHidden/>
    <w:unhideWhenUsed/>
    <w:qFormat/>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ice" w:customStyle="1">
    <w:name w:val="Indice"/>
    <w:basedOn w:val="Normal"/>
    <w:qFormat/>
    <w:pPr>
      <w:suppressLineNumbers/>
    </w:pPr>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next w:val="BodyText"/>
    <w:uiPriority w:val="10"/>
    <w:qFormat/>
    <w:pPr>
      <w:keepNext w:val="true"/>
      <w:spacing w:before="240" w:after="120"/>
    </w:pPr>
    <w:rPr>
      <w:rFonts w:ascii="Liberation Sans" w:hAnsi="Liberation Sans" w:eastAsia="Noto Sans CJK SC"/>
      <w:sz w:val="28"/>
      <w:szCs w:val="28"/>
    </w:rPr>
  </w:style>
  <w:style w:type="paragraph" w:styleId="ListParagraph">
    <w:name w:val="List Paragraph"/>
    <w:basedOn w:val="Normal"/>
    <w:qFormat/>
    <w:pPr>
      <w:spacing w:before="0" w:after="0"/>
      <w:ind w:start="720"/>
      <w:contextualSpacing/>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LibreOffice/26.2.1.2$Windows_X86_64 LibreOffice_project/620$Build-2</Application>
  <AppVersion>15.0000</AppVersion>
  <Pages>4</Pages>
  <Words>1827</Words>
  <Characters>11070</Characters>
  <CharactersWithSpaces>12773</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2026-06-08T10:55:00Z</dcterms:created>
  <dc:creator>Arbizzani Sabrina</dc:creator>
  <dc:description/>
  <dc:language>it-IT</dc:language>
  <cp:lastModifiedBy/>
  <dcterms:modified xsi:type="dcterms:W3CDTF">2026-06-16T13:40:52Z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