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8630" w14:textId="30C83BBE" w:rsidR="006A462B" w:rsidRDefault="00184306" w:rsidP="006A462B">
      <w:pPr>
        <w:pStyle w:val="Corpotesto"/>
        <w:tabs>
          <w:tab w:val="left" w:pos="0"/>
        </w:tabs>
      </w:pPr>
      <w:r w:rsidRPr="006533B7">
        <w:t>Allegato A</w:t>
      </w:r>
      <w:r w:rsidR="00CA4810">
        <w:t>1</w:t>
      </w:r>
      <w:r w:rsidRPr="006533B7">
        <w:t xml:space="preserve"> </w:t>
      </w:r>
      <w:r w:rsidR="006A462B">
        <w:t>–DOMANDA DI PARTECIPAZIONE</w:t>
      </w:r>
    </w:p>
    <w:p w14:paraId="6892B0F0" w14:textId="21D6DD8B" w:rsidR="006A462B" w:rsidRPr="00C95030" w:rsidRDefault="006A462B" w:rsidP="001D7B2D">
      <w:pPr>
        <w:pStyle w:val="Corpotesto"/>
        <w:tabs>
          <w:tab w:val="left" w:pos="0"/>
        </w:tabs>
        <w:jc w:val="both"/>
        <w:rPr>
          <w:rFonts w:ascii="Arial" w:hAnsi="Arial" w:cs="Arial"/>
          <w:b/>
          <w:bCs/>
        </w:rPr>
      </w:pPr>
      <w:r w:rsidRPr="00C95030">
        <w:rPr>
          <w:rFonts w:ascii="Arial" w:hAnsi="Arial" w:cs="Arial"/>
          <w:b/>
          <w:bCs/>
        </w:rPr>
        <w:t xml:space="preserve"> Gara europea a procedura aperta per l’affidamento della fornitura in service di sistemi completi per aferesi terapeutica e citoaferesi (apparecchiature e kit relativi) per le esigenze dell’AVEC e dell’AUSL della Romagna </w:t>
      </w:r>
    </w:p>
    <w:p w14:paraId="4754EB1A" w14:textId="4BCFB010" w:rsidR="00C41162" w:rsidRPr="006533B7" w:rsidRDefault="00F56292">
      <w:pPr>
        <w:shd w:val="clear" w:color="auto" w:fill="4472C4" w:themeFill="accent5"/>
        <w:jc w:val="both"/>
        <w:rPr>
          <w:i/>
          <w:color w:val="FFFFFF" w:themeColor="background1"/>
          <w:sz w:val="20"/>
          <w:szCs w:val="20"/>
        </w:rPr>
      </w:pPr>
      <w:r w:rsidRPr="006533B7">
        <w:rPr>
          <w:b/>
          <w:bCs/>
          <w:i/>
          <w:color w:val="FFFFFF" w:themeColor="background1"/>
          <w:sz w:val="20"/>
          <w:szCs w:val="20"/>
        </w:rPr>
        <w:t xml:space="preserve"> </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lastRenderedPageBreak/>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3255E2C0" w14:textId="77777777" w:rsidR="00753867" w:rsidRPr="00937D95" w:rsidRDefault="00753867" w:rsidP="00753867">
      <w:pPr>
        <w:pStyle w:val="Paragrafoelenco"/>
        <w:numPr>
          <w:ilvl w:val="0"/>
          <w:numId w:val="1"/>
        </w:numPr>
        <w:jc w:val="both"/>
        <w:rPr>
          <w:rFonts w:ascii="Calibri" w:hAnsi="Calibri" w:cs="Calibri"/>
          <w:b/>
          <w:color w:val="548DD4"/>
        </w:rPr>
      </w:pPr>
      <w:r w:rsidRPr="00937D95">
        <w:rPr>
          <w:rFonts w:ascii="Calibri" w:hAnsi="Calibri" w:cs="Calibri"/>
          <w:b/>
          <w:color w:val="548DD4"/>
        </w:rPr>
        <w:t>Dichiarazioni relative al Regolamento (UE) 2022/1031 del Parlamento Europeo e del Consiglio del 23 giugno 2022 e al Regolamento di esecuzione (UE) 2025/1197 della Commissione Europea del 19 giugno 2025 (da rendere da parte dell’operatore singolo e, in caso di partecipazione in forma associata, da parte di tutti i componenti il RTI/consorzio ordinario/l’aggregazione di rete se RTI/Consorzio costituendo/se la rete non è dotata di un organo comune con potere di rappresentanza e soggettività giuridica; dalla sola mandataria se RTI/Consorzio costituito/dall’organo comune se con potere di rappresentanza e soggettività giuridica; solo dai Consorzi di cui all’art. 65, comma 2, lett. b), c) e d)</w:t>
      </w:r>
    </w:p>
    <w:p w14:paraId="23E8A1C4" w14:textId="77777777" w:rsidR="00753867" w:rsidRPr="00937D95" w:rsidRDefault="00753867" w:rsidP="00753867">
      <w:pPr>
        <w:pStyle w:val="Paragrafoelenco"/>
        <w:ind w:left="284"/>
        <w:rPr>
          <w:rFonts w:ascii="Calibri" w:hAnsi="Calibri" w:cs="Calibri"/>
          <w:color w:val="548DD4"/>
        </w:rPr>
      </w:pPr>
    </w:p>
    <w:p w14:paraId="2E929F0A" w14:textId="77777777" w:rsidR="00753867" w:rsidRPr="00937D95" w:rsidRDefault="00753867" w:rsidP="00753867">
      <w:pPr>
        <w:numPr>
          <w:ilvl w:val="0"/>
          <w:numId w:val="8"/>
        </w:numPr>
        <w:suppressAutoHyphens w:val="0"/>
        <w:spacing w:after="0" w:line="240" w:lineRule="auto"/>
        <w:jc w:val="both"/>
        <w:rPr>
          <w:rFonts w:ascii="Calibri" w:hAnsi="Calibri" w:cs="Calibri"/>
        </w:rPr>
      </w:pPr>
      <w:r w:rsidRPr="00937D95">
        <w:rPr>
          <w:rFonts w:ascii="Calibri" w:hAnsi="Calibri" w:cs="Calibri"/>
        </w:rPr>
        <w:t xml:space="preserve">di non avere origine, ai sensi dell’art. 3 del Regolamento (UE) 2022/1031 del Parlamento Europeo e del Consiglio del 23 giugno 2022 e degli artt. 1 e 2 del Regolamento di esecuzione (UE) 2025/1197 della Commissione Europea del 19 giugno 2025, nella Repubblica Popolare Cinese; </w:t>
      </w:r>
    </w:p>
    <w:p w14:paraId="49EC1D5F" w14:textId="77777777" w:rsidR="00753867" w:rsidRPr="00937D95" w:rsidRDefault="00753867" w:rsidP="00753867">
      <w:pPr>
        <w:numPr>
          <w:ilvl w:val="0"/>
          <w:numId w:val="8"/>
        </w:numPr>
        <w:suppressAutoHyphens w:val="0"/>
        <w:spacing w:before="120" w:after="0" w:line="240" w:lineRule="auto"/>
        <w:ind w:left="1003" w:hanging="357"/>
        <w:jc w:val="both"/>
        <w:rPr>
          <w:rFonts w:ascii="Calibri" w:hAnsi="Calibri" w:cs="Calibri"/>
        </w:rPr>
      </w:pPr>
      <w:r w:rsidRPr="00937D95">
        <w:rPr>
          <w:rFonts w:ascii="Calibri" w:hAnsi="Calibri" w:cs="Calibri"/>
        </w:rPr>
        <w:t>che non ricorre una delle ipotesi di cui al comma 2 dell’art. 3 del Regolamento (UE) 2022/1031 del Parlamento Europeo e del Consiglio del 23 giugno 2022;</w:t>
      </w:r>
    </w:p>
    <w:p w14:paraId="022F9E15" w14:textId="1FBD3B84" w:rsidR="00753867" w:rsidRPr="00937D95" w:rsidRDefault="00753867" w:rsidP="00753867">
      <w:pPr>
        <w:numPr>
          <w:ilvl w:val="0"/>
          <w:numId w:val="8"/>
        </w:numPr>
        <w:suppressAutoHyphens w:val="0"/>
        <w:spacing w:before="120" w:after="0" w:line="240" w:lineRule="auto"/>
        <w:ind w:left="1003" w:hanging="357"/>
        <w:jc w:val="both"/>
        <w:rPr>
          <w:rFonts w:ascii="Calibri" w:hAnsi="Calibri" w:cs="Calibri"/>
        </w:rPr>
      </w:pPr>
      <w:r w:rsidRPr="00937D95">
        <w:rPr>
          <w:rFonts w:ascii="Calibri" w:hAnsi="Calibri" w:cs="Calibri"/>
        </w:rPr>
        <w:t xml:space="preserve">di garantire per la durata dell’appalto oppure Accordo Quadro e dei contratti derivanti dagli ordinativi di fornitura, che i beni </w:t>
      </w:r>
      <w:r w:rsidR="00BC0B58" w:rsidRPr="00937D95">
        <w:rPr>
          <w:rFonts w:ascii="Calibri" w:hAnsi="Calibri" w:cs="Calibri"/>
        </w:rPr>
        <w:t xml:space="preserve">o i servizi forniti </w:t>
      </w:r>
      <w:r w:rsidRPr="00937D95">
        <w:rPr>
          <w:rFonts w:ascii="Calibri" w:hAnsi="Calibri" w:cs="Calibri"/>
        </w:rPr>
        <w:t>nell’esecuzione dell’appalto e che sono originari della Repubblica Popolare Cinese(determinato in ragione di quanto previsto all’articolo 60 del Regolamento (UE) n. 952/2013 del Parlamento europeo e del Consiglio) non rappresenteranno più del 50% del valore totale del contratto indipendentemente dal fatto che tali beni o servizi siano forniti o prestati direttamente dall’aggiudicatario o da un suo subappaltatore;</w:t>
      </w:r>
    </w:p>
    <w:p w14:paraId="6BBEE5A2" w14:textId="77777777" w:rsidR="00BC0B58" w:rsidRPr="00BC0B58" w:rsidRDefault="00BC0B58" w:rsidP="00BC0B58">
      <w:pPr>
        <w:suppressAutoHyphens w:val="0"/>
        <w:spacing w:before="120" w:after="0" w:line="240" w:lineRule="auto"/>
        <w:ind w:left="286"/>
        <w:jc w:val="both"/>
        <w:rPr>
          <w:rFonts w:ascii="Calibri" w:hAnsi="Calibri" w:cs="Calibri"/>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79"/>
        <w:gridCol w:w="7975"/>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199160B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lastRenderedPageBreak/>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w:t>
      </w:r>
      <w:r w:rsidRPr="006533B7">
        <w:rPr>
          <w:bCs/>
          <w:sz w:val="20"/>
          <w:szCs w:val="20"/>
        </w:rPr>
        <w:lastRenderedPageBreak/>
        <w:t>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31207590" w14:textId="1778DC60" w:rsidR="00013E83" w:rsidRPr="006533B7" w:rsidRDefault="00013E83" w:rsidP="009E46B4">
      <w:pPr>
        <w:ind w:left="284" w:hanging="284"/>
        <w:jc w:val="both"/>
        <w:rPr>
          <w:sz w:val="20"/>
          <w:szCs w:val="20"/>
        </w:rPr>
      </w:pPr>
      <w:r w:rsidRPr="006533B7">
        <w:rPr>
          <w:sz w:val="20"/>
          <w:szCs w:val="20"/>
        </w:rPr>
        <w:t>▪</w:t>
      </w:r>
      <w:r>
        <w:rPr>
          <w:sz w:val="20"/>
          <w:szCs w:val="20"/>
        </w:rPr>
        <w:t xml:space="preserve">    </w:t>
      </w:r>
      <w:r w:rsidRPr="00141B8D">
        <w:rPr>
          <w:b/>
          <w:sz w:val="20"/>
          <w:szCs w:val="20"/>
        </w:rPr>
        <w:t>DICHIARA</w:t>
      </w:r>
      <w:r w:rsidRPr="00013E83">
        <w:rPr>
          <w:sz w:val="20"/>
          <w:szCs w:val="20"/>
        </w:rPr>
        <w:t xml:space="preserve"> 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DE551D7" w14:textId="22A43E25" w:rsidR="00C41162" w:rsidRPr="006533B7" w:rsidRDefault="00184306" w:rsidP="00646D31">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Aria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0C3B57"/>
    <w:multiLevelType w:val="hybridMultilevel"/>
    <w:tmpl w:val="5D74BB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4E0303B"/>
    <w:multiLevelType w:val="hybridMultilevel"/>
    <w:tmpl w:val="2502170E"/>
    <w:lvl w:ilvl="0" w:tplc="817601DE">
      <w:start w:val="1"/>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9" w15:restartNumberingAfterBreak="0">
    <w:nsid w:val="6D005BDC"/>
    <w:multiLevelType w:val="hybridMultilevel"/>
    <w:tmpl w:val="7B82ACA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74943060"/>
    <w:multiLevelType w:val="hybridMultilevel"/>
    <w:tmpl w:val="BE429EAE"/>
    <w:lvl w:ilvl="0" w:tplc="E31062B2">
      <w:start w:val="11"/>
      <w:numFmt w:val="decimal"/>
      <w:lvlText w:val="%1"/>
      <w:lvlJc w:val="left"/>
      <w:pPr>
        <w:ind w:left="720" w:hanging="360"/>
      </w:pPr>
      <w:rPr>
        <w:b/>
        <w:i w:val="0"/>
        <w:color w:val="2E74B5" w:themeColor="accent1" w:themeShade="BF"/>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70376210">
    <w:abstractNumId w:val="5"/>
  </w:num>
  <w:num w:numId="2" w16cid:durableId="542137920">
    <w:abstractNumId w:val="7"/>
  </w:num>
  <w:num w:numId="3" w16cid:durableId="33384369">
    <w:abstractNumId w:val="2"/>
  </w:num>
  <w:num w:numId="4" w16cid:durableId="252907125">
    <w:abstractNumId w:val="4"/>
  </w:num>
  <w:num w:numId="5" w16cid:durableId="284196761">
    <w:abstractNumId w:val="0"/>
  </w:num>
  <w:num w:numId="6" w16cid:durableId="881751859">
    <w:abstractNumId w:val="6"/>
  </w:num>
  <w:num w:numId="7" w16cid:durableId="1033264704">
    <w:abstractNumId w:val="1"/>
  </w:num>
  <w:num w:numId="8" w16cid:durableId="290946286">
    <w:abstractNumId w:val="9"/>
  </w:num>
  <w:num w:numId="9" w16cid:durableId="1001393523">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5289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9135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162"/>
    <w:rsid w:val="000000A6"/>
    <w:rsid w:val="00013E83"/>
    <w:rsid w:val="000805C3"/>
    <w:rsid w:val="000E5869"/>
    <w:rsid w:val="00122BE2"/>
    <w:rsid w:val="00141B8D"/>
    <w:rsid w:val="00184306"/>
    <w:rsid w:val="001B6DD9"/>
    <w:rsid w:val="001D24C1"/>
    <w:rsid w:val="001D7B2D"/>
    <w:rsid w:val="00214250"/>
    <w:rsid w:val="00220748"/>
    <w:rsid w:val="002A377A"/>
    <w:rsid w:val="00345201"/>
    <w:rsid w:val="003B3811"/>
    <w:rsid w:val="00432C93"/>
    <w:rsid w:val="00444DAB"/>
    <w:rsid w:val="00482016"/>
    <w:rsid w:val="00500F41"/>
    <w:rsid w:val="006026A2"/>
    <w:rsid w:val="0063020D"/>
    <w:rsid w:val="00646D31"/>
    <w:rsid w:val="006533B7"/>
    <w:rsid w:val="0066102F"/>
    <w:rsid w:val="0069625E"/>
    <w:rsid w:val="006A462B"/>
    <w:rsid w:val="00726AF8"/>
    <w:rsid w:val="00753867"/>
    <w:rsid w:val="00937D95"/>
    <w:rsid w:val="00942E88"/>
    <w:rsid w:val="00945904"/>
    <w:rsid w:val="009B5141"/>
    <w:rsid w:val="009E46B4"/>
    <w:rsid w:val="00A718A5"/>
    <w:rsid w:val="00AB0FA5"/>
    <w:rsid w:val="00AC555E"/>
    <w:rsid w:val="00B7690A"/>
    <w:rsid w:val="00BC0B58"/>
    <w:rsid w:val="00BF1D89"/>
    <w:rsid w:val="00BF4C0F"/>
    <w:rsid w:val="00C41162"/>
    <w:rsid w:val="00C522AB"/>
    <w:rsid w:val="00C616E2"/>
    <w:rsid w:val="00C95030"/>
    <w:rsid w:val="00CA4810"/>
    <w:rsid w:val="00D778F8"/>
    <w:rsid w:val="00DD2513"/>
    <w:rsid w:val="00DF4EDE"/>
    <w:rsid w:val="00F05ACD"/>
    <w:rsid w:val="00F27E15"/>
    <w:rsid w:val="00F4287E"/>
    <w:rsid w:val="00F56292"/>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6DB96B86-AAFF-4BA6-8534-726DEE1F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75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9D13-75A5-43DD-BE85-65BE081C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4202</Words>
  <Characters>23956</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Mingardi Silvia</cp:lastModifiedBy>
  <cp:revision>9</cp:revision>
  <cp:lastPrinted>2023-12-13T08:59:00Z</cp:lastPrinted>
  <dcterms:created xsi:type="dcterms:W3CDTF">2026-03-03T12:28:00Z</dcterms:created>
  <dcterms:modified xsi:type="dcterms:W3CDTF">2026-03-11T08:45:00Z</dcterms:modified>
  <dc:language>it-IT</dc:language>
</cp:coreProperties>
</file>